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787520.xml.htm"/>
      <w:bookmarkStart w:id="1" w:name="kswkform4_178578752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Lu Su Ping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855 S. MINT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CHARLOTTE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HONEYWELL INTERNATIONAL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HON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SrVP, General Counsel, CorpSec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5,531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205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239.89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5,326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614.973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Held in 401(k) Plan</w:t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85"/>
        <w:gridCol w:w="516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5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471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(1)(3)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Restricted Stock Units were granted under the 2016 Stock Incentive Plan of Honeywell International Inc. and its Affiliates and were adjusted to reflect the spin-off of Solstice Advanced Materials Inc. from Honeywell International Inc. ("Honeywell Technologies") on October 30, 2025, and further adjusted to reflect the spin-off of Honeywell Aerospace Inc. from Honeywell Technologies on June 29, 2026 and the reverse stock split of Honeywell Technologies.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Instrument converts 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Includes the reinvestment of dividend equivalents into 54 additional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Restricted Stock Units were granted under the 2016 Stock Incentive Plan of Honeywell International Inc. and its Affiliates with all units fully vested on July 30,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Richard Kent for Su Ping Lu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48614" TargetMode="External"/><Relationship Id="rId5" Type="http://schemas.openxmlformats.org/officeDocument/2006/relationships/hyperlink" Target="http://www.sec.gov/cgi-bin/browse-edgar?action=getcompany&amp;CIK=000077384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719</Words>
  <Characters>3891</Characters>
  <CharactersWithSpaces>4515</CharactersWithSpaces>
  <Paragraphs>123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