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Washington Robin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2,568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87.96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3,542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1,927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188.92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1,615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10,175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a trust</w:t>
            </w:r>
          </w:p>
        </w:tc>
      </w:tr>
    </w:tbl>
    <w:tbl>
      <w:tblPr>
        <w:tblW w:w="119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66"/>
        <w:gridCol w:w="906"/>
        <w:gridCol w:w="801"/>
        <w:gridCol w:w="891"/>
        <w:gridCol w:w="7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87.96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04/27/2024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All options held by the Reporting Person have been adjusted to increase the number of shares and reduce the exercise price in a manner subject to the adjustment provisions of the AdvanSix Inc. spin-off from Honeywell which occurred on October 1, 2016; the Garrett Motion Inc. spin-off from Honeywell which occurred on October 1, 2018; and the Resideo Technologies, Inc. spin-off from Honeywell which occurred on October 29, 2018.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exempt grant of non-qualified stock options under the 2006 Stock Plan for Non-Employee Directors that vest in four equal annual installments, with the first installment vesting on April 1, 2015.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Su Ping Lu for Robin L. Washington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11/07/2023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27145" TargetMode="External"/><Relationship Id="rId4" Type="http://schemas.openxmlformats.org/officeDocument/2006/relationships/hyperlink" Target="http://www.sec.gov/cgi-bin/browse-edgar?action=getcompany&amp;CIK=000077384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692</Words>
  <Characters>3742</Characters>
  <CharactersWithSpaces>4355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