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4"/>
          <w:szCs w:val="24"/>
          <w:color w:val="auto"/>
        </w:rPr>
      </w:pPr>
    </w:p>
    <w:p>
      <w:pPr>
        <w:spacing w:after="0"/>
        <w:rPr>
          <w:sz w:val="20"/>
          <w:szCs w:val="20"/>
          <w:color w:val="auto"/>
        </w:rPr>
      </w:pPr>
      <w:r>
        <w:rPr>
          <w:rFonts w:ascii="Arial" w:cs="Arial" w:eastAsia="Arial" w:hAnsi="Arial"/>
          <w:sz w:val="17"/>
          <w:szCs w:val="17"/>
          <w:color w:val="auto"/>
        </w:rPr>
        <w:t>Original Issue/Settlement Date:</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Security Type: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Offering Format: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Stated Maturity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Issue Price: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Benchmark Bund:</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Bund Price and Yield:</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Spread to Benchmark Bund:</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Mid-Swap Yield:</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Spread to Mid-Swap Yield:</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Optional Redemption Provisions:</w:t>
      </w:r>
    </w:p>
    <w:p>
      <w:pPr>
        <w:spacing w:after="0" w:line="14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Make-Whole Call:</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Free Writing Prospectus dated May 12, 2023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Supplement dated May 12, 2023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October 22, 2021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333-260437</w:t>
      </w:r>
    </w:p>
    <w:p>
      <w:pPr>
        <w:spacing w:after="0" w:line="207" w:lineRule="exact"/>
        <w:rPr>
          <w:sz w:val="24"/>
          <w:szCs w:val="24"/>
          <w:color w:val="auto"/>
        </w:rPr>
      </w:pPr>
    </w:p>
    <w:p>
      <w:pPr>
        <w:jc w:val="center"/>
        <w:ind w:right="4400"/>
        <w:spacing w:after="0"/>
        <w:rPr>
          <w:sz w:val="20"/>
          <w:szCs w:val="20"/>
          <w:color w:val="auto"/>
        </w:rPr>
      </w:pPr>
      <w:r>
        <w:rPr>
          <w:rFonts w:ascii="Arial" w:cs="Arial" w:eastAsia="Arial" w:hAnsi="Arial"/>
          <w:sz w:val="16"/>
          <w:szCs w:val="16"/>
          <w:b w:val="1"/>
          <w:bCs w:val="1"/>
          <w:color w:val="auto"/>
        </w:rPr>
        <w:t>Honeywell International Inc.</w:t>
      </w:r>
    </w:p>
    <w:p>
      <w:pPr>
        <w:spacing w:after="0" w:line="252" w:lineRule="exact"/>
        <w:rPr>
          <w:sz w:val="24"/>
          <w:szCs w:val="24"/>
          <w:color w:val="auto"/>
        </w:rPr>
      </w:pPr>
    </w:p>
    <w:p>
      <w:pPr>
        <w:jc w:val="center"/>
        <w:ind w:right="4400"/>
        <w:spacing w:after="0"/>
        <w:rPr>
          <w:sz w:val="20"/>
          <w:szCs w:val="20"/>
          <w:color w:val="auto"/>
        </w:rPr>
      </w:pPr>
      <w:r>
        <w:rPr>
          <w:rFonts w:ascii="Arial" w:cs="Arial" w:eastAsia="Arial" w:hAnsi="Arial"/>
          <w:sz w:val="18"/>
          <w:szCs w:val="18"/>
          <w:u w:val="single" w:color="auto"/>
          <w:color w:val="auto"/>
        </w:rPr>
        <w:t>Pricing Term Sheet</w:t>
      </w:r>
    </w:p>
    <w:p>
      <w:pPr>
        <w:spacing w:after="0" w:line="23" w:lineRule="exact"/>
        <w:rPr>
          <w:sz w:val="24"/>
          <w:szCs w:val="24"/>
          <w:color w:val="auto"/>
        </w:rPr>
      </w:pPr>
    </w:p>
    <w:p>
      <w:pPr>
        <w:jc w:val="center"/>
        <w:ind w:right="4400"/>
        <w:spacing w:after="0"/>
        <w:rPr>
          <w:sz w:val="20"/>
          <w:szCs w:val="20"/>
          <w:color w:val="auto"/>
        </w:rPr>
      </w:pPr>
      <w:r>
        <w:rPr>
          <w:rFonts w:ascii="Arial" w:cs="Arial" w:eastAsia="Arial" w:hAnsi="Arial"/>
          <w:sz w:val="16"/>
          <w:szCs w:val="16"/>
          <w:u w:val="single" w:color="auto"/>
          <w:color w:val="auto"/>
        </w:rPr>
        <w:t>3.500% Senior Notes due 2027</w:t>
      </w:r>
    </w:p>
    <w:p>
      <w:pPr>
        <w:spacing w:after="0" w:line="261"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Honeywell International Inc.</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May 12, 2023</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May 17, 2023 (T+3)</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Senior Unsecured</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SEC Registered</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€650,000,000</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3.500%</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May 17, 2027</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99.795%</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3.556%</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OBL 0.000% due April 16, 2027</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91.650%; 2.250%</w:t>
      </w:r>
    </w:p>
    <w:p>
      <w:pPr>
        <w:spacing w:after="0" w:line="117" w:lineRule="exact"/>
        <w:rPr>
          <w:sz w:val="24"/>
          <w:szCs w:val="24"/>
          <w:color w:val="auto"/>
        </w:rPr>
      </w:pPr>
    </w:p>
    <w:p>
      <w:pPr>
        <w:ind w:left="1500" w:hanging="156"/>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130.6 bps</w:t>
      </w:r>
    </w:p>
    <w:p>
      <w:pPr>
        <w:spacing w:after="0" w:line="117"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3.006%</w:t>
      </w:r>
    </w:p>
    <w:p>
      <w:pPr>
        <w:spacing w:after="0" w:line="117" w:lineRule="exact"/>
        <w:rPr>
          <w:rFonts w:ascii="Arial" w:cs="Arial" w:eastAsia="Arial" w:hAnsi="Arial"/>
          <w:sz w:val="18"/>
          <w:szCs w:val="18"/>
          <w:color w:val="auto"/>
        </w:rPr>
      </w:pPr>
    </w:p>
    <w:p>
      <w:pPr>
        <w:ind w:left="1500" w:hanging="156"/>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55 bps</w:t>
      </w:r>
    </w:p>
    <w:p>
      <w:pPr>
        <w:spacing w:after="0" w:line="1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May 17 of each year, commencing May 17, 2024</w:t>
      </w:r>
    </w:p>
    <w:p>
      <w:pPr>
        <w:spacing w:after="0" w:line="200" w:lineRule="exact"/>
        <w:rPr>
          <w:sz w:val="24"/>
          <w:szCs w:val="24"/>
          <w:color w:val="auto"/>
        </w:rPr>
      </w:pPr>
    </w:p>
    <w:p>
      <w:pPr>
        <w:spacing w:after="0" w:line="241" w:lineRule="exact"/>
        <w:rPr>
          <w:sz w:val="24"/>
          <w:szCs w:val="24"/>
          <w:color w:val="auto"/>
        </w:rPr>
      </w:pPr>
    </w:p>
    <w:p>
      <w:pPr>
        <w:ind w:left="1340" w:right="480"/>
        <w:spacing w:after="0" w:line="277" w:lineRule="auto"/>
        <w:rPr>
          <w:sz w:val="20"/>
          <w:szCs w:val="20"/>
          <w:color w:val="auto"/>
        </w:rPr>
      </w:pPr>
      <w:r>
        <w:rPr>
          <w:rFonts w:ascii="Arial" w:cs="Arial" w:eastAsia="Arial" w:hAnsi="Arial"/>
          <w:sz w:val="18"/>
          <w:szCs w:val="18"/>
          <w:color w:val="auto"/>
        </w:rPr>
        <w:t>Prior to April 17, 2027, make-whole call at Bunds plus 20 bps plus accrued and unpaid interest to the redemption date</w:t>
      </w:r>
    </w:p>
    <w:p>
      <w:pPr>
        <w:spacing w:after="0" w:line="62" w:lineRule="exact"/>
        <w:rPr>
          <w:sz w:val="24"/>
          <w:szCs w:val="24"/>
          <w:color w:val="auto"/>
        </w:rPr>
      </w:pPr>
    </w:p>
    <w:p>
      <w:pPr>
        <w:sectPr>
          <w:pgSz w:w="11900" w:h="16838" w:orient="portrait"/>
          <w:cols w:equalWidth="0" w:num="2">
            <w:col w:w="3660" w:space="720"/>
            <w:col w:w="6640"/>
          </w:cols>
          <w:pgMar w:left="440" w:top="233" w:right="439" w:bottom="1440" w:gutter="0" w:footer="0" w:header="0"/>
        </w:sectPr>
      </w:pPr>
    </w:p>
    <w:p>
      <w:pPr>
        <w:ind w:left="360"/>
        <w:spacing w:after="0"/>
        <w:tabs>
          <w:tab w:leader="none" w:pos="5700" w:val="left"/>
        </w:tabs>
        <w:rPr>
          <w:sz w:val="20"/>
          <w:szCs w:val="20"/>
          <w:color w:val="auto"/>
        </w:rPr>
      </w:pPr>
      <w:r>
        <w:rPr>
          <w:rFonts w:ascii="Arial" w:cs="Arial" w:eastAsia="Arial" w:hAnsi="Arial"/>
          <w:sz w:val="18"/>
          <w:szCs w:val="18"/>
          <w:color w:val="auto"/>
        </w:rPr>
        <w:t>Par Call:</w:t>
      </w:r>
      <w:r>
        <w:rPr>
          <w:sz w:val="20"/>
          <w:szCs w:val="20"/>
          <w:color w:val="auto"/>
        </w:rPr>
        <w:tab/>
      </w:r>
      <w:r>
        <w:rPr>
          <w:rFonts w:ascii="Arial" w:cs="Arial" w:eastAsia="Arial" w:hAnsi="Arial"/>
          <w:sz w:val="16"/>
          <w:szCs w:val="16"/>
          <w:color w:val="auto"/>
        </w:rPr>
        <w:t>On or after April 17, 2027, at par plus accrued and unpaid interest to the</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redemption date</w:t>
      </w:r>
    </w:p>
    <w:p>
      <w:pPr>
        <w:sectPr>
          <w:pgSz w:w="11900" w:h="16838" w:orient="portrait"/>
          <w:cols w:equalWidth="0" w:num="1">
            <w:col w:w="11020"/>
          </w:cols>
          <w:pgMar w:left="440" w:top="233" w:right="439" w:bottom="1440" w:gutter="0" w:footer="0" w:header="0"/>
          <w:type w:val="continuous"/>
        </w:sectPr>
      </w:pP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Proceeds (after underwriting discount and before expenses) to Issuer:</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CUSIP/ISIN/Common Code:</w:t>
      </w:r>
    </w:p>
    <w:p>
      <w:pPr>
        <w:spacing w:after="0" w:line="117" w:lineRule="exact"/>
        <w:rPr>
          <w:sz w:val="24"/>
          <w:szCs w:val="24"/>
          <w:color w:val="auto"/>
        </w:rPr>
      </w:pPr>
    </w:p>
    <w:p>
      <w:pPr>
        <w:ind w:right="1820"/>
        <w:spacing w:after="0" w:line="375" w:lineRule="auto"/>
        <w:rPr>
          <w:sz w:val="20"/>
          <w:szCs w:val="20"/>
          <w:color w:val="auto"/>
        </w:rPr>
      </w:pPr>
      <w:r>
        <w:rPr>
          <w:rFonts w:ascii="Arial" w:cs="Arial" w:eastAsia="Arial" w:hAnsi="Arial"/>
          <w:sz w:val="18"/>
          <w:szCs w:val="18"/>
          <w:color w:val="auto"/>
        </w:rPr>
        <w:t>Legal Entity Identifier (LEI) Code: Expected Ratings (Moody’s / S&amp;P / Fitch):* Denominations:</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Listing:</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Stabilization: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Target Market: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€647,042,500 (99.545% of principal amount)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438516 CN4 / XS2624938655 / 262493865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ISRPG12PN4EIEOEMW547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A2/A/A</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€100,000 and integral multiples of €1,000 in excess thereof</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Actual / Actual (ICMA)</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Application will be made to list the notes on the Nasdaq Bond Exchange</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Stabilization/FCA</w:t>
      </w:r>
    </w:p>
    <w:p>
      <w:pPr>
        <w:spacing w:after="0" w:line="117"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MiFID II and/or the UK MiFIR Product Governance Rules professionals/ECPs-only / No PRIIPs KID and/or UK PRIIPs KID – Manufacturer target market (MIFID II product governance and/or the UK MiFIR Product Governance Rules) is eligible counterparties and professional clients only (all distribution channels). No PRIIPs and/or UK PRIIPs key information document (KID) has been prepared as not available to retail investors in the European Economic Area or the United Kingdom</w:t>
      </w:r>
    </w:p>
    <w:p>
      <w:pPr>
        <w:sectPr>
          <w:pgSz w:w="11900" w:h="16838" w:orient="portrait"/>
          <w:cols w:equalWidth="0" w:num="2">
            <w:col w:w="5000" w:space="720"/>
            <w:col w:w="5300"/>
          </w:cols>
          <w:pgMar w:left="440" w:top="233"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Concurrent Offering</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Substantially concurrently with this offering, the Issuer launched an offer of U.S. dollar-denominated notes (the “concurrent offering”). The concurrent offering is being made by means of a separate prospectus supplement and not by means of the prospectus supplement to which this pricing term sheet relates. This communication is not an offer of any securities of the Issuer other than the notes to which this pricing term sheet relates. The concurrent offering may not be completed, and the completion of the concurrent offering is not a condition to the completion of the offering of the notes to which this pricing term sheet relates or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-1488440</wp:posOffset>
            </wp:positionV>
            <wp:extent cx="717486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000" w:space="720"/>
            <w:col w:w="5280"/>
          </w:cols>
          <w:pgMar w:left="440" w:top="490" w:right="459" w:bottom="1440" w:gutter="0" w:footer="0" w:header="0"/>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Deutsche Bank AG, London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plc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International plc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UniCredit Bank AG</w:t>
      </w:r>
    </w:p>
    <w:p>
      <w:pPr>
        <w:spacing w:after="0" w:line="116" w:lineRule="exact"/>
        <w:rPr>
          <w:sz w:val="20"/>
          <w:szCs w:val="20"/>
          <w:color w:val="auto"/>
        </w:rPr>
      </w:pPr>
    </w:p>
    <w:p>
      <w:pPr>
        <w:sectPr>
          <w:pgSz w:w="11900" w:h="16838" w:orient="portrait"/>
          <w:cols w:equalWidth="0" w:num="2">
            <w:col w:w="5000" w:space="720"/>
            <w:col w:w="5280"/>
          </w:cols>
          <w:pgMar w:left="440" w:top="490" w:right="459" w:bottom="1440" w:gutter="0" w:footer="0" w:header="0"/>
          <w:type w:val="continuous"/>
        </w:sectPr>
      </w:pPr>
    </w:p>
    <w:p>
      <w:pPr>
        <w:spacing w:after="0"/>
        <w:rPr>
          <w:sz w:val="20"/>
          <w:szCs w:val="20"/>
          <w:color w:val="auto"/>
        </w:rPr>
      </w:pPr>
      <w:r>
        <w:rPr>
          <w:rFonts w:ascii="Arial" w:cs="Arial" w:eastAsia="Arial" w:hAnsi="Arial"/>
          <w:sz w:val="16"/>
          <w:szCs w:val="16"/>
          <w:color w:val="auto"/>
        </w:rPr>
        <w:t>Senior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Merrill Lynch International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International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SMBC Nikko Capital Markets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Wells Fargo Securities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Banco Bilbao Vizcaya Argentaria,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Banco Santander,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Toronto-Dominion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103" w:lineRule="exact"/>
        <w:rPr>
          <w:sz w:val="20"/>
          <w:szCs w:val="20"/>
          <w:color w:val="auto"/>
        </w:rPr>
      </w:pPr>
    </w:p>
    <w:p>
      <w:pPr>
        <w:sectPr>
          <w:pgSz w:w="11900" w:h="16838" w:orient="portrait"/>
          <w:cols w:equalWidth="0" w:num="2">
            <w:col w:w="5000" w:space="720"/>
            <w:col w:w="5280"/>
          </w:cols>
          <w:pgMar w:left="440" w:top="490" w:right="4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Academy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NatWest Markets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Scotiabank (Ireland) Designated Activity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Standard Chartered Bank</w:t>
      </w:r>
    </w:p>
    <w:p>
      <w:pPr>
        <w:sectPr>
          <w:pgSz w:w="11900" w:h="16838" w:orient="portrait"/>
          <w:cols w:equalWidth="0" w:num="2">
            <w:col w:w="5000" w:space="720"/>
            <w:col w:w="5280"/>
          </w:cols>
          <w:pgMar w:left="440" w:top="490" w:right="459" w:bottom="1440" w:gutter="0" w:footer="0" w:header="0"/>
          <w:type w:val="continuous"/>
        </w:sectPr>
      </w:pPr>
    </w:p>
    <w:bookmarkStart w:id="2" w:name="page3"/>
    <w:bookmarkEnd w:id="2"/>
    <w:p>
      <w:pPr>
        <w:ind w:left="444" w:hanging="444"/>
        <w:spacing w:after="0"/>
        <w:tabs>
          <w:tab w:leader="none" w:pos="44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Note: A securities rating is not a recommendation to buy, sell or hold securities and may be subject to revision or withdrawal at any time.</w:t>
      </w:r>
    </w:p>
    <w:p>
      <w:pPr>
        <w:spacing w:after="0" w:line="356" w:lineRule="exact"/>
        <w:rPr>
          <w:sz w:val="20"/>
          <w:szCs w:val="20"/>
          <w:color w:val="auto"/>
        </w:rPr>
      </w:pPr>
    </w:p>
    <w:p>
      <w:pPr>
        <w:ind w:left="4"/>
        <w:spacing w:after="0" w:line="292" w:lineRule="auto"/>
        <w:rPr>
          <w:sz w:val="20"/>
          <w:szCs w:val="20"/>
          <w:color w:val="auto"/>
        </w:rPr>
      </w:pPr>
      <w:r>
        <w:rPr>
          <w:rFonts w:ascii="Arial" w:cs="Arial" w:eastAsia="Arial" w:hAnsi="Arial"/>
          <w:sz w:val="16"/>
          <w:szCs w:val="16"/>
          <w:b w:val="1"/>
          <w:bCs w:val="1"/>
          <w:color w:val="auto"/>
        </w:rPr>
        <w:t>The issuer has filed a registration statement (including a prospectus and the accompanying prospectus supplement) with the SEC for the offering to which this communication relates. Before you invest, you should read the prospectus and the accompanying prospectus supplement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and the accompanying prospectus supplement if you request it by calling Deutsche Bank AG, London Branch at +1 (800) 503-4611 (toll free), J.P. Morgan Securities plc at +44-207-134-2468, Morgan Stanley &amp; Co. International plc at +44-207-677-7799 or UniCredit Bank AG at +49-89-378-15921.</w:t>
      </w:r>
    </w:p>
    <w:p>
      <w:pPr>
        <w:spacing w:after="0" w:line="53" w:lineRule="exact"/>
        <w:rPr>
          <w:sz w:val="20"/>
          <w:szCs w:val="20"/>
          <w:color w:val="auto"/>
        </w:rPr>
      </w:pPr>
    </w:p>
    <w:p>
      <w:pPr>
        <w:ind w:left="4" w:right="40"/>
        <w:spacing w:after="0" w:line="274" w:lineRule="auto"/>
        <w:rPr>
          <w:sz w:val="20"/>
          <w:szCs w:val="20"/>
          <w:color w:val="auto"/>
        </w:rPr>
      </w:pPr>
      <w:r>
        <w:rPr>
          <w:rFonts w:ascii="Arial" w:cs="Arial" w:eastAsia="Arial" w:hAnsi="Arial"/>
          <w:sz w:val="17"/>
          <w:szCs w:val="17"/>
          <w:b w:val="1"/>
          <w:bCs w:val="1"/>
          <w:color w:val="auto"/>
        </w:rPr>
        <w:t>We expect that delivery of the notes will be made to investors on or about May 17, 2023, which will be the third business day following the date of this pricing term sheet (such settlement cycle being referred to as “T+3”). Under Rule 15c6-1 of the Securities Exchange Act of 1934, as amended, trades in the secondary market are required to settle in two business days, unless the parties to any such trade expressly agree otherwise. Accordingly, purchasers who wish to trade notes more than two business days prior to their date of delivery will be required, by virtue of the fact that the notes initially settle in T+3, to specify an alternate settlement arrangement at the time of any such trade to prevent a failed settlement and should consult their own advisors.</w:t>
      </w:r>
    </w:p>
    <w:p>
      <w:pPr>
        <w:spacing w:after="0" w:line="65" w:lineRule="exact"/>
        <w:rPr>
          <w:sz w:val="20"/>
          <w:szCs w:val="20"/>
          <w:color w:val="auto"/>
        </w:rPr>
      </w:pPr>
    </w:p>
    <w:p>
      <w:pPr>
        <w:ind w:left="4" w:right="18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ectPr>
          <w:pgSz w:w="11900" w:h="16838" w:orient="portrait"/>
          <w:cols w:equalWidth="0" w:num="1">
            <w:col w:w="10964"/>
          </w:cols>
          <w:pgMar w:left="436" w:top="486" w:right="49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Original Issue/Settlement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Security Type: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Offering Format: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Stated 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Issue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Benchmark Bund: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Bund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Bund: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Mid-Swap Yield: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Mid-Swap Yield: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 Provisions: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 w:lineRule="exact"/>
        <w:rPr>
          <w:sz w:val="20"/>
          <w:szCs w:val="20"/>
          <w:color w:val="auto"/>
        </w:rPr>
      </w:pPr>
      <w:r>
        <w:rPr>
          <w:sz w:val="20"/>
          <w:szCs w:val="20"/>
          <w:color w:val="auto"/>
        </w:rPr>
        <w:br w:type="column"/>
      </w:r>
    </w:p>
    <w:p>
      <w:pPr>
        <w:jc w:val="center"/>
        <w:ind w:right="4380"/>
        <w:spacing w:after="0"/>
        <w:rPr>
          <w:sz w:val="20"/>
          <w:szCs w:val="20"/>
          <w:color w:val="auto"/>
        </w:rPr>
      </w:pPr>
      <w:r>
        <w:rPr>
          <w:rFonts w:ascii="Arial" w:cs="Arial" w:eastAsia="Arial" w:hAnsi="Arial"/>
          <w:sz w:val="16"/>
          <w:szCs w:val="16"/>
          <w:b w:val="1"/>
          <w:bCs w:val="1"/>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-211455</wp:posOffset>
            </wp:positionV>
            <wp:extent cx="717486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32" w:lineRule="exact"/>
        <w:rPr>
          <w:sz w:val="20"/>
          <w:szCs w:val="20"/>
          <w:color w:val="auto"/>
        </w:rPr>
      </w:pPr>
    </w:p>
    <w:p>
      <w:pPr>
        <w:jc w:val="center"/>
        <w:ind w:right="4380"/>
        <w:spacing w:after="0"/>
        <w:rPr>
          <w:sz w:val="20"/>
          <w:szCs w:val="20"/>
          <w:color w:val="auto"/>
        </w:rPr>
      </w:pPr>
      <w:r>
        <w:rPr>
          <w:rFonts w:ascii="Arial" w:cs="Arial" w:eastAsia="Arial" w:hAnsi="Arial"/>
          <w:sz w:val="18"/>
          <w:szCs w:val="18"/>
          <w:u w:val="single" w:color="auto"/>
          <w:color w:val="auto"/>
        </w:rPr>
        <w:t>Pricing Term Sheet</w:t>
      </w:r>
    </w:p>
    <w:p>
      <w:pPr>
        <w:spacing w:after="0" w:line="23" w:lineRule="exact"/>
        <w:rPr>
          <w:sz w:val="20"/>
          <w:szCs w:val="20"/>
          <w:color w:val="auto"/>
        </w:rPr>
      </w:pPr>
    </w:p>
    <w:p>
      <w:pPr>
        <w:jc w:val="center"/>
        <w:ind w:right="4380"/>
        <w:spacing w:after="0"/>
        <w:rPr>
          <w:sz w:val="20"/>
          <w:szCs w:val="20"/>
          <w:color w:val="auto"/>
        </w:rPr>
      </w:pPr>
      <w:r>
        <w:rPr>
          <w:rFonts w:ascii="Arial" w:cs="Arial" w:eastAsia="Arial" w:hAnsi="Arial"/>
          <w:sz w:val="16"/>
          <w:szCs w:val="16"/>
          <w:u w:val="single" w:color="auto"/>
          <w:color w:val="auto"/>
        </w:rPr>
        <w:t>3.750% Senior Notes due 2032</w:t>
      </w:r>
    </w:p>
    <w:p>
      <w:pPr>
        <w:spacing w:after="0" w:line="26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Honeywell International Inc.</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May 12, 2023</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May 17, 2023 (T+3)</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Senior Unsecured</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 Registered</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3.750%</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May 17, 2032</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99.125%</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3.867%</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DBR 0.000% due February 15, 2032</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82.650%; 2.201%</w:t>
      </w:r>
    </w:p>
    <w:p>
      <w:pPr>
        <w:spacing w:after="0" w:line="117" w:lineRule="exact"/>
        <w:rPr>
          <w:sz w:val="20"/>
          <w:szCs w:val="20"/>
          <w:color w:val="auto"/>
        </w:rPr>
      </w:pPr>
    </w:p>
    <w:p>
      <w:pPr>
        <w:ind w:left="1500" w:hanging="156"/>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166.6 bps</w:t>
      </w:r>
    </w:p>
    <w:p>
      <w:pPr>
        <w:spacing w:after="0" w:line="117"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2.917%</w:t>
      </w:r>
    </w:p>
    <w:p>
      <w:pPr>
        <w:spacing w:after="0" w:line="117" w:lineRule="exact"/>
        <w:rPr>
          <w:rFonts w:ascii="Arial" w:cs="Arial" w:eastAsia="Arial" w:hAnsi="Arial"/>
          <w:sz w:val="18"/>
          <w:szCs w:val="18"/>
          <w:color w:val="auto"/>
        </w:rPr>
      </w:pPr>
    </w:p>
    <w:p>
      <w:pPr>
        <w:ind w:left="1500" w:hanging="156"/>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95 bps</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May 17 of each year, commencing May 17, 2024</w:t>
      </w:r>
    </w:p>
    <w:p>
      <w:pPr>
        <w:spacing w:after="0" w:line="200" w:lineRule="exact"/>
        <w:rPr>
          <w:sz w:val="20"/>
          <w:szCs w:val="20"/>
          <w:color w:val="auto"/>
        </w:rPr>
      </w:pPr>
    </w:p>
    <w:p>
      <w:pPr>
        <w:spacing w:after="0" w:line="241" w:lineRule="exact"/>
        <w:rPr>
          <w:sz w:val="20"/>
          <w:szCs w:val="20"/>
          <w:color w:val="auto"/>
        </w:rPr>
      </w:pPr>
    </w:p>
    <w:p>
      <w:pPr>
        <w:ind w:left="1340" w:right="180"/>
        <w:spacing w:after="0" w:line="277" w:lineRule="auto"/>
        <w:rPr>
          <w:sz w:val="20"/>
          <w:szCs w:val="20"/>
          <w:color w:val="auto"/>
        </w:rPr>
      </w:pPr>
      <w:r>
        <w:rPr>
          <w:rFonts w:ascii="Arial" w:cs="Arial" w:eastAsia="Arial" w:hAnsi="Arial"/>
          <w:sz w:val="18"/>
          <w:szCs w:val="18"/>
          <w:color w:val="auto"/>
        </w:rPr>
        <w:t>Prior to February 17, 2032, make-whole call at Bunds plus 25 bps plus accrued and unpaid interest to the redemption date</w:t>
      </w:r>
    </w:p>
    <w:p>
      <w:pPr>
        <w:spacing w:after="0" w:line="62" w:lineRule="exact"/>
        <w:rPr>
          <w:sz w:val="20"/>
          <w:szCs w:val="20"/>
          <w:color w:val="auto"/>
        </w:rPr>
      </w:pPr>
    </w:p>
    <w:p>
      <w:pPr>
        <w:sectPr>
          <w:pgSz w:w="11900" w:h="16838" w:orient="portrait"/>
          <w:cols w:equalWidth="0" w:num="2">
            <w:col w:w="3660" w:space="720"/>
            <w:col w:w="6620"/>
          </w:cols>
          <w:pgMar w:left="440" w:top="486" w:right="459" w:bottom="1440" w:gutter="0" w:footer="0" w:header="0"/>
        </w:sectPr>
      </w:pPr>
    </w:p>
    <w:p>
      <w:pPr>
        <w:ind w:left="360"/>
        <w:spacing w:after="0"/>
        <w:tabs>
          <w:tab w:leader="none" w:pos="5700" w:val="left"/>
        </w:tabs>
        <w:rPr>
          <w:sz w:val="20"/>
          <w:szCs w:val="20"/>
          <w:color w:val="auto"/>
        </w:rPr>
      </w:pPr>
      <w:r>
        <w:rPr>
          <w:rFonts w:ascii="Arial" w:cs="Arial" w:eastAsia="Arial" w:hAnsi="Arial"/>
          <w:sz w:val="18"/>
          <w:szCs w:val="18"/>
          <w:color w:val="auto"/>
        </w:rPr>
        <w:t>Par Call:</w:t>
      </w:r>
      <w:r>
        <w:rPr>
          <w:sz w:val="20"/>
          <w:szCs w:val="20"/>
          <w:color w:val="auto"/>
        </w:rPr>
        <w:tab/>
      </w:r>
      <w:r>
        <w:rPr>
          <w:rFonts w:ascii="Arial" w:cs="Arial" w:eastAsia="Arial" w:hAnsi="Arial"/>
          <w:sz w:val="16"/>
          <w:szCs w:val="16"/>
          <w:color w:val="auto"/>
        </w:rPr>
        <w:t>On or after February 17, 2032, at par plus accrued and unpaid interest 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redemption date</w:t>
      </w:r>
    </w:p>
    <w:p>
      <w:pPr>
        <w:sectPr>
          <w:pgSz w:w="11900" w:h="16838" w:orient="portrait"/>
          <w:cols w:equalWidth="0" w:num="1">
            <w:col w:w="11000"/>
          </w:cols>
          <w:pgMar w:left="440" w:top="486" w:right="45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Proceeds (after underwriting discount and before expenses) to Issuer: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CUSIP/ISIN/Common Code:</w:t>
      </w:r>
    </w:p>
    <w:p>
      <w:pPr>
        <w:spacing w:after="0" w:line="117" w:lineRule="exact"/>
        <w:rPr>
          <w:sz w:val="20"/>
          <w:szCs w:val="20"/>
          <w:color w:val="auto"/>
        </w:rPr>
      </w:pPr>
    </w:p>
    <w:p>
      <w:pPr>
        <w:ind w:right="1820"/>
        <w:spacing w:after="0" w:line="375" w:lineRule="auto"/>
        <w:rPr>
          <w:sz w:val="20"/>
          <w:szCs w:val="20"/>
          <w:color w:val="auto"/>
        </w:rPr>
      </w:pPr>
      <w:r>
        <w:rPr>
          <w:rFonts w:ascii="Arial" w:cs="Arial" w:eastAsia="Arial" w:hAnsi="Arial"/>
          <w:sz w:val="18"/>
          <w:szCs w:val="18"/>
          <w:color w:val="auto"/>
        </w:rPr>
        <w:t>Legal Entity Identifier (LEI) Code: Expected Ratings (Moody’s / S&amp;P / Fitch):* Denominations: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Stabilization: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Target Market: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€493,625,000 (98.725% of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438516 CP9 / XS2624938739 / 262493873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ISRPG12PN4EIEOEMW547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A2/A/A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€100,000 and integral multiples of €1,000 in excess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Actual / Actual (ICMA)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Application will be made to list the notes on the Nasdaq Bond Exchange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Stabilization/FCA</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MiFID II and/or the UK MiFIR Product Governance Rules professionals/ECPs-only / No PRIIPs KID and/or UK PRIIPs KID – Manufacturer target market (MIFID II product governance and/or the UK MiFIR Product Governance Rules) is eligible counterparties and professional clients only (all distribution channels). No PRIIPs and/or UK PRIIPs key information document (KID) has been prepared as not available to retail investors in the European Economic Area or the United Kingdom</w:t>
      </w:r>
    </w:p>
    <w:p>
      <w:pPr>
        <w:sectPr>
          <w:pgSz w:w="11900" w:h="16838" w:orient="portrait"/>
          <w:cols w:equalWidth="0" w:num="2">
            <w:col w:w="5000" w:space="720"/>
            <w:col w:w="5280"/>
          </w:cols>
          <w:pgMar w:left="440" w:top="486" w:right="4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Concurrent Offering</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Substantially concurrently with this offering, the Issuer launched an offer of U.S. dollar-denominated notes (the “concurrent offering”). The concurrent offering is being made by means of a separate prospectus supplement and not by means of the prospectus supplement to which this pricing term sheet relates. This communication is not an offer of any securities of the Issuer other than the notes to which this pricing term sheet relates. The concurrent offering may not be completed, and the completion of the concurrent offering is not a condition to the completion of the offering of the notes to which this pricing term sheet relates or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-1488440</wp:posOffset>
            </wp:positionV>
            <wp:extent cx="717486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000" w:space="720"/>
            <w:col w:w="5280"/>
          </w:cols>
          <w:pgMar w:left="440" w:top="490" w:right="459" w:bottom="1440" w:gutter="0" w:footer="0" w:header="0"/>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Deutsche Bank AG, London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plc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International plc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UniCredit Bank AG</w:t>
      </w:r>
    </w:p>
    <w:p>
      <w:pPr>
        <w:spacing w:after="0" w:line="116" w:lineRule="exact"/>
        <w:rPr>
          <w:sz w:val="20"/>
          <w:szCs w:val="20"/>
          <w:color w:val="auto"/>
        </w:rPr>
      </w:pPr>
    </w:p>
    <w:p>
      <w:pPr>
        <w:sectPr>
          <w:pgSz w:w="11900" w:h="16838" w:orient="portrait"/>
          <w:cols w:equalWidth="0" w:num="2">
            <w:col w:w="5000" w:space="720"/>
            <w:col w:w="5280"/>
          </w:cols>
          <w:pgMar w:left="440" w:top="490" w:right="459" w:bottom="1440" w:gutter="0" w:footer="0" w:header="0"/>
          <w:type w:val="continuous"/>
        </w:sectPr>
      </w:pPr>
    </w:p>
    <w:p>
      <w:pPr>
        <w:spacing w:after="0"/>
        <w:rPr>
          <w:sz w:val="20"/>
          <w:szCs w:val="20"/>
          <w:color w:val="auto"/>
        </w:rPr>
      </w:pPr>
      <w:r>
        <w:rPr>
          <w:rFonts w:ascii="Arial" w:cs="Arial" w:eastAsia="Arial" w:hAnsi="Arial"/>
          <w:sz w:val="16"/>
          <w:szCs w:val="16"/>
          <w:color w:val="auto"/>
        </w:rPr>
        <w:t>Senior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Merrill Lynch International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International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SMBC Nikko Capital Markets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Wells Fargo Securities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Banco Bilbao Vizcaya Argentaria,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Banco Santander,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Toronto-Dominion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103" w:lineRule="exact"/>
        <w:rPr>
          <w:sz w:val="20"/>
          <w:szCs w:val="20"/>
          <w:color w:val="auto"/>
        </w:rPr>
      </w:pPr>
    </w:p>
    <w:p>
      <w:pPr>
        <w:sectPr>
          <w:pgSz w:w="11900" w:h="16838" w:orient="portrait"/>
          <w:cols w:equalWidth="0" w:num="2">
            <w:col w:w="5000" w:space="720"/>
            <w:col w:w="5280"/>
          </w:cols>
          <w:pgMar w:left="440" w:top="490" w:right="4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Academy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Crédit Agricole Corporate and Investment Bank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ectPr>
          <w:pgSz w:w="11900" w:h="16838" w:orient="portrait"/>
          <w:cols w:equalWidth="0" w:num="2">
            <w:col w:w="5000" w:space="720"/>
            <w:col w:w="5280"/>
          </w:cols>
          <w:pgMar w:left="440" w:top="490" w:right="459" w:bottom="1440" w:gutter="0" w:footer="0" w:header="0"/>
          <w:type w:val="continuous"/>
        </w:sectPr>
      </w:pPr>
    </w:p>
    <w:bookmarkStart w:id="5" w:name="page6"/>
    <w:bookmarkEnd w:id="5"/>
    <w:p>
      <w:pPr>
        <w:ind w:left="5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ICBC Standard Bank Plc</w:t>
      </w:r>
    </w:p>
    <w:p>
      <w:pPr>
        <w:spacing w:after="0" w:line="23"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NatWest Markets Plc</w:t>
      </w:r>
    </w:p>
    <w:p>
      <w:pPr>
        <w:spacing w:after="0" w:line="9"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RBC Europe Limited</w:t>
      </w:r>
    </w:p>
    <w:p>
      <w:pPr>
        <w:spacing w:after="0" w:line="9"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Scotiabank (Ireland) Designated Activity Company</w:t>
      </w:r>
    </w:p>
    <w:p>
      <w:pPr>
        <w:spacing w:after="0" w:line="9"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Standard Chartered Bank</w:t>
      </w:r>
    </w:p>
    <w:p>
      <w:pPr>
        <w:spacing w:after="0" w:line="234" w:lineRule="exact"/>
        <w:rPr>
          <w:sz w:val="20"/>
          <w:szCs w:val="20"/>
          <w:color w:val="auto"/>
        </w:rPr>
      </w:pPr>
    </w:p>
    <w:p>
      <w:pPr>
        <w:ind w:left="444" w:hanging="444"/>
        <w:spacing w:after="0"/>
        <w:tabs>
          <w:tab w:leader="none" w:pos="44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Note: A securities rating is not a recommendation to buy, sell or hold securities and may be subject to revision or withdrawal at any time.</w:t>
      </w:r>
    </w:p>
    <w:p>
      <w:pPr>
        <w:spacing w:after="0" w:line="248" w:lineRule="exact"/>
        <w:rPr>
          <w:sz w:val="20"/>
          <w:szCs w:val="20"/>
          <w:color w:val="auto"/>
        </w:rPr>
      </w:pPr>
    </w:p>
    <w:p>
      <w:pPr>
        <w:ind w:left="4"/>
        <w:spacing w:after="0" w:line="292" w:lineRule="auto"/>
        <w:rPr>
          <w:sz w:val="20"/>
          <w:szCs w:val="20"/>
          <w:color w:val="auto"/>
        </w:rPr>
      </w:pPr>
      <w:r>
        <w:rPr>
          <w:rFonts w:ascii="Arial" w:cs="Arial" w:eastAsia="Arial" w:hAnsi="Arial"/>
          <w:sz w:val="16"/>
          <w:szCs w:val="16"/>
          <w:b w:val="1"/>
          <w:bCs w:val="1"/>
          <w:color w:val="auto"/>
        </w:rPr>
        <w:t>The issuer has filed a registration statement (including a prospectus and the accompanying prospectus supplement) with the SEC for the offering to which this communication relates. Before you invest, you should read the prospectus and the accompanying prospectus supplement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and the accompanying prospectus supplement if you request it by calling Deutsche Bank AG, London Branch at +1 (800) 503-4611 (toll free), J.P. Morgan Securities plc at +44-207-134-2468, Morgan Stanley &amp; Co. International plc at +44-207-677-7799 or UniCredit Bank AG at +49 89 378 15921.</w:t>
      </w:r>
    </w:p>
    <w:p>
      <w:pPr>
        <w:spacing w:after="0" w:line="161" w:lineRule="exact"/>
        <w:rPr>
          <w:sz w:val="20"/>
          <w:szCs w:val="20"/>
          <w:color w:val="auto"/>
        </w:rPr>
      </w:pPr>
    </w:p>
    <w:p>
      <w:pPr>
        <w:ind w:left="4" w:right="40"/>
        <w:spacing w:after="0" w:line="274" w:lineRule="auto"/>
        <w:rPr>
          <w:sz w:val="20"/>
          <w:szCs w:val="20"/>
          <w:color w:val="auto"/>
        </w:rPr>
      </w:pPr>
      <w:r>
        <w:rPr>
          <w:rFonts w:ascii="Arial" w:cs="Arial" w:eastAsia="Arial" w:hAnsi="Arial"/>
          <w:sz w:val="17"/>
          <w:szCs w:val="17"/>
          <w:b w:val="1"/>
          <w:bCs w:val="1"/>
          <w:color w:val="auto"/>
        </w:rPr>
        <w:t>We expect that delivery of the notes will be made to investors on or about May 17, 2023, which will be the third business day following the date of this pricing term sheet (such settlement cycle being referred to as “T+3”). Under Rule 15c6-1 of the Securities Exchange Act of 1934, as amended, trades in the secondary market are required to settle in two business days, unless the parties to any such trade expressly agree otherwise. Accordingly, purchasers who wish to trade notes more than two business days prior to their date of delivery will be required, by virtue of the fact that the notes initially settle in T+3, to specify an alternate settlement arrangement at the time of any such trade to prevent a failed settlement and should consult their own advisors.</w:t>
      </w:r>
    </w:p>
    <w:p>
      <w:pPr>
        <w:spacing w:after="0" w:line="173" w:lineRule="exact"/>
        <w:rPr>
          <w:sz w:val="20"/>
          <w:szCs w:val="20"/>
          <w:color w:val="auto"/>
        </w:rPr>
      </w:pPr>
    </w:p>
    <w:p>
      <w:pPr>
        <w:ind w:left="4" w:right="18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0964"/>
      </w:cols>
      <w:pgMar w:left="436" w:top="4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2023-05-12T16:43:58Z</dcterms:created>
  <dcterms:modified xsi:type="dcterms:W3CDTF">2023-05-12T16:43:58Z</dcterms:modified>
</cp:coreProperties>
</file>