
<file path=[Content_Types].xml><?xml version="1.0" encoding="utf-8"?>
<Types xmlns="http://schemas.openxmlformats.org/package/2006/content-types">
  <Default Extension="xml" ContentType="application/xml"/>
  <Default Extension="rels" ContentType="application/vnd.openxmlformats-package.relationships+xml"/>
  <Default Extension="png" ContentType="image/png"/>
  <Default Extension="jpeg" ContentType="image/jpeg"/>
  <Override PartName="/_rels/.rels" ContentType="application/vnd.openxmlformats-package.relationships+xml"/>
  <Override PartName="/docProps/core.xml" ContentType="application/vnd.openxmlformats-package.core-properties+xml"/>
  <Override PartName="/docProps/app.xml" ContentType="application/vnd.openxmlformats-officedocument.extended-properties+xml"/>
  <Override PartName="/word/_rels/document.xml.rels" ContentType="application/vnd.openxmlformats-package.relationship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fontTable.xml" ContentType="application/vnd.openxmlformats-officedocument.wordprocessingml.fontTable+xml"/>
  <Override PartName="/word/settings.xml" ContentType="application/vnd.openxmlformats-officedocument.wordprocessingml.settings+xml"/>
</Types>
</file>

<file path=_rels/.rels><?xml version="1.0" encoding="UTF-8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officeDocument" Target="word/document.xml"/>
</Relationships>
</file>

<file path=word/document.xml><?xml version="1.0" encoding="utf-8"?>
<w:document xmlns:o="urn:schemas-microsoft-com:office:office" xmlns:r="http://schemas.openxmlformats.org/officeDocument/2006/relationships" xmlns:v="urn:schemas-microsoft-com:vml" xmlns:w="http://schemas.openxmlformats.org/wordprocessingml/2006/main" xmlns:w10="urn:schemas-microsoft-com:office:word" xmlns:wp="http://schemas.openxmlformats.org/drawingml/2006/wordprocessingDrawing" xmlns:wps="http://schemas.microsoft.com/office/word/2010/wordprocessingShape" xmlns:wpg="http://schemas.microsoft.com/office/word/2010/wordprocessingGroup" xmlns:mc="http://schemas.openxmlformats.org/markup-compatibility/2006" xmlns:wp14="http://schemas.microsoft.com/office/word/2010/wordprocessingDrawing" xmlns:w14="http://schemas.microsoft.com/office/word/2010/wordml" xmlns:w15="http://schemas.microsoft.com/office/word/2012/wordml" mc:Ignorable="w14 wp14 w15">
  <w:body>
    <w:p>
      <w:pPr>
        <w:pStyle w:val="TextBody"/>
        <w:bidi w:val="0"/>
        <w:spacing w:before="0" w:after="0"/>
        <w:jc w:val="left"/>
        <w:rPr/>
      </w:pPr>
      <w:bookmarkStart w:id="0" w:name="wk-form4_1772053653.xml.htm"/>
      <w:bookmarkStart w:id="1" w:name="kswkform4_1772053653"/>
      <w:bookmarkEnd w:id="0"/>
      <w:bookmarkEnd w:id="1"/>
      <w:r>
        <w:rPr/>
        <w:t xml:space="preserve">SEC Form 4 </w:t>
      </w:r>
    </w:p>
    <w:tbl>
      <w:tblPr>
        <w:tblW w:w="5000" w:type="pct"/>
        <w:jc w:val="left"/>
        <w:tblInd w:w="0" w:type="dxa"/>
        <w:tblLayout w:type="fixed"/>
        <w:tblCellMar>
          <w:top w:w="60" w:type="dxa"/>
          <w:left w:w="60" w:type="dxa"/>
          <w:bottom w:w="60" w:type="dxa"/>
          <w:right w:w="60" w:type="dxa"/>
        </w:tblCellMar>
      </w:tblPr>
      <w:tblGrid>
        <w:gridCol w:w="345"/>
        <w:gridCol w:w="1891"/>
        <w:gridCol w:w="5977"/>
        <w:gridCol w:w="1992"/>
      </w:tblGrid>
      <w:tr>
        <w:trPr/>
        <w:tc>
          <w:tcPr>
            <w:tcW w:w="2236" w:type="dxa"/>
            <w:gridSpan w:val="2"/>
            <w:tcBorders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arial;helvetica;sans-serif" w:hAnsi="arial;helvetica;sans-serif"/>
                <w:b/>
                <w:sz w:val="36"/>
              </w:rPr>
            </w:pPr>
            <w:r>
              <w:rPr>
                <w:rFonts w:ascii="arial;helvetica;sans-serif" w:hAnsi="arial;helvetica;sans-serif"/>
                <w:b/>
                <w:sz w:val="36"/>
              </w:rPr>
              <w:t>FORM 4</w:t>
            </w:r>
          </w:p>
        </w:tc>
        <w:tc>
          <w:tcPr>
            <w:tcW w:w="5977" w:type="dxa"/>
            <w:vMerge w:val="restart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/>
            </w:pPr>
            <w:r>
              <w:rPr>
                <w:rFonts w:ascii="arial;helvetica;sans-serif" w:hAnsi="arial;helvetica;sans-serif"/>
                <w:b/>
                <w:sz w:val="28"/>
              </w:rPr>
              <w:t>UNITED STATES SECURITIES AND EXCHANGE COMMISSION</w:t>
            </w:r>
            <w:r>
              <w:rPr/>
              <w:br/>
            </w:r>
            <w:r>
              <w:rPr>
                <w:rFonts w:ascii="arial;helvetica;sans-serif" w:hAnsi="arial;helvetica;sans-serif"/>
                <w:sz w:val="20"/>
              </w:rPr>
              <w:t>Washington, D.C. 20549</w:t>
            </w:r>
            <w:r>
              <w:rPr/>
              <w:br/>
              <w:br/>
            </w:r>
            <w:r>
              <w:rPr>
                <w:rFonts w:ascii="arial;helvetica;sans-serif" w:hAnsi="arial;helvetica;sans-serif"/>
                <w:b/>
                <w:sz w:val="28"/>
              </w:rPr>
              <w:t>STATEMENT OF CHANGES IN BENEFICIAL OWNERSHIP</w:t>
            </w:r>
            <w:r>
              <w:rPr/>
              <w:br/>
              <w:br/>
            </w:r>
            <w:r>
              <w:rPr>
                <w:rFonts w:ascii="arial;helvetica;sans-serif" w:hAnsi="arial;helvetica;sans-serif"/>
                <w:sz w:val="20"/>
              </w:rPr>
              <w:t>Filed pursuant to Section 16(a) of the Securities Exchange Act of 1934</w:t>
            </w:r>
            <w:r>
              <w:rPr/>
              <w:br/>
            </w:r>
            <w:r>
              <w:rPr>
                <w:rFonts w:ascii="arial;helvetica;sans-serif" w:hAnsi="arial;helvetica;sans-serif"/>
                <w:sz w:val="20"/>
              </w:rPr>
              <w:t>or Section 30(h) of the Investment Company Act of 1940</w:t>
            </w:r>
            <w:r>
              <w:rPr/>
              <w:t xml:space="preserve"> </w:t>
            </w:r>
          </w:p>
        </w:tc>
        <w:tc>
          <w:tcPr>
            <w:tcW w:w="1992" w:type="dxa"/>
            <w:vMerge w:val="restart"/>
            <w:tcBorders/>
          </w:tcPr>
          <w:p>
            <w:pPr>
              <w:pStyle w:val="TableContents"/>
              <w:bidi w:val="0"/>
              <w:spacing w:before="0" w:after="0"/>
              <w:jc w:val="center"/>
              <w:rPr/>
            </w:pPr>
            <w:r>
              <w:rPr/>
              <w:t xml:space="preserve">  </w:t>
            </w:r>
          </w:p>
          <w:tbl>
            <w:tblPr>
              <w:tblW w:w="5000" w:type="pct"/>
              <w:jc w:val="center"/>
              <w:tblInd w:w="0" w:type="dxa"/>
              <w:tblLayout w:type="fixed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1872"/>
            </w:tblGrid>
            <w:tr>
              <w:trPr/>
              <w:tc>
                <w:tcPr>
                  <w:tcW w:w="1872" w:type="dxa"/>
                  <w:tcBorders>
                    <w:top w:val="double" w:sz="2" w:space="0" w:color="808080"/>
                    <w:left w:val="double" w:sz="2" w:space="0" w:color="808080"/>
                    <w:bottom w:val="double" w:sz="2" w:space="0" w:color="808080"/>
                    <w:right w:val="double" w:sz="2" w:space="0" w:color="808080"/>
                  </w:tcBorders>
                  <w:vAlign w:val="center"/>
                </w:tcPr>
                <w:p>
                  <w:pPr>
                    <w:pStyle w:val="TableContents"/>
                    <w:bidi w:val="0"/>
                    <w:spacing w:before="0" w:after="0"/>
                    <w:jc w:val="center"/>
                    <w:rPr>
                      <w:rFonts w:ascii="arial;helvetica;sans-serif" w:hAnsi="arial;helvetica;sans-serif"/>
                      <w:b w:val="false"/>
                      <w:sz w:val="24"/>
                    </w:rPr>
                  </w:pPr>
                  <w:r>
                    <w:rPr>
                      <w:rFonts w:ascii="arial;helvetica;sans-serif" w:hAnsi="arial;helvetica;sans-serif"/>
                      <w:b w:val="false"/>
                      <w:sz w:val="24"/>
                    </w:rPr>
                    <w:t>OMB APPROVAL</w:t>
                  </w:r>
                </w:p>
                <w:tbl>
                  <w:tblPr>
                    <w:tblW w:w="5000" w:type="pct"/>
                    <w:jc w:val="left"/>
                    <w:tblInd w:w="0" w:type="dxa"/>
                    <w:tblLayout w:type="fixed"/>
                    <w:tblCellMar>
                      <w:top w:w="28" w:type="dxa"/>
                      <w:left w:w="28" w:type="dxa"/>
                      <w:bottom w:w="28" w:type="dxa"/>
                      <w:right w:w="28" w:type="dxa"/>
                    </w:tblCellMar>
                  </w:tblPr>
                  <w:tblGrid>
                    <w:gridCol w:w="1147"/>
                    <w:gridCol w:w="669"/>
                  </w:tblGrid>
                  <w:tr>
                    <w:trPr/>
                    <w:tc>
                      <w:tcPr>
                        <w:tcW w:w="1147" w:type="dxa"/>
                        <w:tcBorders/>
                        <w:vAlign w:val="center"/>
                      </w:tcPr>
                      <w:p>
                        <w:pPr>
                          <w:pStyle w:val="TableContents"/>
                          <w:bidi w:val="0"/>
                          <w:spacing w:before="0" w:after="283"/>
                          <w:jc w:val="left"/>
                          <w:rPr>
                            <w:rFonts w:ascii="arial;helvetica;sans-serif" w:hAnsi="arial;helvetica;sans-serif"/>
                            <w:sz w:val="14"/>
                          </w:rPr>
                        </w:pPr>
                        <w:r>
                          <w:rPr>
                            <w:rFonts w:ascii="arial;helvetica;sans-serif" w:hAnsi="arial;helvetica;sans-serif"/>
                            <w:sz w:val="14"/>
                          </w:rPr>
                          <w:t>OMB Number:</w:t>
                        </w:r>
                      </w:p>
                    </w:tc>
                    <w:tc>
                      <w:tcPr>
                        <w:tcW w:w="669" w:type="dxa"/>
                        <w:tcBorders/>
                        <w:vAlign w:val="center"/>
                      </w:tcPr>
                      <w:p>
                        <w:pPr>
                          <w:pStyle w:val="TableContents"/>
                          <w:bidi w:val="0"/>
                          <w:spacing w:before="0" w:after="283"/>
                          <w:jc w:val="right"/>
                          <w:rPr>
                            <w:rFonts w:ascii="arial;helvetica;sans-serif" w:hAnsi="arial;helvetica;sans-serif"/>
                            <w:sz w:val="14"/>
                          </w:rPr>
                        </w:pPr>
                        <w:r>
                          <w:rPr>
                            <w:rFonts w:ascii="arial;helvetica;sans-serif" w:hAnsi="arial;helvetica;sans-serif"/>
                            <w:sz w:val="14"/>
                          </w:rPr>
                          <w:t>3235-0287</w:t>
                        </w:r>
                      </w:p>
                    </w:tc>
                  </w:tr>
                  <w:tr>
                    <w:trPr/>
                    <w:tc>
                      <w:tcPr>
                        <w:tcW w:w="1816" w:type="dxa"/>
                        <w:gridSpan w:val="2"/>
                        <w:tcBorders/>
                        <w:vAlign w:val="center"/>
                      </w:tcPr>
                      <w:p>
                        <w:pPr>
                          <w:pStyle w:val="TableContents"/>
                          <w:bidi w:val="0"/>
                          <w:spacing w:before="0" w:after="283"/>
                          <w:jc w:val="left"/>
                          <w:rPr>
                            <w:rFonts w:ascii="arial;helvetica;sans-serif" w:hAnsi="arial;helvetica;sans-serif"/>
                            <w:sz w:val="14"/>
                          </w:rPr>
                        </w:pPr>
                        <w:r>
                          <w:rPr>
                            <w:rFonts w:ascii="arial;helvetica;sans-serif" w:hAnsi="arial;helvetica;sans-serif"/>
                            <w:sz w:val="14"/>
                          </w:rPr>
                          <w:t>Estimated average burden</w:t>
                        </w:r>
                      </w:p>
                    </w:tc>
                  </w:tr>
                  <w:tr>
                    <w:trPr/>
                    <w:tc>
                      <w:tcPr>
                        <w:tcW w:w="1147" w:type="dxa"/>
                        <w:tcBorders/>
                        <w:vAlign w:val="center"/>
                      </w:tcPr>
                      <w:p>
                        <w:pPr>
                          <w:pStyle w:val="TableContents"/>
                          <w:bidi w:val="0"/>
                          <w:spacing w:before="0" w:after="283"/>
                          <w:jc w:val="left"/>
                          <w:rPr>
                            <w:rFonts w:ascii="arial;helvetica;sans-serif" w:hAnsi="arial;helvetica;sans-serif"/>
                            <w:sz w:val="14"/>
                          </w:rPr>
                        </w:pPr>
                        <w:r>
                          <w:rPr>
                            <w:rFonts w:ascii="arial;helvetica;sans-serif" w:hAnsi="arial;helvetica;sans-serif"/>
                            <w:sz w:val="14"/>
                          </w:rPr>
                          <w:t>hours per response:</w:t>
                        </w:r>
                      </w:p>
                    </w:tc>
                    <w:tc>
                      <w:tcPr>
                        <w:tcW w:w="669" w:type="dxa"/>
                        <w:tcBorders/>
                        <w:vAlign w:val="center"/>
                      </w:tcPr>
                      <w:p>
                        <w:pPr>
                          <w:pStyle w:val="TableContents"/>
                          <w:bidi w:val="0"/>
                          <w:spacing w:before="0" w:after="283"/>
                          <w:jc w:val="right"/>
                          <w:rPr>
                            <w:rFonts w:ascii="arial;helvetica;sans-serif" w:hAnsi="arial;helvetica;sans-serif"/>
                            <w:sz w:val="14"/>
                          </w:rPr>
                        </w:pPr>
                        <w:r>
                          <w:rPr>
                            <w:rFonts w:ascii="arial;helvetica;sans-serif" w:hAnsi="arial;helvetica;sans-serif"/>
                            <w:sz w:val="14"/>
                          </w:rPr>
                          <w:t>0.5</w:t>
                        </w:r>
                      </w:p>
                    </w:tc>
                  </w:tr>
                </w:tbl>
                <w:p>
                  <w:pPr>
                    <w:pStyle w:val="TableContents"/>
                    <w:bidi w:val="0"/>
                    <w:spacing w:before="0" w:after="283"/>
                    <w:jc w:val="left"/>
                    <w:rPr/>
                  </w:pPr>
                  <w:r>
                    <w:rPr/>
                  </w:r>
                </w:p>
              </w:tc>
            </w:tr>
            <w:tr>
              <w:trPr/>
              <w:tc>
                <w:tcPr>
                  <w:tcW w:w="1872" w:type="dxa"/>
                  <w:tcBorders>
                    <w:left w:val="double" w:sz="2" w:space="0" w:color="808080"/>
                    <w:bottom w:val="double" w:sz="2" w:space="0" w:color="808080"/>
                    <w:right w:val="double" w:sz="2" w:space="0" w:color="808080"/>
                  </w:tcBorders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sz w:val="4"/>
                      <w:szCs w:val="4"/>
                    </w:rPr>
                  </w:pPr>
                  <w:r>
                    <w:rPr>
                      <w:sz w:val="4"/>
                      <w:szCs w:val="4"/>
                    </w:rPr>
                  </w:r>
                </w:p>
              </w:tc>
            </w:tr>
          </w:tbl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</w:tr>
      <w:tr>
        <w:trPr/>
        <w:tc>
          <w:tcPr>
            <w:tcW w:w="345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/>
            </w:pPr>
            <w:r>
              <w:rPr/>
              <w:drawing>
                <wp:inline distT="0" distB="0" distL="0" distR="0">
                  <wp:extent cx="142875" cy="142875"/>
                  <wp:effectExtent l="0" t="0" r="0" b="0"/>
                  <wp:docPr id="1" name="Image1" descr="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" name="Image1" descr="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link="rId2"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42875" cy="142875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1891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Check this box if no longer subject to Section 16. Form 4 or Form 5 obligations may continue. </w:t>
            </w:r>
            <w:r>
              <w:rPr>
                <w:rFonts w:ascii="arial;helvetica;sans-serif" w:hAnsi="arial;helvetica;sans-serif"/>
                <w:i/>
                <w:sz w:val="14"/>
              </w:rPr>
              <w:t>See</w:t>
            </w:r>
            <w:r>
              <w:rPr>
                <w:rFonts w:ascii="arial;helvetica;sans-serif" w:hAnsi="arial;helvetica;sans-serif"/>
                <w:sz w:val="14"/>
              </w:rPr>
              <w:t xml:space="preserve"> Instruction 1(b).</w:t>
            </w:r>
          </w:p>
        </w:tc>
        <w:tc>
          <w:tcPr>
            <w:tcW w:w="5977" w:type="dxa"/>
            <w:vMerge w:val="continue"/>
            <w:tcBorders/>
            <w:vAlign w:val="center"/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1992" w:type="dxa"/>
            <w:vMerge w:val="continue"/>
            <w:tcBorders/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</w:tr>
      <w:tr>
        <w:trPr>
          <w:trHeight w:val="570" w:hRule="atLeast"/>
        </w:trPr>
        <w:tc>
          <w:tcPr>
            <w:tcW w:w="345" w:type="dxa"/>
            <w:tcBorders/>
          </w:tcPr>
          <w:p>
            <w:pPr>
              <w:pStyle w:val="TableContents"/>
              <w:bidi w:val="0"/>
              <w:spacing w:before="0" w:after="283"/>
              <w:jc w:val="left"/>
              <w:rPr/>
            </w:pPr>
            <w:r>
              <w:rPr/>
              <w:drawing>
                <wp:inline distT="0" distB="0" distL="0" distR="0">
                  <wp:extent cx="142875" cy="142875"/>
                  <wp:effectExtent l="0" t="0" r="0" b="0"/>
                  <wp:docPr id="2" name="Image2" descr="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2" name="Image2" descr="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link="rId3"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42875" cy="142875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1891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Check this box to indicate that a transaction was made pursuant to a contract, instruction or written plan for the purchase or sale of equity securities of the issuer that is intended to satisfy the affirmative defense conditions of Rule 10b5-1(c). See Instruction 10.</w:t>
            </w:r>
          </w:p>
        </w:tc>
        <w:tc>
          <w:tcPr>
            <w:tcW w:w="7969" w:type="dxa"/>
            <w:gridSpan w:val="2"/>
            <w:tcBorders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</w:tr>
    </w:tbl>
    <w:tbl>
      <w:tblPr>
        <w:tblW w:w="5000" w:type="pct"/>
        <w:jc w:val="left"/>
        <w:tblInd w:w="-7" w:type="dxa"/>
        <w:tblLayout w:type="fixed"/>
        <w:tblCellMar>
          <w:top w:w="60" w:type="dxa"/>
          <w:left w:w="60" w:type="dxa"/>
          <w:bottom w:w="60" w:type="dxa"/>
          <w:right w:w="60" w:type="dxa"/>
        </w:tblCellMar>
      </w:tblPr>
      <w:tblGrid>
        <w:gridCol w:w="3571"/>
        <w:gridCol w:w="3572"/>
        <w:gridCol w:w="3062"/>
      </w:tblGrid>
      <w:tr>
        <w:trPr/>
        <w:tc>
          <w:tcPr>
            <w:tcW w:w="3571" w:type="dxa"/>
            <w:vMerge w:val="restart"/>
            <w:tcBorders>
              <w:top w:val="single" w:sz="6" w:space="0" w:color="808080"/>
              <w:left w:val="single" w:sz="6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Contents"/>
              <w:bidi w:val="0"/>
              <w:spacing w:before="0" w:after="0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>1. Name and Address of Reporting Person</w:t>
            </w:r>
            <w:r>
              <w:rPr>
                <w:rFonts w:ascii="arial;helvetica;sans-serif" w:hAnsi="arial;helvetica;sans-serif"/>
                <w:position w:val="7"/>
                <w:sz w:val="16"/>
                <w:sz w:val="20"/>
              </w:rPr>
              <w:t>*</w:t>
            </w:r>
          </w:p>
          <w:tbl>
            <w:tblPr>
              <w:tblW w:w="5000" w:type="pct"/>
              <w:jc w:val="left"/>
              <w:tblInd w:w="0" w:type="dxa"/>
              <w:tblLayout w:type="fixed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3451"/>
            </w:tblGrid>
            <w:tr>
              <w:trPr/>
              <w:tc>
                <w:tcPr>
                  <w:tcW w:w="345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/>
                  </w:pPr>
                  <w:hyperlink r:id="rId4">
                    <w:r>
                      <w:rPr>
                        <w:rStyle w:val="InternetLink"/>
                      </w:rPr>
                      <w:t>West Kenneth J</w:t>
                    </w:r>
                  </w:hyperlink>
                </w:p>
              </w:tc>
            </w:tr>
          </w:tbl>
          <w:p>
            <w:pPr>
              <w:pStyle w:val="HorizontalLine"/>
              <w:pBdr>
                <w:bottom w:val="double" w:sz="2" w:space="0" w:color="808080"/>
              </w:pBdr>
              <w:bidi w:val="0"/>
              <w:spacing w:before="0" w:after="283"/>
              <w:jc w:val="left"/>
              <w:rPr/>
            </w:pPr>
            <w:r>
              <w:rPr/>
            </w:r>
          </w:p>
          <w:tbl>
            <w:tblPr>
              <w:tblW w:w="5000" w:type="pct"/>
              <w:jc w:val="left"/>
              <w:tblInd w:w="0" w:type="dxa"/>
              <w:tblLayout w:type="fixed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1150"/>
              <w:gridCol w:w="1150"/>
              <w:gridCol w:w="1151"/>
            </w:tblGrid>
            <w:tr>
              <w:trPr/>
              <w:tc>
                <w:tcPr>
                  <w:tcW w:w="115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(Last)</w:t>
                  </w:r>
                </w:p>
              </w:tc>
              <w:tc>
                <w:tcPr>
                  <w:tcW w:w="115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(First)</w:t>
                  </w:r>
                </w:p>
              </w:tc>
              <w:tc>
                <w:tcPr>
                  <w:tcW w:w="115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(Middle)</w:t>
                  </w:r>
                </w:p>
              </w:tc>
            </w:tr>
          </w:tbl>
          <w:tbl>
            <w:tblPr>
              <w:tblW w:w="5000" w:type="pct"/>
              <w:jc w:val="left"/>
              <w:tblInd w:w="0" w:type="dxa"/>
              <w:tblLayout w:type="fixed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3451"/>
            </w:tblGrid>
            <w:tr>
              <w:trPr/>
              <w:tc>
                <w:tcPr>
                  <w:tcW w:w="345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</w:pPr>
                  <w:r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  <w:t>855 S. MINT STREET</w:t>
                  </w:r>
                </w:p>
              </w:tc>
            </w:tr>
            <w:tr>
              <w:trPr/>
              <w:tc>
                <w:tcPr>
                  <w:tcW w:w="345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sz w:val="4"/>
                      <w:szCs w:val="4"/>
                    </w:rPr>
                  </w:pPr>
                  <w:r>
                    <w:rPr>
                      <w:sz w:val="4"/>
                      <w:szCs w:val="4"/>
                    </w:rPr>
                  </w:r>
                </w:p>
              </w:tc>
            </w:tr>
          </w:tbl>
          <w:p>
            <w:pPr>
              <w:pStyle w:val="HorizontalLine"/>
              <w:pBdr>
                <w:bottom w:val="double" w:sz="2" w:space="0" w:color="808080"/>
              </w:pBdr>
              <w:bidi w:val="0"/>
              <w:spacing w:before="0" w:after="283"/>
              <w:jc w:val="left"/>
              <w:rPr/>
            </w:pPr>
            <w:r>
              <w:rPr/>
            </w:r>
          </w:p>
          <w:p>
            <w:pPr>
              <w:pStyle w:val="TableContents"/>
              <w:bidi w:val="0"/>
              <w:spacing w:before="0" w:after="0"/>
              <w:jc w:val="left"/>
              <w:rPr/>
            </w:pPr>
            <w:r>
              <w:rPr>
                <w:rFonts w:ascii="arial;helvetica;sans-serif" w:hAnsi="arial;helvetica;sans-serif"/>
                <w:sz w:val="20"/>
              </w:rPr>
              <w:t>(Street)</w:t>
            </w:r>
            <w:r>
              <w:rPr/>
              <w:t xml:space="preserve"> </w:t>
            </w:r>
          </w:p>
          <w:tbl>
            <w:tblPr>
              <w:tblW w:w="5000" w:type="pct"/>
              <w:jc w:val="left"/>
              <w:tblInd w:w="0" w:type="dxa"/>
              <w:tblLayout w:type="fixed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1150"/>
              <w:gridCol w:w="1150"/>
              <w:gridCol w:w="1151"/>
            </w:tblGrid>
            <w:tr>
              <w:trPr/>
              <w:tc>
                <w:tcPr>
                  <w:tcW w:w="115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</w:pPr>
                  <w:r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  <w:t>CHARLOTTE</w:t>
                  </w:r>
                </w:p>
              </w:tc>
              <w:tc>
                <w:tcPr>
                  <w:tcW w:w="115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</w:pPr>
                  <w:r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  <w:t>NC</w:t>
                  </w:r>
                </w:p>
              </w:tc>
              <w:tc>
                <w:tcPr>
                  <w:tcW w:w="115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</w:pPr>
                  <w:r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  <w:t>28202</w:t>
                  </w:r>
                </w:p>
              </w:tc>
            </w:tr>
          </w:tbl>
          <w:p>
            <w:pPr>
              <w:pStyle w:val="HorizontalLine"/>
              <w:pBdr>
                <w:bottom w:val="double" w:sz="2" w:space="0" w:color="808080"/>
              </w:pBdr>
              <w:bidi w:val="0"/>
              <w:spacing w:before="0" w:after="283"/>
              <w:jc w:val="left"/>
              <w:rPr/>
            </w:pPr>
            <w:r>
              <w:rPr/>
            </w:r>
          </w:p>
          <w:tbl>
            <w:tblPr>
              <w:tblW w:w="5000" w:type="pct"/>
              <w:jc w:val="left"/>
              <w:tblInd w:w="0" w:type="dxa"/>
              <w:tblLayout w:type="fixed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1150"/>
              <w:gridCol w:w="1150"/>
              <w:gridCol w:w="1151"/>
            </w:tblGrid>
            <w:tr>
              <w:trPr/>
              <w:tc>
                <w:tcPr>
                  <w:tcW w:w="115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(City)</w:t>
                  </w:r>
                </w:p>
              </w:tc>
              <w:tc>
                <w:tcPr>
                  <w:tcW w:w="115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(State)</w:t>
                  </w:r>
                </w:p>
              </w:tc>
              <w:tc>
                <w:tcPr>
                  <w:tcW w:w="115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(Zip)</w:t>
                  </w:r>
                </w:p>
              </w:tc>
            </w:tr>
          </w:tbl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3572" w:type="dxa"/>
            <w:tcBorders>
              <w:top w:val="single" w:sz="6" w:space="0" w:color="808080"/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Contents"/>
              <w:bidi w:val="0"/>
              <w:spacing w:before="0" w:after="283"/>
              <w:jc w:val="left"/>
              <w:rPr/>
            </w:pPr>
            <w:r>
              <w:rPr>
                <w:rFonts w:ascii="arial;helvetica;sans-serif" w:hAnsi="arial;helvetica;sans-serif"/>
                <w:sz w:val="20"/>
              </w:rPr>
              <w:t xml:space="preserve">2. Issuer Name </w:t>
            </w:r>
            <w:r>
              <w:rPr>
                <w:rFonts w:ascii="arial;helvetica;sans-serif" w:hAnsi="arial;helvetica;sans-serif"/>
                <w:b/>
                <w:sz w:val="20"/>
              </w:rPr>
              <w:t>and</w:t>
            </w:r>
            <w:r>
              <w:rPr>
                <w:rFonts w:ascii="arial;helvetica;sans-serif" w:hAnsi="arial;helvetica;sans-serif"/>
                <w:sz w:val="20"/>
              </w:rPr>
              <w:t xml:space="preserve"> Ticker or Trading Symbol </w:t>
            </w:r>
            <w:r>
              <w:rPr/>
              <w:br/>
            </w:r>
            <w:hyperlink r:id="rId5">
              <w:r>
                <w:rPr>
                  <w:rStyle w:val="InternetLink"/>
                </w:rPr>
                <w:t>HONEYWELL INTERNATIONAL INC</w:t>
              </w:r>
            </w:hyperlink>
            <w:r>
              <w:rPr/>
              <w:t xml:space="preserve"> [ </w:t>
            </w: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HON</w:t>
            </w:r>
            <w:r>
              <w:rPr/>
              <w:t xml:space="preserve"> ] </w:t>
            </w:r>
          </w:p>
        </w:tc>
        <w:tc>
          <w:tcPr>
            <w:tcW w:w="3062" w:type="dxa"/>
            <w:vMerge w:val="restart"/>
            <w:tcBorders>
              <w:top w:val="single" w:sz="6" w:space="0" w:color="808080"/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Contents"/>
              <w:bidi w:val="0"/>
              <w:spacing w:before="0" w:after="0"/>
              <w:jc w:val="left"/>
              <w:rPr/>
            </w:pPr>
            <w:r>
              <w:rPr>
                <w:rFonts w:ascii="arial;helvetica;sans-serif" w:hAnsi="arial;helvetica;sans-serif"/>
                <w:sz w:val="20"/>
              </w:rPr>
              <w:t xml:space="preserve">5. Relationship of Reporting Person(s) to Issuer </w:t>
            </w:r>
            <w:r>
              <w:rPr/>
              <w:br/>
            </w:r>
            <w:r>
              <w:rPr>
                <w:rFonts w:ascii="arial;helvetica;sans-serif" w:hAnsi="arial;helvetica;sans-serif"/>
                <w:sz w:val="20"/>
              </w:rPr>
              <w:t>(Check all applicable)</w:t>
            </w:r>
            <w:r>
              <w:rPr/>
              <w:t xml:space="preserve"> </w:t>
            </w:r>
          </w:p>
          <w:tbl>
            <w:tblPr>
              <w:tblW w:w="5000" w:type="pct"/>
              <w:jc w:val="left"/>
              <w:tblInd w:w="0" w:type="dxa"/>
              <w:tblLayout w:type="fixed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440"/>
              <w:gridCol w:w="1031"/>
              <w:gridCol w:w="440"/>
              <w:gridCol w:w="1031"/>
            </w:tblGrid>
            <w:tr>
              <w:trPr/>
              <w:tc>
                <w:tcPr>
                  <w:tcW w:w="44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sz w:val="4"/>
                      <w:szCs w:val="4"/>
                    </w:rPr>
                  </w:pPr>
                  <w:r>
                    <w:rPr>
                      <w:sz w:val="4"/>
                      <w:szCs w:val="4"/>
                    </w:rPr>
                  </w:r>
                </w:p>
              </w:tc>
              <w:tc>
                <w:tcPr>
                  <w:tcW w:w="103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Director</w:t>
                  </w:r>
                </w:p>
              </w:tc>
              <w:tc>
                <w:tcPr>
                  <w:tcW w:w="44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sz w:val="4"/>
                      <w:szCs w:val="4"/>
                    </w:rPr>
                  </w:pPr>
                  <w:r>
                    <w:rPr>
                      <w:sz w:val="4"/>
                      <w:szCs w:val="4"/>
                    </w:rPr>
                  </w:r>
                </w:p>
              </w:tc>
              <w:tc>
                <w:tcPr>
                  <w:tcW w:w="103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10% Owner</w:t>
                  </w:r>
                </w:p>
              </w:tc>
            </w:tr>
            <w:tr>
              <w:trPr/>
              <w:tc>
                <w:tcPr>
                  <w:tcW w:w="44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center"/>
                    <w:rPr>
                      <w:color w:val="0000FF"/>
                      <w:shd w:fill="FFFFFF" w:val="clear"/>
                    </w:rPr>
                  </w:pPr>
                  <w:r>
                    <w:rPr>
                      <w:color w:val="0000FF"/>
                      <w:shd w:fill="FFFFFF" w:val="clear"/>
                    </w:rPr>
                    <w:drawing>
                      <wp:inline distT="0" distB="0" distL="0" distR="0">
                        <wp:extent cx="142875" cy="142875"/>
                        <wp:effectExtent l="0" t="0" r="0" b="0"/>
                        <wp:docPr id="3" name="Image3" descr=""/>
                        <wp:cNvGraphicFramePr>
                          <a:graphicFrameLocks xmlns:a="http://schemas.openxmlformats.org/drawingml/2006/main" noChangeAspect="1"/>
                        </wp:cNvGraphicFramePr>
                        <a:graphic xmlns:a="http://schemas.openxmlformats.org/drawingml/2006/main">
                          <a:graphicData uri="http://schemas.openxmlformats.org/drawingml/2006/picture">
                            <pic:pic xmlns:pic="http://schemas.openxmlformats.org/drawingml/2006/picture">
                              <pic:nvPicPr>
                                <pic:cNvPr id="3" name="Image3" descr=""/>
                                <pic:cNvPicPr>
                                  <a:picLocks noChangeAspect="1" noChangeArrowheads="1"/>
                                </pic:cNvPicPr>
                              </pic:nvPicPr>
                              <pic:blipFill>
                                <a:blip r:link="rId6"/>
                                <a:stretch>
                                  <a:fillRect/>
                                </a:stretch>
                              </pic:blipFill>
                              <pic:spPr bwMode="auto">
                                <a:xfrm>
                                  <a:off x="0" y="0"/>
                                  <a:ext cx="142875" cy="142875"/>
                                </a:xfrm>
                                <a:prstGeom prst="rect">
                                  <a:avLst/>
                                </a:prstGeom>
                              </pic:spPr>
                            </pic:pic>
                          </a:graphicData>
                        </a:graphic>
                      </wp:inline>
                    </w:drawing>
                  </w:r>
                </w:p>
              </w:tc>
              <w:tc>
                <w:tcPr>
                  <w:tcW w:w="103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Officer (give title below)</w:t>
                  </w:r>
                </w:p>
              </w:tc>
              <w:tc>
                <w:tcPr>
                  <w:tcW w:w="44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sz w:val="4"/>
                      <w:szCs w:val="4"/>
                    </w:rPr>
                  </w:pPr>
                  <w:r>
                    <w:rPr>
                      <w:sz w:val="4"/>
                      <w:szCs w:val="4"/>
                    </w:rPr>
                  </w:r>
                </w:p>
              </w:tc>
              <w:tc>
                <w:tcPr>
                  <w:tcW w:w="103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Other (specify below)</w:t>
                  </w:r>
                </w:p>
              </w:tc>
            </w:tr>
            <w:tr>
              <w:trPr/>
              <w:tc>
                <w:tcPr>
                  <w:tcW w:w="2942" w:type="dxa"/>
                  <w:gridSpan w:val="4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center"/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</w:pPr>
                  <w:r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  <w:t>Pres/CEO Process Technologies</w:t>
                  </w:r>
                </w:p>
              </w:tc>
            </w:tr>
          </w:tbl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</w:tr>
      <w:tr>
        <w:trPr/>
        <w:tc>
          <w:tcPr>
            <w:tcW w:w="3571" w:type="dxa"/>
            <w:vMerge w:val="continue"/>
            <w:tcBorders>
              <w:left w:val="single" w:sz="6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3572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Contents"/>
              <w:bidi w:val="0"/>
              <w:spacing w:before="0" w:after="283"/>
              <w:jc w:val="left"/>
              <w:rPr/>
            </w:pPr>
            <w:r>
              <w:rPr>
                <w:rFonts w:ascii="arial;helvetica;sans-serif" w:hAnsi="arial;helvetica;sans-serif"/>
                <w:sz w:val="20"/>
              </w:rPr>
              <w:t>3. Date of Earliest Transaction (Month/Day/Year)</w:t>
            </w:r>
            <w:r>
              <w:rPr/>
              <w:br/>
            </w: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02/23/2026</w:t>
            </w:r>
            <w:r>
              <w:rPr/>
              <w:t xml:space="preserve"> </w:t>
            </w:r>
          </w:p>
        </w:tc>
        <w:tc>
          <w:tcPr>
            <w:tcW w:w="3062" w:type="dxa"/>
            <w:vMerge w:val="continue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</w:tr>
      <w:tr>
        <w:trPr/>
        <w:tc>
          <w:tcPr>
            <w:tcW w:w="3571" w:type="dxa"/>
            <w:vMerge w:val="continue"/>
            <w:tcBorders>
              <w:left w:val="single" w:sz="6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3572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>4. If Amendment, Date of Original Filed (Month/Day/Year)</w:t>
            </w:r>
          </w:p>
        </w:tc>
        <w:tc>
          <w:tcPr>
            <w:tcW w:w="3062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TableContents"/>
              <w:bidi w:val="0"/>
              <w:spacing w:before="0" w:after="0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 xml:space="preserve">6. Individual or Joint/Group Filing (Check Applicable Line) </w:t>
            </w:r>
          </w:p>
          <w:tbl>
            <w:tblPr>
              <w:tblW w:w="5000" w:type="pct"/>
              <w:jc w:val="left"/>
              <w:tblInd w:w="0" w:type="dxa"/>
              <w:tblLayout w:type="fixed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440"/>
              <w:gridCol w:w="2502"/>
            </w:tblGrid>
            <w:tr>
              <w:trPr/>
              <w:tc>
                <w:tcPr>
                  <w:tcW w:w="44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center"/>
                    <w:rPr>
                      <w:color w:val="0000FF"/>
                      <w:shd w:fill="FFFFFF" w:val="clear"/>
                    </w:rPr>
                  </w:pPr>
                  <w:r>
                    <w:rPr>
                      <w:color w:val="0000FF"/>
                      <w:shd w:fill="FFFFFF" w:val="clear"/>
                    </w:rPr>
                    <w:drawing>
                      <wp:inline distT="0" distB="0" distL="0" distR="0">
                        <wp:extent cx="142875" cy="142875"/>
                        <wp:effectExtent l="0" t="0" r="0" b="0"/>
                        <wp:docPr id="4" name="Image4" descr=""/>
                        <wp:cNvGraphicFramePr>
                          <a:graphicFrameLocks xmlns:a="http://schemas.openxmlformats.org/drawingml/2006/main" noChangeAspect="1"/>
                        </wp:cNvGraphicFramePr>
                        <a:graphic xmlns:a="http://schemas.openxmlformats.org/drawingml/2006/main">
                          <a:graphicData uri="http://schemas.openxmlformats.org/drawingml/2006/picture">
                            <pic:pic xmlns:pic="http://schemas.openxmlformats.org/drawingml/2006/picture">
                              <pic:nvPicPr>
                                <pic:cNvPr id="4" name="Image4" descr=""/>
                                <pic:cNvPicPr>
                                  <a:picLocks noChangeAspect="1" noChangeArrowheads="1"/>
                                </pic:cNvPicPr>
                              </pic:nvPicPr>
                              <pic:blipFill>
                                <a:blip r:link="rId7"/>
                                <a:stretch>
                                  <a:fillRect/>
                                </a:stretch>
                              </pic:blipFill>
                              <pic:spPr bwMode="auto">
                                <a:xfrm>
                                  <a:off x="0" y="0"/>
                                  <a:ext cx="142875" cy="142875"/>
                                </a:xfrm>
                                <a:prstGeom prst="rect">
                                  <a:avLst/>
                                </a:prstGeom>
                              </pic:spPr>
                            </pic:pic>
                          </a:graphicData>
                        </a:graphic>
                      </wp:inline>
                    </w:drawing>
                  </w:r>
                </w:p>
              </w:tc>
              <w:tc>
                <w:tcPr>
                  <w:tcW w:w="2502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Form filed by One Reporting Person</w:t>
                  </w:r>
                </w:p>
              </w:tc>
            </w:tr>
            <w:tr>
              <w:trPr/>
              <w:tc>
                <w:tcPr>
                  <w:tcW w:w="44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sz w:val="4"/>
                      <w:szCs w:val="4"/>
                    </w:rPr>
                  </w:pPr>
                  <w:r>
                    <w:rPr>
                      <w:sz w:val="4"/>
                      <w:szCs w:val="4"/>
                    </w:rPr>
                  </w:r>
                </w:p>
              </w:tc>
              <w:tc>
                <w:tcPr>
                  <w:tcW w:w="2502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Form filed by More than One Reporting Person</w:t>
                  </w:r>
                </w:p>
              </w:tc>
            </w:tr>
          </w:tbl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</w:tr>
    </w:tbl>
    <w:tbl>
      <w:tblPr>
        <w:tblW w:w="5000" w:type="pct"/>
        <w:jc w:val="left"/>
        <w:tblInd w:w="-7" w:type="dxa"/>
        <w:tblLayout w:type="fixed"/>
        <w:tblCellMar>
          <w:top w:w="60" w:type="dxa"/>
          <w:left w:w="60" w:type="dxa"/>
          <w:bottom w:w="60" w:type="dxa"/>
          <w:right w:w="60" w:type="dxa"/>
        </w:tblCellMar>
      </w:tblPr>
      <w:tblGrid>
        <w:gridCol w:w="2352"/>
        <w:gridCol w:w="902"/>
        <w:gridCol w:w="771"/>
        <w:gridCol w:w="599"/>
        <w:gridCol w:w="347"/>
        <w:gridCol w:w="799"/>
        <w:gridCol w:w="452"/>
        <w:gridCol w:w="838"/>
        <w:gridCol w:w="1232"/>
        <w:gridCol w:w="993"/>
        <w:gridCol w:w="920"/>
      </w:tblGrid>
      <w:tr>
        <w:trPr>
          <w:tblHeader w:val="true"/>
        </w:trPr>
        <w:tc>
          <w:tcPr>
            <w:tcW w:w="10205" w:type="dxa"/>
            <w:gridSpan w:val="11"/>
            <w:tcBorders>
              <w:top w:val="single" w:sz="6" w:space="0" w:color="808080"/>
              <w:left w:val="single" w:sz="6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center"/>
              <w:rPr>
                <w:rFonts w:ascii="arial;helvetica;sans-serif" w:hAnsi="arial;helvetica;sans-serif"/>
                <w:b/>
                <w:sz w:val="24"/>
              </w:rPr>
            </w:pPr>
            <w:r>
              <w:rPr>
                <w:rFonts w:ascii="arial;helvetica;sans-serif" w:hAnsi="arial;helvetica;sans-serif"/>
                <w:b/>
                <w:sz w:val="24"/>
              </w:rPr>
              <w:t>Table I - Non-Derivative Securities Acquired, Disposed of, or Beneficially Owned</w:t>
            </w:r>
          </w:p>
        </w:tc>
      </w:tr>
      <w:tr>
        <w:trPr>
          <w:tblHeader w:val="true"/>
        </w:trPr>
        <w:tc>
          <w:tcPr>
            <w:tcW w:w="2352" w:type="dxa"/>
            <w:vMerge w:val="restart"/>
            <w:tcBorders>
              <w:left w:val="single" w:sz="6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 xml:space="preserve">1. Title of Security (Instr. 3) </w:t>
            </w:r>
          </w:p>
        </w:tc>
        <w:tc>
          <w:tcPr>
            <w:tcW w:w="902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2. Transaction Date (Month/Day/Year)</w:t>
            </w:r>
          </w:p>
        </w:tc>
        <w:tc>
          <w:tcPr>
            <w:tcW w:w="771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2A. Deemed Execution Date, if any (Month/Day/Year)</w:t>
            </w:r>
          </w:p>
        </w:tc>
        <w:tc>
          <w:tcPr>
            <w:tcW w:w="946" w:type="dxa"/>
            <w:gridSpan w:val="2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3. Transaction Code (Instr. 8) </w:t>
            </w:r>
          </w:p>
        </w:tc>
        <w:tc>
          <w:tcPr>
            <w:tcW w:w="2089" w:type="dxa"/>
            <w:gridSpan w:val="3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4. Securities Acquired (A) or Disposed Of (D) (Instr. 3, 4 and 5) </w:t>
            </w:r>
          </w:p>
        </w:tc>
        <w:tc>
          <w:tcPr>
            <w:tcW w:w="1232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5. Amount of Securities Beneficially Owned Following Reported Transaction(s) (Instr. 3 and 4) </w:t>
            </w:r>
          </w:p>
        </w:tc>
        <w:tc>
          <w:tcPr>
            <w:tcW w:w="993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6. Ownership Form: Direct (D) or Indirect (I) (Instr. 4) </w:t>
            </w:r>
          </w:p>
        </w:tc>
        <w:tc>
          <w:tcPr>
            <w:tcW w:w="920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7. Nature of Indirect Beneficial Ownership (Instr. 4) </w:t>
            </w:r>
          </w:p>
        </w:tc>
      </w:tr>
      <w:tr>
        <w:trPr>
          <w:tblHeader w:val="true"/>
        </w:trPr>
        <w:tc>
          <w:tcPr>
            <w:tcW w:w="2352" w:type="dxa"/>
            <w:vMerge w:val="continue"/>
            <w:tcBorders>
              <w:left w:val="single" w:sz="6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902" w:type="dxa"/>
            <w:vMerge w:val="continue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771" w:type="dxa"/>
            <w:vMerge w:val="continue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599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Code</w:t>
            </w:r>
          </w:p>
        </w:tc>
        <w:tc>
          <w:tcPr>
            <w:tcW w:w="347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V</w:t>
            </w:r>
          </w:p>
        </w:tc>
        <w:tc>
          <w:tcPr>
            <w:tcW w:w="799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Amount</w:t>
            </w:r>
          </w:p>
        </w:tc>
        <w:tc>
          <w:tcPr>
            <w:tcW w:w="452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(A) or (D)</w:t>
            </w:r>
          </w:p>
        </w:tc>
        <w:tc>
          <w:tcPr>
            <w:tcW w:w="838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Price</w:t>
            </w:r>
          </w:p>
        </w:tc>
        <w:tc>
          <w:tcPr>
            <w:tcW w:w="1232" w:type="dxa"/>
            <w:vMerge w:val="continue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993" w:type="dxa"/>
            <w:vMerge w:val="continue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920" w:type="dxa"/>
            <w:vMerge w:val="continue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</w:tr>
      <w:tr>
        <w:trPr/>
        <w:tc>
          <w:tcPr>
            <w:tcW w:w="2352" w:type="dxa"/>
            <w:tcBorders>
              <w:left w:val="single" w:sz="6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Common Stock</w:t>
            </w:r>
          </w:p>
        </w:tc>
        <w:tc>
          <w:tcPr>
            <w:tcW w:w="902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02/23/2026</w:t>
            </w:r>
          </w:p>
        </w:tc>
        <w:tc>
          <w:tcPr>
            <w:tcW w:w="771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599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0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0"/>
                <w:shd w:fill="FFFFFF" w:val="clear"/>
              </w:rPr>
              <w:t>M</w:t>
            </w:r>
          </w:p>
        </w:tc>
        <w:tc>
          <w:tcPr>
            <w:tcW w:w="347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799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/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965</w:t>
            </w:r>
            <w:r>
              <w:rPr>
                <w:rFonts w:ascii="Times;serif" w:hAnsi="Times;serif"/>
                <w:color w:val="008000"/>
                <w:position w:val="7"/>
                <w:sz w:val="16"/>
                <w:sz w:val="20"/>
                <w:shd w:fill="FFFFFF" w:val="clear"/>
              </w:rPr>
              <w:t>(1)</w:t>
            </w:r>
            <w:r>
              <w:rPr/>
              <w:t xml:space="preserve"> </w:t>
            </w:r>
          </w:p>
        </w:tc>
        <w:tc>
          <w:tcPr>
            <w:tcW w:w="452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A</w:t>
            </w:r>
          </w:p>
        </w:tc>
        <w:tc>
          <w:tcPr>
            <w:tcW w:w="838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8000"/>
                <w:position w:val="7"/>
                <w:sz w:val="16"/>
                <w:sz w:val="20"/>
                <w:shd w:fill="FFFFFF" w:val="clear"/>
              </w:rPr>
            </w:pPr>
            <w:r>
              <w:rPr>
                <w:rFonts w:ascii="Times;serif" w:hAnsi="Times;serif"/>
                <w:color w:val="008000"/>
                <w:position w:val="7"/>
                <w:sz w:val="16"/>
                <w:sz w:val="20"/>
                <w:shd w:fill="FFFFFF" w:val="clear"/>
              </w:rPr>
              <w:t>(2)</w:t>
            </w:r>
          </w:p>
        </w:tc>
        <w:tc>
          <w:tcPr>
            <w:tcW w:w="1232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4,608</w:t>
            </w:r>
          </w:p>
        </w:tc>
        <w:tc>
          <w:tcPr>
            <w:tcW w:w="993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D</w:t>
            </w:r>
          </w:p>
        </w:tc>
        <w:tc>
          <w:tcPr>
            <w:tcW w:w="920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</w:tr>
      <w:tr>
        <w:trPr/>
        <w:tc>
          <w:tcPr>
            <w:tcW w:w="2352" w:type="dxa"/>
            <w:tcBorders>
              <w:left w:val="single" w:sz="6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Common Stock</w:t>
            </w:r>
          </w:p>
        </w:tc>
        <w:tc>
          <w:tcPr>
            <w:tcW w:w="902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02/23/2026</w:t>
            </w:r>
          </w:p>
        </w:tc>
        <w:tc>
          <w:tcPr>
            <w:tcW w:w="771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599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0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0"/>
                <w:shd w:fill="FFFFFF" w:val="clear"/>
              </w:rPr>
              <w:t>F</w:t>
            </w:r>
          </w:p>
        </w:tc>
        <w:tc>
          <w:tcPr>
            <w:tcW w:w="347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799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467</w:t>
            </w:r>
          </w:p>
        </w:tc>
        <w:tc>
          <w:tcPr>
            <w:tcW w:w="452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D</w:t>
            </w:r>
          </w:p>
        </w:tc>
        <w:tc>
          <w:tcPr>
            <w:tcW w:w="838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/>
            </w:pPr>
            <w:r>
              <w:rPr>
                <w:rFonts w:ascii="arial;helvetica;sans-serif" w:hAnsi="arial;helvetica;sans-serif"/>
                <w:b w:val="false"/>
                <w:sz w:val="24"/>
              </w:rPr>
              <w:t>$</w:t>
            </w: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244.19</w:t>
            </w:r>
            <w:r>
              <w:rPr/>
              <w:t xml:space="preserve"> </w:t>
            </w:r>
          </w:p>
        </w:tc>
        <w:tc>
          <w:tcPr>
            <w:tcW w:w="1232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4,141</w:t>
            </w:r>
          </w:p>
        </w:tc>
        <w:tc>
          <w:tcPr>
            <w:tcW w:w="993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D</w:t>
            </w:r>
          </w:p>
        </w:tc>
        <w:tc>
          <w:tcPr>
            <w:tcW w:w="920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</w:tr>
      <w:tr>
        <w:trPr/>
        <w:tc>
          <w:tcPr>
            <w:tcW w:w="2352" w:type="dxa"/>
            <w:tcBorders>
              <w:left w:val="single" w:sz="6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Common Stock</w:t>
            </w:r>
          </w:p>
        </w:tc>
        <w:tc>
          <w:tcPr>
            <w:tcW w:w="902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771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599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347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799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452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838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1232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738.5797</w:t>
            </w:r>
          </w:p>
        </w:tc>
        <w:tc>
          <w:tcPr>
            <w:tcW w:w="993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I</w:t>
            </w:r>
          </w:p>
        </w:tc>
        <w:tc>
          <w:tcPr>
            <w:tcW w:w="920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Held in 401(k) plan</w:t>
            </w:r>
          </w:p>
        </w:tc>
      </w:tr>
    </w:tbl>
    <w:tbl>
      <w:tblPr>
        <w:tblW w:w="11843" w:type="dxa"/>
        <w:jc w:val="left"/>
        <w:tblInd w:w="-7" w:type="dxa"/>
        <w:tblLayout w:type="fixed"/>
        <w:tblCellMar>
          <w:top w:w="60" w:type="dxa"/>
          <w:left w:w="60" w:type="dxa"/>
          <w:bottom w:w="60" w:type="dxa"/>
          <w:right w:w="60" w:type="dxa"/>
        </w:tblCellMar>
      </w:tblPr>
      <w:tblGrid>
        <w:gridCol w:w="980"/>
        <w:gridCol w:w="861"/>
        <w:gridCol w:w="891"/>
        <w:gridCol w:w="771"/>
        <w:gridCol w:w="591"/>
        <w:gridCol w:w="300"/>
        <w:gridCol w:w="285"/>
        <w:gridCol w:w="516"/>
        <w:gridCol w:w="906"/>
        <w:gridCol w:w="801"/>
        <w:gridCol w:w="891"/>
        <w:gridCol w:w="636"/>
        <w:gridCol w:w="801"/>
        <w:gridCol w:w="936"/>
        <w:gridCol w:w="831"/>
        <w:gridCol w:w="846"/>
      </w:tblGrid>
      <w:tr>
        <w:trPr>
          <w:tblHeader w:val="true"/>
        </w:trPr>
        <w:tc>
          <w:tcPr>
            <w:tcW w:w="11843" w:type="dxa"/>
            <w:gridSpan w:val="16"/>
            <w:tcBorders>
              <w:top w:val="single" w:sz="6" w:space="0" w:color="808080"/>
              <w:left w:val="single" w:sz="6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center"/>
              <w:rPr>
                <w:rFonts w:ascii="arial;helvetica;sans-serif" w:hAnsi="arial;helvetica;sans-serif"/>
                <w:b w:val="false"/>
                <w:sz w:val="24"/>
              </w:rPr>
            </w:pPr>
            <w:r>
              <w:rPr>
                <w:rFonts w:ascii="arial;helvetica;sans-serif" w:hAnsi="arial;helvetica;sans-serif"/>
                <w:b/>
                <w:sz w:val="24"/>
              </w:rPr>
              <w:t>Table II - Derivative Securities Acquired, Disposed of, or Beneficially Owned</w:t>
            </w:r>
            <w:r>
              <w:rPr>
                <w:rFonts w:ascii="arial;helvetica;sans-serif" w:hAnsi="arial;helvetica;sans-serif"/>
                <w:b w:val="false"/>
                <w:sz w:val="24"/>
              </w:rPr>
              <w:br/>
            </w:r>
            <w:r>
              <w:rPr>
                <w:rFonts w:ascii="arial;helvetica;sans-serif" w:hAnsi="arial;helvetica;sans-serif"/>
                <w:b/>
                <w:sz w:val="24"/>
              </w:rPr>
              <w:t>(e.g., puts, calls, warrants, options, convertible securities)</w:t>
            </w:r>
            <w:r>
              <w:rPr>
                <w:rFonts w:ascii="arial;helvetica;sans-serif" w:hAnsi="arial;helvetica;sans-serif"/>
                <w:b w:val="false"/>
                <w:sz w:val="24"/>
              </w:rPr>
              <w:t xml:space="preserve"> </w:t>
            </w:r>
          </w:p>
        </w:tc>
      </w:tr>
      <w:tr>
        <w:trPr>
          <w:tblHeader w:val="true"/>
        </w:trPr>
        <w:tc>
          <w:tcPr>
            <w:tcW w:w="980" w:type="dxa"/>
            <w:vMerge w:val="restart"/>
            <w:tcBorders>
              <w:left w:val="single" w:sz="6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1. Title of Derivative Security (Instr. 3) </w:t>
            </w:r>
          </w:p>
        </w:tc>
        <w:tc>
          <w:tcPr>
            <w:tcW w:w="861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2. Conversion or Exercise Price of Derivative Security </w:t>
            </w:r>
          </w:p>
        </w:tc>
        <w:tc>
          <w:tcPr>
            <w:tcW w:w="891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3. Transaction Date (Month/Day/Year)</w:t>
            </w:r>
          </w:p>
        </w:tc>
        <w:tc>
          <w:tcPr>
            <w:tcW w:w="771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3A. Deemed Execution Date, if any (Month/Day/Year)</w:t>
            </w:r>
          </w:p>
        </w:tc>
        <w:tc>
          <w:tcPr>
            <w:tcW w:w="891" w:type="dxa"/>
            <w:gridSpan w:val="2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4. Transaction Code (Instr. 8) </w:t>
            </w:r>
          </w:p>
        </w:tc>
        <w:tc>
          <w:tcPr>
            <w:tcW w:w="801" w:type="dxa"/>
            <w:gridSpan w:val="2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5. Number of Derivative Securities Acquired (A) or Disposed of (D) (Instr. 3, 4 and 5) </w:t>
            </w:r>
          </w:p>
        </w:tc>
        <w:tc>
          <w:tcPr>
            <w:tcW w:w="1707" w:type="dxa"/>
            <w:gridSpan w:val="2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6. Date Exercisable and Expiration Date (Month/Day/Year)</w:t>
            </w:r>
          </w:p>
        </w:tc>
        <w:tc>
          <w:tcPr>
            <w:tcW w:w="1527" w:type="dxa"/>
            <w:gridSpan w:val="2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7. Title and Amount of Securities Underlying Derivative Security (Instr. 3 and 4) </w:t>
            </w:r>
          </w:p>
        </w:tc>
        <w:tc>
          <w:tcPr>
            <w:tcW w:w="801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8. Price of Derivative Security (Instr. 5) </w:t>
            </w:r>
          </w:p>
        </w:tc>
        <w:tc>
          <w:tcPr>
            <w:tcW w:w="936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9. Number of derivative Securities Beneficially Owned Following Reported Transaction(s) (Instr. 4) </w:t>
            </w:r>
          </w:p>
        </w:tc>
        <w:tc>
          <w:tcPr>
            <w:tcW w:w="831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10. Ownership Form: Direct (D) or Indirect (I) (Instr. 4) </w:t>
            </w:r>
          </w:p>
        </w:tc>
        <w:tc>
          <w:tcPr>
            <w:tcW w:w="846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11. Nature of Indirect Beneficial Ownership (Instr. 4) </w:t>
            </w:r>
          </w:p>
        </w:tc>
      </w:tr>
      <w:tr>
        <w:trPr>
          <w:tblHeader w:val="true"/>
        </w:trPr>
        <w:tc>
          <w:tcPr>
            <w:tcW w:w="980" w:type="dxa"/>
            <w:vMerge w:val="continue"/>
            <w:tcBorders>
              <w:left w:val="single" w:sz="6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861" w:type="dxa"/>
            <w:vMerge w:val="continue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891" w:type="dxa"/>
            <w:vMerge w:val="continue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771" w:type="dxa"/>
            <w:vMerge w:val="continue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591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bottom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Code</w:t>
            </w:r>
          </w:p>
        </w:tc>
        <w:tc>
          <w:tcPr>
            <w:tcW w:w="300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bottom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V</w:t>
            </w:r>
          </w:p>
        </w:tc>
        <w:tc>
          <w:tcPr>
            <w:tcW w:w="285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bottom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(A)</w:t>
            </w:r>
          </w:p>
        </w:tc>
        <w:tc>
          <w:tcPr>
            <w:tcW w:w="516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bottom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(D)</w:t>
            </w:r>
          </w:p>
        </w:tc>
        <w:tc>
          <w:tcPr>
            <w:tcW w:w="906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bottom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Date Exercisable</w:t>
            </w:r>
          </w:p>
        </w:tc>
        <w:tc>
          <w:tcPr>
            <w:tcW w:w="801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bottom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Expiration Date</w:t>
            </w:r>
          </w:p>
        </w:tc>
        <w:tc>
          <w:tcPr>
            <w:tcW w:w="891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bottom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Title</w:t>
            </w:r>
          </w:p>
        </w:tc>
        <w:tc>
          <w:tcPr>
            <w:tcW w:w="636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bottom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Amount or Number of Shares</w:t>
            </w:r>
          </w:p>
        </w:tc>
        <w:tc>
          <w:tcPr>
            <w:tcW w:w="801" w:type="dxa"/>
            <w:vMerge w:val="continue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936" w:type="dxa"/>
            <w:vMerge w:val="continue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831" w:type="dxa"/>
            <w:vMerge w:val="continue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846" w:type="dxa"/>
            <w:vMerge w:val="continue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</w:tr>
      <w:tr>
        <w:trPr/>
        <w:tc>
          <w:tcPr>
            <w:tcW w:w="980" w:type="dxa"/>
            <w:tcBorders>
              <w:left w:val="single" w:sz="6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Times;serif" w:hAnsi="Times;serif"/>
                <w:color w:val="0000FF"/>
                <w:sz w:val="20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0"/>
                <w:shd w:fill="FFFFFF" w:val="clear"/>
              </w:rPr>
              <w:t>Restricted Stock Units</w:t>
            </w:r>
          </w:p>
        </w:tc>
        <w:tc>
          <w:tcPr>
            <w:tcW w:w="861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8000"/>
                <w:position w:val="7"/>
                <w:sz w:val="16"/>
                <w:sz w:val="20"/>
                <w:shd w:fill="FFFFFF" w:val="clear"/>
              </w:rPr>
            </w:pPr>
            <w:r>
              <w:rPr>
                <w:rFonts w:ascii="Times;serif" w:hAnsi="Times;serif"/>
                <w:color w:val="008000"/>
                <w:position w:val="7"/>
                <w:sz w:val="16"/>
                <w:sz w:val="20"/>
                <w:shd w:fill="FFFFFF" w:val="clear"/>
              </w:rPr>
              <w:t>(2)</w:t>
            </w:r>
          </w:p>
        </w:tc>
        <w:tc>
          <w:tcPr>
            <w:tcW w:w="891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0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0"/>
                <w:shd w:fill="FFFFFF" w:val="clear"/>
              </w:rPr>
              <w:t>02/23/2026</w:t>
            </w:r>
          </w:p>
        </w:tc>
        <w:tc>
          <w:tcPr>
            <w:tcW w:w="771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591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0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0"/>
                <w:shd w:fill="FFFFFF" w:val="clear"/>
              </w:rPr>
              <w:t>M</w:t>
            </w:r>
          </w:p>
        </w:tc>
        <w:tc>
          <w:tcPr>
            <w:tcW w:w="300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285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516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/>
            </w:pPr>
            <w:r>
              <w:rPr>
                <w:rFonts w:ascii="Times;serif" w:hAnsi="Times;serif"/>
                <w:color w:val="0000FF"/>
                <w:sz w:val="20"/>
                <w:shd w:fill="FFFFFF" w:val="clear"/>
              </w:rPr>
              <w:t>965</w:t>
            </w:r>
            <w:r>
              <w:rPr>
                <w:rFonts w:ascii="Times;serif" w:hAnsi="Times;serif"/>
                <w:color w:val="008000"/>
                <w:position w:val="7"/>
                <w:sz w:val="16"/>
                <w:sz w:val="20"/>
                <w:shd w:fill="FFFFFF" w:val="clear"/>
              </w:rPr>
              <w:t>(1)(3)</w:t>
            </w:r>
            <w:r>
              <w:rPr/>
              <w:t xml:space="preserve"> </w:t>
            </w:r>
          </w:p>
        </w:tc>
        <w:tc>
          <w:tcPr>
            <w:tcW w:w="906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/>
            </w:pPr>
            <w:r>
              <w:rPr>
                <w:rFonts w:ascii="Times;serif" w:hAnsi="Times;serif"/>
                <w:color w:val="008000"/>
                <w:position w:val="7"/>
                <w:sz w:val="16"/>
                <w:sz w:val="20"/>
                <w:shd w:fill="FFFFFF" w:val="clear"/>
              </w:rPr>
              <w:t>(4)</w:t>
            </w:r>
            <w:r>
              <w:rPr/>
              <w:t xml:space="preserve"> </w:t>
            </w:r>
          </w:p>
        </w:tc>
        <w:tc>
          <w:tcPr>
            <w:tcW w:w="801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/>
            </w:pPr>
            <w:r>
              <w:rPr>
                <w:rFonts w:ascii="Times;serif" w:hAnsi="Times;serif"/>
                <w:color w:val="008000"/>
                <w:position w:val="7"/>
                <w:sz w:val="16"/>
                <w:sz w:val="20"/>
                <w:shd w:fill="FFFFFF" w:val="clear"/>
              </w:rPr>
              <w:t>(4)</w:t>
            </w:r>
            <w:r>
              <w:rPr/>
              <w:t xml:space="preserve"> </w:t>
            </w:r>
          </w:p>
        </w:tc>
        <w:tc>
          <w:tcPr>
            <w:tcW w:w="891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0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0"/>
                <w:shd w:fill="FFFFFF" w:val="clear"/>
              </w:rPr>
              <w:t>Common Stock</w:t>
            </w:r>
          </w:p>
        </w:tc>
        <w:tc>
          <w:tcPr>
            <w:tcW w:w="636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/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965</w:t>
            </w:r>
            <w:r>
              <w:rPr>
                <w:rFonts w:ascii="Times;serif" w:hAnsi="Times;serif"/>
                <w:color w:val="008000"/>
                <w:position w:val="7"/>
                <w:sz w:val="16"/>
                <w:sz w:val="20"/>
                <w:shd w:fill="FFFFFF" w:val="clear"/>
              </w:rPr>
              <w:t>(1)(3)</w:t>
            </w:r>
            <w:r>
              <w:rPr/>
              <w:t xml:space="preserve"> </w:t>
            </w:r>
          </w:p>
        </w:tc>
        <w:tc>
          <w:tcPr>
            <w:tcW w:w="801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/>
            </w:pPr>
            <w:r>
              <w:rPr>
                <w:rFonts w:ascii="arial;helvetica;sans-serif" w:hAnsi="arial;helvetica;sans-serif"/>
                <w:sz w:val="14"/>
              </w:rPr>
              <w:t>$</w:t>
            </w:r>
            <w:r>
              <w:rPr>
                <w:rFonts w:ascii="Times;serif" w:hAnsi="Times;serif"/>
                <w:color w:val="0000FF"/>
                <w:sz w:val="20"/>
                <w:shd w:fill="FFFFFF" w:val="clear"/>
              </w:rPr>
              <w:t>0</w:t>
            </w:r>
            <w:r>
              <w:rPr/>
              <w:t xml:space="preserve"> </w:t>
            </w:r>
          </w:p>
        </w:tc>
        <w:tc>
          <w:tcPr>
            <w:tcW w:w="936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0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0"/>
                <w:shd w:fill="FFFFFF" w:val="clear"/>
              </w:rPr>
              <w:t>0</w:t>
            </w:r>
          </w:p>
        </w:tc>
        <w:tc>
          <w:tcPr>
            <w:tcW w:w="831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0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0"/>
                <w:shd w:fill="FFFFFF" w:val="clear"/>
              </w:rPr>
              <w:t>D</w:t>
            </w:r>
          </w:p>
        </w:tc>
        <w:tc>
          <w:tcPr>
            <w:tcW w:w="846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</w:tr>
    </w:tbl>
    <w:tbl>
      <w:tblPr>
        <w:tblW w:w="5000" w:type="pct"/>
        <w:jc w:val="left"/>
        <w:tblInd w:w="0" w:type="dxa"/>
        <w:tblLayout w:type="fixed"/>
        <w:tblCellMar>
          <w:top w:w="28" w:type="dxa"/>
          <w:left w:w="28" w:type="dxa"/>
          <w:bottom w:w="28" w:type="dxa"/>
          <w:right w:w="28" w:type="dxa"/>
        </w:tblCellMar>
      </w:tblPr>
      <w:tblGrid>
        <w:gridCol w:w="10205"/>
      </w:tblGrid>
      <w:tr>
        <w:trPr/>
        <w:tc>
          <w:tcPr>
            <w:tcW w:w="10205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b/>
                <w:sz w:val="20"/>
              </w:rPr>
            </w:pPr>
            <w:r>
              <w:rPr>
                <w:rFonts w:ascii="arial;helvetica;sans-serif" w:hAnsi="arial;helvetica;sans-serif"/>
                <w:b/>
                <w:sz w:val="20"/>
              </w:rPr>
              <w:t>Explanation of Responses:</w:t>
            </w:r>
          </w:p>
        </w:tc>
      </w:tr>
      <w:tr>
        <w:trPr/>
        <w:tc>
          <w:tcPr>
            <w:tcW w:w="10205" w:type="dxa"/>
            <w:tcBorders/>
            <w:shd w:fill="FFFFFF" w:val="clear"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Times;serif" w:hAnsi="Times;serif"/>
                <w:color w:val="008000"/>
                <w:sz w:val="20"/>
              </w:rPr>
            </w:pPr>
            <w:r>
              <w:rPr>
                <w:rFonts w:ascii="Times;serif" w:hAnsi="Times;serif"/>
                <w:color w:val="008000"/>
                <w:sz w:val="20"/>
              </w:rPr>
              <w:t>1. The Restricted Stock Units held by the Reporting Person were adjusted based on an applicable adjustment factor for the Solstice Advanced Materials spin-off that occurred on October 30, 2025.</w:t>
            </w:r>
          </w:p>
        </w:tc>
      </w:tr>
      <w:tr>
        <w:trPr/>
        <w:tc>
          <w:tcPr>
            <w:tcW w:w="10205" w:type="dxa"/>
            <w:tcBorders/>
            <w:shd w:fill="FFFFFF" w:val="clear"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Times;serif" w:hAnsi="Times;serif"/>
                <w:color w:val="008000"/>
                <w:sz w:val="20"/>
              </w:rPr>
            </w:pPr>
            <w:r>
              <w:rPr>
                <w:rFonts w:ascii="Times;serif" w:hAnsi="Times;serif"/>
                <w:color w:val="008000"/>
                <w:sz w:val="20"/>
              </w:rPr>
              <w:t>2. Instrument converts to common stock on a one-for-one basis.</w:t>
            </w:r>
          </w:p>
        </w:tc>
      </w:tr>
      <w:tr>
        <w:trPr/>
        <w:tc>
          <w:tcPr>
            <w:tcW w:w="10205" w:type="dxa"/>
            <w:tcBorders/>
            <w:shd w:fill="FFFFFF" w:val="clear"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Times;serif" w:hAnsi="Times;serif"/>
                <w:color w:val="008000"/>
                <w:sz w:val="20"/>
              </w:rPr>
            </w:pPr>
            <w:r>
              <w:rPr>
                <w:rFonts w:ascii="Times;serif" w:hAnsi="Times;serif"/>
                <w:color w:val="008000"/>
                <w:sz w:val="20"/>
              </w:rPr>
              <w:t>3. Includes the reinvestment of dividend equivalents into 59 additional restricted stock units.</w:t>
            </w:r>
          </w:p>
        </w:tc>
      </w:tr>
      <w:tr>
        <w:trPr/>
        <w:tc>
          <w:tcPr>
            <w:tcW w:w="10205" w:type="dxa"/>
            <w:tcBorders/>
            <w:shd w:fill="FFFFFF" w:val="clear"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Times;serif" w:hAnsi="Times;serif"/>
                <w:color w:val="008000"/>
                <w:sz w:val="20"/>
              </w:rPr>
            </w:pPr>
            <w:r>
              <w:rPr>
                <w:rFonts w:ascii="Times;serif" w:hAnsi="Times;serif"/>
                <w:color w:val="008000"/>
                <w:sz w:val="20"/>
              </w:rPr>
              <w:t>4. The Restricted Stock Units were granted under the 2016 Stock Incentive Plan with all units vesting on February 23, 2026.</w:t>
            </w:r>
          </w:p>
        </w:tc>
      </w:tr>
      <w:tr>
        <w:trPr/>
        <w:tc>
          <w:tcPr>
            <w:tcW w:w="10205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b/>
                <w:sz w:val="24"/>
              </w:rPr>
            </w:pPr>
            <w:r>
              <w:rPr>
                <w:rFonts w:ascii="arial;helvetica;sans-serif" w:hAnsi="arial;helvetica;sans-serif"/>
                <w:b/>
                <w:sz w:val="24"/>
              </w:rPr>
              <w:t>Remarks:</w:t>
            </w:r>
          </w:p>
        </w:tc>
      </w:tr>
      <w:tr>
        <w:trPr/>
        <w:tc>
          <w:tcPr>
            <w:tcW w:w="10205" w:type="dxa"/>
            <w:tcBorders/>
            <w:shd w:fill="FFFFFF" w:val="clear"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</w:tr>
    </w:tbl>
    <w:tbl>
      <w:tblPr>
        <w:tblW w:w="5000" w:type="pct"/>
        <w:jc w:val="left"/>
        <w:tblInd w:w="0" w:type="dxa"/>
        <w:tblLayout w:type="fixed"/>
        <w:tblCellMar>
          <w:top w:w="28" w:type="dxa"/>
          <w:left w:w="28" w:type="dxa"/>
          <w:bottom w:w="28" w:type="dxa"/>
          <w:right w:w="28" w:type="dxa"/>
        </w:tblCellMar>
      </w:tblPr>
      <w:tblGrid>
        <w:gridCol w:w="6123"/>
        <w:gridCol w:w="2041"/>
        <w:gridCol w:w="2041"/>
      </w:tblGrid>
      <w:tr>
        <w:trPr/>
        <w:tc>
          <w:tcPr>
            <w:tcW w:w="6123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2041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Times;serif" w:hAnsi="Times;serif"/>
                <w:color w:val="0000FF"/>
                <w:sz w:val="24"/>
                <w:u w:val="single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u w:val="single"/>
                <w:shd w:fill="FFFFFF" w:val="clear"/>
              </w:rPr>
              <w:t>Richard Kent for Kenneth J. West</w:t>
            </w:r>
          </w:p>
        </w:tc>
        <w:tc>
          <w:tcPr>
            <w:tcW w:w="2041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Times;serif" w:hAnsi="Times;serif"/>
                <w:color w:val="0000FF"/>
                <w:sz w:val="24"/>
                <w:u w:val="single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u w:val="single"/>
                <w:shd w:fill="FFFFFF" w:val="clear"/>
              </w:rPr>
              <w:t>02/25/2026</w:t>
            </w:r>
          </w:p>
        </w:tc>
      </w:tr>
      <w:tr>
        <w:trPr/>
        <w:tc>
          <w:tcPr>
            <w:tcW w:w="6123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2041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>** Signature of Reporting Person</w:t>
            </w:r>
          </w:p>
        </w:tc>
        <w:tc>
          <w:tcPr>
            <w:tcW w:w="2041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>Date</w:t>
            </w:r>
          </w:p>
        </w:tc>
      </w:tr>
      <w:tr>
        <w:trPr/>
        <w:tc>
          <w:tcPr>
            <w:tcW w:w="10205" w:type="dxa"/>
            <w:gridSpan w:val="3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>Reminder: Report on a separate line for each class of securities beneficially owned directly or indirectly.</w:t>
            </w:r>
          </w:p>
        </w:tc>
      </w:tr>
      <w:tr>
        <w:trPr/>
        <w:tc>
          <w:tcPr>
            <w:tcW w:w="10205" w:type="dxa"/>
            <w:gridSpan w:val="3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 xml:space="preserve">* If the form is filed by more than one reporting person, </w:t>
            </w:r>
            <w:r>
              <w:rPr>
                <w:rFonts w:ascii="arial;helvetica;sans-serif" w:hAnsi="arial;helvetica;sans-serif"/>
                <w:i/>
                <w:sz w:val="20"/>
              </w:rPr>
              <w:t>see</w:t>
            </w:r>
            <w:r>
              <w:rPr>
                <w:rFonts w:ascii="arial;helvetica;sans-serif" w:hAnsi="arial;helvetica;sans-serif"/>
                <w:sz w:val="20"/>
              </w:rPr>
              <w:t xml:space="preserve"> Instruction 4 (b)(v).</w:t>
            </w:r>
          </w:p>
        </w:tc>
      </w:tr>
      <w:tr>
        <w:trPr/>
        <w:tc>
          <w:tcPr>
            <w:tcW w:w="10205" w:type="dxa"/>
            <w:gridSpan w:val="3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 xml:space="preserve">** Intentional misstatements or omissions of facts constitute Federal Criminal Violations </w:t>
            </w:r>
            <w:r>
              <w:rPr>
                <w:rFonts w:ascii="arial;helvetica;sans-serif" w:hAnsi="arial;helvetica;sans-serif"/>
                <w:i/>
                <w:sz w:val="20"/>
              </w:rPr>
              <w:t>See</w:t>
            </w:r>
            <w:r>
              <w:rPr>
                <w:rFonts w:ascii="arial;helvetica;sans-serif" w:hAnsi="arial;helvetica;sans-serif"/>
                <w:sz w:val="20"/>
              </w:rPr>
              <w:t xml:space="preserve"> 18 U.S.C. 1001 and 15 U.S.C. 78ff(a).</w:t>
            </w:r>
          </w:p>
        </w:tc>
      </w:tr>
      <w:tr>
        <w:trPr/>
        <w:tc>
          <w:tcPr>
            <w:tcW w:w="10205" w:type="dxa"/>
            <w:gridSpan w:val="3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 xml:space="preserve">Note: File three copies of this Form, one of which must be manually signed. If space is insufficient, </w:t>
            </w:r>
            <w:r>
              <w:rPr>
                <w:rFonts w:ascii="arial;helvetica;sans-serif" w:hAnsi="arial;helvetica;sans-serif"/>
                <w:i/>
                <w:sz w:val="20"/>
              </w:rPr>
              <w:t>see</w:t>
            </w:r>
            <w:r>
              <w:rPr>
                <w:rFonts w:ascii="arial;helvetica;sans-serif" w:hAnsi="arial;helvetica;sans-serif"/>
                <w:sz w:val="20"/>
              </w:rPr>
              <w:t xml:space="preserve"> Instruction 6 for procedure.</w:t>
            </w:r>
          </w:p>
        </w:tc>
      </w:tr>
      <w:tr>
        <w:trPr/>
        <w:tc>
          <w:tcPr>
            <w:tcW w:w="10205" w:type="dxa"/>
            <w:gridSpan w:val="3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b/>
                <w:sz w:val="20"/>
              </w:rPr>
            </w:pPr>
            <w:r>
              <w:rPr>
                <w:rFonts w:ascii="arial;helvetica;sans-serif" w:hAnsi="arial;helvetica;sans-serif"/>
                <w:b/>
                <w:sz w:val="20"/>
              </w:rPr>
              <w:t>Persons who respond to the collection of information contained in this form are not required to respond unless the form displays a currently valid OMB Number.</w:t>
            </w:r>
          </w:p>
        </w:tc>
      </w:tr>
    </w:tbl>
    <w:p>
      <w:pPr>
        <w:pStyle w:val="TextBody"/>
        <w:bidi w:val="0"/>
        <w:spacing w:before="0" w:after="283"/>
        <w:jc w:val="left"/>
        <w:rPr/>
      </w:pPr>
      <w:r>
        <w:rPr/>
      </w:r>
    </w:p>
    <w:sectPr>
      <w:type w:val="nextPage"/>
      <w:pgSz w:w="11906" w:h="16838"/>
      <w:pgMar w:left="1134" w:right="567" w:gutter="0" w:header="0" w:top="567" w:footer="0" w:bottom="567"/>
      <w:pgNumType w:fmt="decimal"/>
      <w:formProt w:val="false"/>
      <w:textDirection w:val="lrTb"/>
      <w:docGrid w:type="default" w:linePitch="600" w:charSpace="32768"/>
    </w:sectPr>
  </w:body>
</w:document>
</file>

<file path=word/fontTable.xml><?xml version="1.0" encoding="utf-8"?>
<w:fonts xmlns:w="http://schemas.openxmlformats.org/wordprocessingml/2006/main" xmlns:r="http://schemas.openxmlformats.org/officeDocument/2006/relationships">
  <w:font w:name="Times New Roman">
    <w:charset w:val="00"/>
    <w:family w:val="roman"/>
    <w:pitch w:val="variable"/>
  </w:font>
  <w:font w:name="Symbol">
    <w:charset w:val="02"/>
    <w:family w:val="roman"/>
    <w:pitch w:val="variable"/>
  </w:font>
  <w:font w:name="Arial">
    <w:charset w:val="00"/>
    <w:family w:val="swiss"/>
    <w:pitch w:val="variable"/>
  </w:font>
  <w:font w:name="Liberation Serif">
    <w:altName w:val="Times New Roman"/>
    <w:charset w:val="01"/>
    <w:family w:val="roman"/>
    <w:pitch w:val="variable"/>
  </w:font>
  <w:font w:name="Liberation Sans Unicode MS">
    <w:charset w:val="01"/>
    <w:family w:val="auto"/>
    <w:pitch w:val="variable"/>
  </w:font>
  <w:font w:name="Liberation Sans">
    <w:altName w:val="Arial"/>
    <w:charset w:val="01"/>
    <w:family w:val="swiss"/>
    <w:pitch w:val="variable"/>
  </w:font>
  <w:font w:name="arial">
    <w:altName w:val="helvetica"/>
    <w:charset w:val="01"/>
    <w:family w:val="auto"/>
    <w:pitch w:val="default"/>
  </w:font>
  <w:font w:name="Times">
    <w:altName w:val="Times New Roman"/>
    <w:charset w:val="01"/>
    <w:family w:val="auto"/>
    <w:pitch w:val="default"/>
  </w:font>
</w:fonts>
</file>

<file path=word/settings.xml><?xml version="1.0" encoding="utf-8"?>
<w:settings xmlns:w="http://schemas.openxmlformats.org/wordprocessingml/2006/main">
  <w:zoom w:percent="100"/>
  <w:defaultTabStop w:val="1134"/>
  <w:autoHyphenation w:val="true"/>
  <w:compat>
    <w:compatSetting w:name="compatibilityMode" w:uri="http://schemas.microsoft.com/office/word" w:val="15"/>
  </w:compat>
</w:settings>
</file>

<file path=word/styles.xml><?xml version="1.0" encoding="utf-8"?>
<w:styles xmlns:w="http://schemas.openxmlformats.org/wordprocessingml/2006/main" xmlns:w14="http://schemas.microsoft.com/office/word/2010/wordml" xmlns:mc="http://schemas.openxmlformats.org/markup-compatibility/2006" mc:Ignorable="w14">
  <w:docDefaults>
    <w:rPrDefault>
      <w:rPr>
        <w:rFonts w:ascii="Liberation Serif" w:hAnsi="Liberation Serif" w:eastAsia="Tahoma" w:cs="Noto Sans Devanagari"/>
        <w:sz w:val="24"/>
        <w:szCs w:val="24"/>
        <w:lang w:val="en-US" w:eastAsia="zh-CN" w:bidi="hi-IN"/>
      </w:rPr>
    </w:rPrDefault>
    <w:pPrDefault>
      <w:pPr>
        <w:suppressAutoHyphens w:val="true"/>
      </w:pPr>
    </w:pPrDefault>
  </w:docDefaults>
  <w:style w:type="paragraph" w:styleId="Normal">
    <w:name w:val="Normal"/>
    <w:qFormat/>
    <w:pPr>
      <w:widowControl w:val="false"/>
      <w:kinsoku w:val="true"/>
      <w:overflowPunct w:val="true"/>
      <w:autoSpaceDE w:val="true"/>
      <w:bidi w:val="0"/>
    </w:pPr>
    <w:rPr>
      <w:rFonts w:ascii="Liberation Serif" w:hAnsi="Liberation Serif" w:eastAsia="Tahoma" w:cs="Noto Sans Devanagari"/>
      <w:color w:val="auto"/>
      <w:sz w:val="24"/>
      <w:szCs w:val="24"/>
      <w:lang w:val="en-US" w:eastAsia="zh-CN" w:bidi="hi-IN"/>
    </w:rPr>
  </w:style>
  <w:style w:type="paragraph" w:styleId="Heading1">
    <w:name w:val="Heading 1"/>
    <w:basedOn w:val="Heading"/>
    <w:next w:val="TextBody"/>
    <w:qFormat/>
    <w:pPr/>
    <w:rPr>
      <w:rFonts w:ascii="Liberation Sans Unicode MS" w:hAnsi="Liberation Sans Unicode MS"/>
      <w:b/>
      <w:bCs/>
      <w:sz w:val="48"/>
      <w:szCs w:val="44"/>
    </w:rPr>
  </w:style>
  <w:style w:type="character" w:styleId="EndnoteCharacters">
    <w:name w:val="Endnote Characters"/>
    <w:qFormat/>
    <w:rPr/>
  </w:style>
  <w:style w:type="character" w:styleId="FootnoteCharacters">
    <w:name w:val="Footnote Characters"/>
    <w:qFormat/>
    <w:rPr/>
  </w:style>
  <w:style w:type="character" w:styleId="InternetLink">
    <w:name w:val="Hyperlink"/>
    <w:rPr>
      <w:color w:val="000080"/>
      <w:u w:val="single"/>
    </w:rPr>
  </w:style>
  <w:style w:type="paragraph" w:styleId="HorizontalLine">
    <w:name w:val="Horizontal Line"/>
    <w:basedOn w:val="Normal"/>
    <w:next w:val="TextBody"/>
    <w:qFormat/>
    <w:pPr>
      <w:pBdr>
        <w:bottom w:val="double" w:sz="2" w:space="0" w:color="808080"/>
      </w:pBdr>
      <w:spacing w:before="0" w:after="283"/>
    </w:pPr>
    <w:rPr>
      <w:sz w:val="12"/>
    </w:rPr>
  </w:style>
  <w:style w:type="paragraph" w:styleId="TextBody">
    <w:name w:val="Body Text"/>
    <w:basedOn w:val="Normal"/>
    <w:pPr>
      <w:spacing w:before="0" w:after="283"/>
    </w:pPr>
    <w:rPr/>
  </w:style>
  <w:style w:type="paragraph" w:styleId="Sender">
    <w:name w:val="Envelope Return"/>
    <w:basedOn w:val="Normal"/>
    <w:pPr/>
    <w:rPr>
      <w:i/>
    </w:rPr>
  </w:style>
  <w:style w:type="paragraph" w:styleId="TableContents">
    <w:name w:val="Table Contents"/>
    <w:basedOn w:val="TextBody"/>
    <w:qFormat/>
    <w:pPr/>
    <w:rPr/>
  </w:style>
  <w:style w:type="paragraph" w:styleId="HeaderandFooter">
    <w:name w:val="Header and Footer"/>
    <w:basedOn w:val="Normal"/>
    <w:qFormat/>
    <w:pPr>
      <w:suppressLineNumbers/>
      <w:tabs>
        <w:tab w:val="clear" w:pos="1134"/>
        <w:tab w:val="center" w:pos="4819" w:leader="none"/>
        <w:tab w:val="right" w:pos="9638" w:leader="none"/>
      </w:tabs>
    </w:pPr>
    <w:rPr/>
  </w:style>
  <w:style w:type="paragraph" w:styleId="Footer">
    <w:name w:val="Footer"/>
    <w:basedOn w:val="Normal"/>
    <w:pPr>
      <w:suppressLineNumbers/>
      <w:tabs>
        <w:tab w:val="clear" w:pos="1134"/>
        <w:tab w:val="center" w:pos="4818" w:leader="none"/>
        <w:tab w:val="right" w:pos="9637" w:leader="none"/>
      </w:tabs>
    </w:pPr>
    <w:rPr/>
  </w:style>
  <w:style w:type="paragraph" w:styleId="Header">
    <w:name w:val="Header"/>
    <w:basedOn w:val="Normal"/>
    <w:pPr>
      <w:suppressLineNumbers/>
      <w:tabs>
        <w:tab w:val="clear" w:pos="1134"/>
        <w:tab w:val="center" w:pos="4818" w:leader="none"/>
        <w:tab w:val="right" w:pos="9637" w:leader="none"/>
      </w:tabs>
    </w:pPr>
    <w:rPr/>
  </w:style>
  <w:style w:type="paragraph" w:styleId="Heading">
    <w:name w:val="Heading"/>
    <w:basedOn w:val="Normal"/>
    <w:next w:val="TextBody"/>
    <w:qFormat/>
    <w:pPr>
      <w:keepNext w:val="true"/>
      <w:spacing w:before="240" w:after="283"/>
    </w:pPr>
    <w:rPr>
      <w:rFonts w:ascii="Liberation Sans" w:hAnsi="Liberation Sans"/>
      <w:sz w:val="28"/>
      <w:szCs w:val="28"/>
    </w:rPr>
  </w:style>
  <w:style w:type="paragraph" w:styleId="Index">
    <w:name w:val="Index"/>
    <w:basedOn w:val="Normal"/>
    <w:qFormat/>
    <w:pPr>
      <w:suppressLineNumbers/>
    </w:pPr>
    <w:rPr>
      <w:rFonts w:cs="Noto Sans Devanagari"/>
    </w:rPr>
  </w:style>
  <w:style w:type="paragraph" w:styleId="Caption">
    <w:name w:val="Caption"/>
    <w:basedOn w:val="Normal"/>
    <w:qFormat/>
    <w:pPr>
      <w:suppressLineNumbers/>
      <w:spacing w:before="120" w:after="120"/>
    </w:pPr>
    <w:rPr>
      <w:rFonts w:cs="Noto Sans Devanagari"/>
      <w:i/>
      <w:iCs/>
      <w:sz w:val="24"/>
      <w:szCs w:val="24"/>
    </w:rPr>
  </w:style>
  <w:style w:type="paragraph" w:styleId="List">
    <w:name w:val="List"/>
    <w:basedOn w:val="TextBody"/>
    <w:pPr/>
    <w:rPr>
      <w:rFonts w:cs="Noto Sans Devanagari"/>
    </w:rPr>
  </w:style>
  <w:style w:type="paragraph" w:styleId="TableHeading">
    <w:name w:val="Table Heading"/>
    <w:basedOn w:val="TableContents"/>
    <w:qFormat/>
    <w:pPr>
      <w:suppressLineNumbers/>
      <w:jc w:val="center"/>
    </w:pPr>
    <w:rPr>
      <w:b/>
      <w:bCs/>
    </w:rPr>
  </w:style>
</w:styles>
</file>

<file path=word/_rels/document.xml.rels><?xml version="1.0" encoding="UTF-8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image" Target="https://cdn.kscope.io/box-unchecked.jpg" TargetMode="External"/><Relationship Id="rId3" Type="http://schemas.openxmlformats.org/officeDocument/2006/relationships/image" Target="https://cdn.kscope.io/box-unchecked.jpg" TargetMode="External"/><Relationship Id="rId4" Type="http://schemas.openxmlformats.org/officeDocument/2006/relationships/hyperlink" Target="http://www.sec.gov/cgi-bin/browse-edgar?action=getcompany&amp;CIK=0002004222" TargetMode="External"/><Relationship Id="rId5" Type="http://schemas.openxmlformats.org/officeDocument/2006/relationships/hyperlink" Target="http://www.sec.gov/cgi-bin/browse-edgar?action=getcompany&amp;CIK=0000773840" TargetMode="External"/><Relationship Id="rId6" Type="http://schemas.openxmlformats.org/officeDocument/2006/relationships/image" Target="https://cdn.kscope.io/box-checked.jpg" TargetMode="External"/><Relationship Id="rId7" Type="http://schemas.openxmlformats.org/officeDocument/2006/relationships/image" Target="https://cdn.kscope.io/box-checked.jpg" TargetMode="External"/><Relationship Id="rId8" Type="http://schemas.openxmlformats.org/officeDocument/2006/relationships/fontTable" Target="fontTable.xml"/><Relationship Id="rId9" Type="http://schemas.openxmlformats.org/officeDocument/2006/relationships/settings" Target="settings.xml"/>
</Relationships>
</file>

<file path=docProps/app.xml><?xml version="1.0" encoding="utf-8"?>
<Properties xmlns="http://schemas.openxmlformats.org/officeDocument/2006/extended-properties" xmlns:vt="http://schemas.openxmlformats.org/officeDocument/2006/docPropsVTypes">
  <Template/>
  <TotalTime>0</TotalTime>
  <Application>LibreOffice/7.3.7.2$Linux_X86_64 LibreOffice_project/30$Build-2</Application>
  <AppVersion>15.0000</AppVersion>
  <Pages>1</Pages>
  <Words>669</Words>
  <Characters>3609</Characters>
  <CharactersWithSpaces>4196</CharactersWithSpaces>
  <Paragraphs>123</Paragraphs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description/>
  <dc:language>en-US</dc:language>
  <cp:lastModifiedBy/>
  <cp:revision>0</cp:revision>
  <dc:subject/>
  <dc:title/>
</cp:coreProperties>
</file>