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UNITED STATES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DATE OF REPORT – January 29,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HONEYWELL INTERNATIONAL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769" w:type="dxa"/>
        <w:jc w:val="center"/>
        <w:tblInd w:w="0" w:type="dxa"/>
        <w:tblLayout w:type="fixed"/>
        <w:tblCellMar>
          <w:top w:w="28" w:type="dxa"/>
          <w:left w:w="28" w:type="dxa"/>
          <w:bottom w:w="28" w:type="dxa"/>
          <w:right w:w="28" w:type="dxa"/>
        </w:tblCellMar>
      </w:tblPr>
      <w:tblGrid>
        <w:gridCol w:w="935"/>
        <w:gridCol w:w="819"/>
        <w:gridCol w:w="826"/>
        <w:gridCol w:w="802"/>
        <w:gridCol w:w="802"/>
        <w:gridCol w:w="810"/>
        <w:gridCol w:w="810"/>
        <w:gridCol w:w="810"/>
        <w:gridCol w:w="1155"/>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1-8974</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22-2640650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w:t>
              <w:br/>
              <w:t>Number)</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rPr>
        <w:t>855 S. MINT STREET, CHARLOTTE, NC</w:t>
      </w:r>
      <w:r>
        <w:rPr>
          <w:rFonts w:ascii="Arial;sans-serif" w:hAnsi="Arial;sans-serif"/>
          <w:b w:val="false"/>
          <w:color w:val="FFFFFF"/>
          <w:sz w:val="20"/>
        </w:rPr>
        <w:t>..................................................</w:t>
      </w:r>
      <w:r>
        <w:rPr>
          <w:rFonts w:ascii="Arial;sans-serif" w:hAnsi="Arial;sans-serif"/>
          <w:b w:val="false"/>
          <w:color w:val="000000"/>
          <w:sz w:val="20"/>
        </w:rPr>
        <w:t>28202</w:t>
      </w:r>
    </w:p>
    <w:p>
      <w:pPr>
        <w:pStyle w:val="TextBody"/>
        <w:bidi w:val="0"/>
        <w:spacing w:lineRule="auto" w:line="288" w:before="0" w:after="0"/>
        <w:jc w:val="center"/>
        <w:rPr/>
      </w:pPr>
      <w:r>
        <w:rPr>
          <w:rFonts w:ascii="Arial;sans-serif" w:hAnsi="Arial;sans-serif"/>
          <w:b w:val="false"/>
          <w:color w:val="FFFFFF"/>
          <w:sz w:val="20"/>
        </w:rPr>
        <w:t>......</w:t>
      </w:r>
      <w:r>
        <w:rPr>
          <w:rFonts w:ascii="Arial;sans-serif" w:hAnsi="Arial;sans-serif"/>
          <w:b w:val="false"/>
          <w:color w:val="000000"/>
          <w:sz w:val="20"/>
        </w:rPr>
        <w:t>(Address of principal executive offices)</w:t>
      </w:r>
      <w:r>
        <w:rPr>
          <w:rFonts w:ascii="Arial;sans-serif" w:hAnsi="Arial;sans-serif"/>
          <w:b w:val="false"/>
          <w:color w:val="FFFFFF"/>
          <w:sz w:val="20"/>
        </w:rPr>
        <w:t>.................................................</w:t>
      </w:r>
      <w:r>
        <w:rPr>
          <w:rFonts w:ascii="Arial;sans-serif" w:hAnsi="Arial;sans-serif"/>
          <w:b w:val="false"/>
          <w:color w:val="000000"/>
          <w:sz w:val="20"/>
        </w:rPr>
        <w:t>(Zip Code)</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Arial;sans-serif" w:hAnsi="Arial;sans-serif"/>
          <w:b w:val="false"/>
          <w:color w:val="000000"/>
          <w:sz w:val="20"/>
        </w:rPr>
        <w:t xml:space="preserve">Registrant’s telephone number, including area code: (704) 627-6200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877" w:type="dxa"/>
        <w:jc w:val="left"/>
        <w:tblInd w:w="0" w:type="dxa"/>
        <w:tblLayout w:type="fixed"/>
        <w:tblCellMar>
          <w:top w:w="28" w:type="dxa"/>
          <w:left w:w="28" w:type="dxa"/>
          <w:bottom w:w="28" w:type="dxa"/>
          <w:right w:w="28" w:type="dxa"/>
        </w:tblCellMar>
      </w:tblPr>
      <w:tblGrid>
        <w:gridCol w:w="1276"/>
        <w:gridCol w:w="1118"/>
        <w:gridCol w:w="1131"/>
        <w:gridCol w:w="109"/>
        <w:gridCol w:w="109"/>
        <w:gridCol w:w="109"/>
        <w:gridCol w:w="564"/>
        <w:gridCol w:w="564"/>
        <w:gridCol w:w="566"/>
        <w:gridCol w:w="109"/>
        <w:gridCol w:w="109"/>
        <w:gridCol w:w="109"/>
        <w:gridCol w:w="1170"/>
        <w:gridCol w:w="1170"/>
        <w:gridCol w:w="1664"/>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2.250%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January 29, 2026, Honeywell International Inc. (the “Company”) issued a press release announcing its fourth quarter and full year 2025 earnings, which is furnished herewith as Exhibit 99.1.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previously announced on October 22, 2025, beginning in the first quarter of 2026, the Company intends to realign its business units comprising its Industrial Automation and Energy and Sustainability Solutions reportable business segments. This realignment will result in the formation of a new reportable business segment, Process Automation and Technology, and also result in a new composition of the Industrial Automation reportable business segment. Process Automation and Technology will include the core process solutions of the Honeywell Process Solutions business, which is currently a part of Industrial Automation, and UOP, which is currently reported in Energy and Sustainability Solutions. As a result, the Company will no longer report results for the Energy and Sustainability Solutions segment (the Advanced Materials business, which was formerly reported in Energy and Sustainability Solutions, was spun off on October 30, 2025). Industrial Automation will continue to include the smart energy, thermal solutions, and process measurement and control businesses, currently included in the Honeywell Process Solutions business, Sensing and Safety Technologies, Warehouse and Workflow Solutions, and Productivity Solutions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the realignment, the Company’s four reportable business segments will be Aerospace Technologies, Building Automation, Process Automation and Technology, and Industrial Automation. Other operations will continue to be presented in Corporate and All Other, which is separately reported but is not a reportable business segment. In addition to the realignment, also beginning in 2026, the Company will report its disaggregation of revenue within its Building Automation, Process Automation and Technology, and Industrial Automation segments based on the business models of Products, Projects, Solutions, and Aftermarket. The Company expects to report its financial performance based on this realignment effective with the first quarter of 2026 and will have no impact on the Company's historical consolidated financial position, results of operations, or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Attached as Exhibit 99.2 is a supplemental schedule containing unaudited segment information for the three months and year December 31, 2025, recast on the basis of the proposed realignment of the business segments expected to be effective with the quarter ending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provide supplemental historical information on a basis consistent with its announced new reporting structure, the Company has also furnished in the attached Exhibit 99.2 certain non-GAAP supplemental historical business segment information to conform to the announced new reporting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supplemental unaudited historical business segment information contained in Exhibit 99.2 does not represent a restatement or reissuance of previously issued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furnished pursuant to this Item 2.02, including Exhibit 99.1 and Exhibit 99.2 in Item 9.01,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(d) Exhibits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exhibits are filed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7"/>
        <w:gridCol w:w="109"/>
        <w:gridCol w:w="109"/>
        <w:gridCol w:w="109"/>
        <w:gridCol w:w="2627"/>
        <w:gridCol w:w="2616"/>
        <w:gridCol w:w="3707"/>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Description</w:t>
            </w:r>
          </w:p>
        </w:tc>
      </w:tr>
      <w:tr>
        <w:trPr/>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42025earningsr.htm">
              <w:r>
                <w:rPr>
                  <w:rStyle w:val="InternetLink"/>
                  <w:rFonts w:ascii="Arial;sans-serif" w:hAnsi="Arial;sans-serif"/>
                  <w:b w:val="false"/>
                  <w:color w:val="000080"/>
                  <w:sz w:val="20"/>
                  <w:u w:val="single"/>
                </w:rPr>
                <w:t xml:space="preserve">Honeywell International Inc. Earnings Press Release dated </w:t>
              </w:r>
            </w:hyperlink>
            <w:hyperlink w:anchor="exhibit991-q42025earningsr.htm">
              <w:r>
                <w:rPr>
                  <w:rStyle w:val="InternetLink"/>
                  <w:rFonts w:ascii="Arial;sans-serif" w:hAnsi="Arial;sans-serif"/>
                  <w:b w:val="false"/>
                  <w:color w:val="000080"/>
                  <w:sz w:val="20"/>
                  <w:u w:val="single"/>
                </w:rPr>
                <w:t>January 29, 2026</w:t>
              </w:r>
            </w:hyperlink>
            <w:hyperlink w:anchor="exhibit991-q42025earningsr.htm">
              <w:r>
                <w:rPr>
                  <w:rStyle w:val="InternetLink"/>
                  <w:rFonts w:ascii="Arial;sans-serif" w:hAnsi="Arial;sans-serif"/>
                  <w:b w:val="false"/>
                  <w:color w:val="000080"/>
                  <w:sz w:val="20"/>
                  <w:u w:val="single"/>
                </w:rPr>
                <w:t>.</w:t>
              </w:r>
            </w:hyperlink>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q42025summer.htm">
              <w:r>
                <w:rPr>
                  <w:rStyle w:val="InternetLink"/>
                  <w:rFonts w:ascii="Arial;sans-serif" w:hAnsi="Arial;sans-serif"/>
                  <w:b w:val="false"/>
                  <w:color w:val="0000FF"/>
                  <w:sz w:val="20"/>
                  <w:u w:val="single"/>
                </w:rPr>
                <w:t>Supplemental unaudited historical business segment information (furnished pursuant to Item 2.02 hereof).</w:t>
              </w:r>
            </w:hyperlink>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8288"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109"/>
        <w:gridCol w:w="109"/>
        <w:gridCol w:w="109"/>
        <w:gridCol w:w="865"/>
        <w:gridCol w:w="865"/>
        <w:gridCol w:w="865"/>
        <w:gridCol w:w="865"/>
        <w:gridCol w:w="865"/>
        <w:gridCol w:w="877"/>
        <w:gridCol w:w="167"/>
        <w:gridCol w:w="167"/>
        <w:gridCol w:w="23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INC.</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By: </w:t>
            </w:r>
            <w:r>
              <w:rPr>
                <w:rFonts w:ascii="Arial;sans-serif" w:hAnsi="Arial;sans-serif"/>
                <w:b w:val="false"/>
                <w:color w:val="000000"/>
                <w:sz w:val="20"/>
                <w:u w:val="single"/>
              </w:rPr>
              <w:t>/s/ Su Ping Lu</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 Ping Lu</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and Corporate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left"/>
        <w:rPr/>
      </w:pPr>
      <w:r>
        <w:rPr/>
        <w:drawing>
          <wp:inline distT="0" distB="0" distL="0" distR="0">
            <wp:extent cx="1952625"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52625" cy="390525"/>
                    </a:xfrm>
                    <a:prstGeom prst="rect">
                      <a:avLst/>
                    </a:prstGeom>
                  </pic:spPr>
                </pic:pic>
              </a:graphicData>
            </a:graphic>
          </wp:inline>
        </w:drawing>
      </w:r>
      <w:r>
        <w:rPr>
          <w:color w:val="000000"/>
        </w:rPr>
        <w:t> </w:t>
      </w:r>
    </w:p>
    <w:tbl>
      <w:tblPr>
        <w:tblW w:w="5687" w:type="dxa"/>
        <w:jc w:val="left"/>
        <w:tblInd w:w="0" w:type="dxa"/>
        <w:tblLayout w:type="fixed"/>
        <w:tblCellMar>
          <w:top w:w="28" w:type="dxa"/>
          <w:left w:w="28" w:type="dxa"/>
          <w:bottom w:w="28" w:type="dxa"/>
          <w:right w:w="28" w:type="dxa"/>
        </w:tblCellMar>
      </w:tblPr>
      <w:tblGrid>
        <w:gridCol w:w="982"/>
        <w:gridCol w:w="865"/>
        <w:gridCol w:w="869"/>
        <w:gridCol w:w="870"/>
        <w:gridCol w:w="870"/>
        <w:gridCol w:w="1231"/>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br/>
              <w:t>Contacts:</w:t>
            </w:r>
          </w:p>
        </w:tc>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w:t>
            </w:r>
          </w:p>
        </w:tc>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Relations</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Stacey Jones</w:t>
            </w:r>
          </w:p>
        </w:tc>
        <w:tc>
          <w:tcPr>
            <w:tcW w:w="29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Macaluso</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(980) 378-6258</w:t>
            </w:r>
          </w:p>
        </w:tc>
        <w:tc>
          <w:tcPr>
            <w:tcW w:w="29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(704) 627-6118</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stacey.jones@honeywell.com</w:t>
            </w:r>
          </w:p>
        </w:tc>
        <w:tc>
          <w:tcPr>
            <w:tcW w:w="29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mark.macaluso@honeywell.com</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jc w:val="center"/>
        <w:rPr>
          <w:rFonts w:ascii="Arial;sans-serif" w:hAnsi="Arial;sans-serif"/>
          <w:b/>
          <w:color w:val="000000"/>
          <w:sz w:val="24"/>
        </w:rPr>
      </w:pPr>
      <w:r>
        <w:rPr>
          <w:rFonts w:ascii="Arial;sans-serif" w:hAnsi="Arial;sans-serif"/>
          <w:b/>
          <w:color w:val="000000"/>
          <w:sz w:val="24"/>
        </w:rPr>
        <w:t>HONEYWELL REPORTS FOURTH QUARTER 2025 RESULTS, WITH ADJUSTED SALES AND ADJUSTED EARNINGS ABOVE HIGH END OF GUIDANCE; ISSUES 2026 OUTLOOK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Fourth Quarter Sales of $9.8 Billion, Up 6%, Adjusted Sales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$10.1 Billion, Up 10%, Up 11% Organic</w:t>
      </w:r>
      <w:r>
        <w:rPr>
          <w:rFonts w:ascii="Arial;sans-serif" w:hAnsi="Arial;sans-serif"/>
          <w:b w:val="false"/>
          <w:color w:val="000000"/>
          <w:sz w:val="13"/>
        </w:rPr>
        <w:t>1</w:t>
      </w:r>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Fourth Quarter GAAP Earnings Per Share (EPS) of $0.49 and Adjusted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$2.59</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Fourth Quarter Orders Up 23% Organically, Driving Backlog to Over $37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Expect 2026 Adjusted EPS</w:t>
      </w:r>
      <w:r>
        <w:rPr>
          <w:rFonts w:ascii="Arial;sans-serif" w:hAnsi="Arial;sans-serif"/>
          <w:b w:val="false"/>
          <w:color w:val="000000"/>
          <w:sz w:val="13"/>
        </w:rPr>
        <w:t>2,3</w:t>
      </w:r>
      <w:r>
        <w:rPr>
          <w:color w:val="000000"/>
        </w:rPr>
        <w:t xml:space="preserve"> </w:t>
      </w:r>
      <w:r>
        <w:rPr>
          <w:rFonts w:ascii="Arial;sans-serif" w:hAnsi="Arial;sans-serif"/>
          <w:b w:val="false"/>
          <w:color w:val="000000"/>
          <w:sz w:val="20"/>
        </w:rPr>
        <w:t>of $10.35 - $10.65, Up 6% - 9%</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Honeywell Aerospace Spin-Off Now Expected in Third Quarter 2026; Leadership Team Announced</w:t>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Arial;sans-serif" w:hAnsi="Arial;sans-serif"/>
          <w:b w:val="false"/>
          <w:color w:val="000000"/>
          <w:sz w:val="20"/>
        </w:rPr>
        <w:t>CHARLOTTE, N.C., January 29, 2026</w:t>
      </w:r>
      <w:r>
        <w:rPr>
          <w:color w:val="000000"/>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0"/>
        </w:rPr>
        <w:t xml:space="preserve">Honeywell </w:t>
      </w:r>
      <w:r>
        <w:rPr>
          <w:rFonts w:ascii="Arial;sans-serif" w:hAnsi="Arial;sans-serif"/>
          <w:b/>
          <w:color w:val="000000"/>
          <w:sz w:val="20"/>
        </w:rPr>
        <w:t>(NASDAQ: HON)</w:t>
      </w:r>
      <w:r>
        <w:rPr>
          <w:color w:val="000000"/>
        </w:rPr>
        <w:t xml:space="preserve"> </w:t>
      </w:r>
      <w:r>
        <w:rPr>
          <w:rFonts w:ascii="Arial;sans-serif" w:hAnsi="Arial;sans-serif"/>
          <w:b w:val="false"/>
          <w:color w:val="000000"/>
          <w:sz w:val="20"/>
        </w:rPr>
        <w:t>today announced results for the fourth quarter and full year 2025 and issued its outlook for 2026. The company also provided an update on anticipated timing for the spin-off of Honeywell Aerospace into an independent publicly traded company, now expected to be completed in the third quarter of 2026, ahead of the company's prior expectations.</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Fourth-quarter sales growth was driven primarily by strong demand in the Aerospace and Building Automation segments. Orders grew 23% organically, led by double-digit growth in Aerospace Technologies and Energy and Sustainability Solutions (ESS), which drove a 4% sequential increase in backlog to over $37 billion. </w:t>
      </w:r>
    </w:p>
    <w:p>
      <w:pPr>
        <w:pStyle w:val="TextBody"/>
        <w:bidi w:val="0"/>
        <w:spacing w:lineRule="auto" w:line="417" w:before="0" w:after="0"/>
        <w:ind w:left="0" w:right="0" w:firstLine="720"/>
        <w:jc w:val="left"/>
        <w:rPr/>
      </w:pPr>
      <w:r>
        <w:rPr>
          <w:rFonts w:ascii="Arial;sans-serif" w:hAnsi="Arial;sans-serif"/>
          <w:b w:val="false"/>
          <w:color w:val="000000"/>
          <w:sz w:val="20"/>
        </w:rPr>
        <w:t>Operating income decreased 35% and operating margin contracted 640 basis points to 10.2% primarily due to a one-time impairment charge related to the classification of the Productivity Solutions and Services (PSS) and Warehouse and Workflow Solutions (WWS) businesses as assets held for sale, and a one-time charge within the Aerospace Technologies segment related to the previously disclosed Flexjet-related litigation matters in the fourth quarter of 2025. Excluding these charges and other items, adjusted segment profit</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23%, or 2% excluding the impact of the Bombardier agreement ("BBD") signed in the fourth quarter of 2024</w:t>
      </w:r>
      <w:r>
        <w:rPr>
          <w:rFonts w:ascii="Arial;sans-serif" w:hAnsi="Arial;sans-serif"/>
          <w:b w:val="false"/>
          <w:color w:val="000000"/>
          <w:sz w:val="13"/>
        </w:rPr>
        <w:t>4</w:t>
      </w:r>
      <w:r>
        <w:rPr>
          <w:rFonts w:ascii="Arial;sans-serif" w:hAnsi="Arial;sans-serif"/>
          <w:b w:val="false"/>
          <w:color w:val="000000"/>
          <w:sz w:val="20"/>
        </w:rPr>
        <w:t>, to $2.3 billion led by growth in Aerospace Technologies and Building Automation, driving adjusted segment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expansion of 240 basis points (or margin contraction of 70 basis points ex. BBD</w:t>
      </w:r>
      <w:r>
        <w:rPr>
          <w:rFonts w:ascii="Arial;sans-serif" w:hAnsi="Arial;sans-serif"/>
          <w:b w:val="false"/>
          <w:color w:val="000000"/>
          <w:sz w:val="13"/>
        </w:rPr>
        <w:t>4</w:t>
      </w:r>
      <w:r>
        <w:rPr>
          <w:rFonts w:ascii="Arial;sans-serif" w:hAnsi="Arial;sans-serif"/>
          <w:b w:val="false"/>
          <w:color w:val="000000"/>
          <w:sz w:val="20"/>
        </w:rPr>
        <w:t xml:space="preserve">) to 22.8%. </w:t>
      </w:r>
    </w:p>
    <w:p>
      <w:pPr>
        <w:pStyle w:val="TextBody"/>
        <w:bidi w:val="0"/>
        <w:spacing w:lineRule="auto" w:line="417"/>
        <w:ind w:left="0" w:right="0" w:firstLine="720"/>
        <w:jc w:val="left"/>
        <w:rPr/>
      </w:pPr>
      <w:r>
        <w:rPr>
          <w:rFonts w:ascii="Arial;sans-serif" w:hAnsi="Arial;sans-serif"/>
          <w:b w:val="false"/>
          <w:color w:val="000000"/>
          <w:sz w:val="20"/>
        </w:rPr>
        <w:t>EPS for the fourth quarter of $0.49 was down 72% primarily driven by the aforementioned one-time charges. Excluding these charges and other items, adjusted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$2.59 was up 17%, or down 3% ex. BBD</w:t>
      </w:r>
      <w:r>
        <w:rPr>
          <w:rFonts w:ascii="Arial;sans-serif" w:hAnsi="Arial;sans-serif"/>
          <w:b w:val="false"/>
          <w:color w:val="000000"/>
          <w:sz w:val="13"/>
        </w:rPr>
        <w:t>4</w:t>
      </w:r>
      <w:r>
        <w:rPr>
          <w:rFonts w:ascii="Arial;sans-serif" w:hAnsi="Arial;sans-serif"/>
          <w:b w:val="false"/>
          <w:color w:val="000000"/>
          <w:sz w:val="20"/>
        </w:rPr>
        <w:t>, driven by higher adjusted segment profit and a lower share count, partially offset by a higher effective tax rate. Finally, operating cash flow was $1.2 billion, down 38%, and free cash flow</w:t>
      </w:r>
      <w:r>
        <w:rPr>
          <w:rFonts w:ascii="Arial;sans-serif" w:hAnsi="Arial;sans-serif"/>
          <w:b w:val="false"/>
          <w:color w:val="000000"/>
          <w:sz w:val="13"/>
        </w:rPr>
        <w:t>1,5</w:t>
      </w:r>
      <w:r>
        <w:rPr>
          <w:color w:val="000000"/>
        </w:rPr>
        <w:t xml:space="preserve"> </w:t>
      </w:r>
      <w:r>
        <w:rPr>
          <w:rFonts w:ascii="Arial;sans-serif" w:hAnsi="Arial;sans-serif"/>
          <w:b w:val="false"/>
          <w:color w:val="000000"/>
          <w:sz w:val="20"/>
        </w:rPr>
        <w:t>was $2.5 billion, up 48%, or up 13% ex. BBD</w:t>
      </w:r>
      <w:r>
        <w:rPr>
          <w:rFonts w:ascii="Arial;sans-serif" w:hAnsi="Arial;sans-serif"/>
          <w:b w:val="false"/>
          <w:color w:val="000000"/>
          <w:sz w:val="13"/>
        </w:rPr>
        <w:t>4</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- 2</w:t>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Arial;sans-serif" w:hAnsi="Arial;sans-serif"/>
          <w:b w:val="false"/>
          <w:color w:val="000000"/>
          <w:sz w:val="20"/>
        </w:rPr>
        <w:t>For the full year, reported sales increased 8% and adjusted sales increased 9%, with organic sales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up 7% (or 6% organically ex. BBD</w:t>
      </w:r>
      <w:r>
        <w:rPr>
          <w:rFonts w:ascii="Arial;sans-serif" w:hAnsi="Arial;sans-serif"/>
          <w:b w:val="false"/>
          <w:color w:val="000000"/>
          <w:sz w:val="13"/>
        </w:rPr>
        <w:t>4</w:t>
      </w:r>
      <w:r>
        <w:rPr>
          <w:rFonts w:ascii="Arial;sans-serif" w:hAnsi="Arial;sans-serif"/>
          <w:b w:val="false"/>
          <w:color w:val="000000"/>
          <w:sz w:val="20"/>
        </w:rPr>
        <w:t>), exceeding the high end of original full year guidance by 2 points. Operating income decreased 6% and operating margin contracted 250 basis points, while adjusted segment profit</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grew 11% (or 6% ex. BBD</w:t>
      </w:r>
      <w:r>
        <w:rPr>
          <w:rFonts w:ascii="Arial;sans-serif" w:hAnsi="Arial;sans-serif"/>
          <w:b w:val="false"/>
          <w:color w:val="000000"/>
          <w:sz w:val="13"/>
        </w:rPr>
        <w:t>4</w:t>
      </w:r>
      <w:r>
        <w:rPr>
          <w:rFonts w:ascii="Arial;sans-serif" w:hAnsi="Arial;sans-serif"/>
          <w:b w:val="false"/>
          <w:color w:val="000000"/>
          <w:sz w:val="20"/>
        </w:rPr>
        <w:t>) with adjusted segment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expansion of 40 basis points (or contraction of 40 basis points ex. BBD</w:t>
      </w:r>
      <w:r>
        <w:rPr>
          <w:rFonts w:ascii="Arial;sans-serif" w:hAnsi="Arial;sans-serif"/>
          <w:b w:val="false"/>
          <w:color w:val="000000"/>
          <w:sz w:val="13"/>
        </w:rPr>
        <w:t>4</w:t>
      </w:r>
      <w:r>
        <w:rPr>
          <w:rFonts w:ascii="Arial;sans-serif" w:hAnsi="Arial;sans-serif"/>
          <w:b w:val="false"/>
          <w:color w:val="000000"/>
          <w:sz w:val="20"/>
        </w:rPr>
        <w:t>) to 22.5%. Full-year EPS was $7.57, flat year over year, and full-year adjusted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$9.78, up 12% year over year (or 7% ex. BBD</w:t>
      </w:r>
      <w:r>
        <w:rPr>
          <w:rFonts w:ascii="Arial;sans-serif" w:hAnsi="Arial;sans-serif"/>
          <w:b w:val="false"/>
          <w:color w:val="000000"/>
          <w:sz w:val="13"/>
        </w:rPr>
        <w:t>4</w:t>
      </w:r>
      <w:r>
        <w:rPr>
          <w:rFonts w:ascii="Arial;sans-serif" w:hAnsi="Arial;sans-serif"/>
          <w:b w:val="false"/>
          <w:color w:val="000000"/>
          <w:sz w:val="20"/>
        </w:rPr>
        <w:t>). Operating cash flow was $6.1 billion, up 19%, and free cash flow</w:t>
      </w:r>
      <w:r>
        <w:rPr>
          <w:rFonts w:ascii="Arial;sans-serif" w:hAnsi="Arial;sans-serif"/>
          <w:b w:val="false"/>
          <w:color w:val="000000"/>
          <w:sz w:val="13"/>
        </w:rPr>
        <w:t>1,5</w:t>
      </w:r>
      <w:r>
        <w:rPr>
          <w:color w:val="000000"/>
        </w:rPr>
        <w:t xml:space="preserve"> </w:t>
      </w:r>
      <w:r>
        <w:rPr>
          <w:rFonts w:ascii="Arial;sans-serif" w:hAnsi="Arial;sans-serif"/>
          <w:b w:val="false"/>
          <w:color w:val="000000"/>
          <w:sz w:val="20"/>
        </w:rPr>
        <w:t>was $5.1 billion, up 20% (or up 7% ex. BBD</w:t>
      </w:r>
      <w:r>
        <w:rPr>
          <w:rFonts w:ascii="Arial;sans-serif" w:hAnsi="Arial;sans-serif"/>
          <w:b w:val="false"/>
          <w:color w:val="000000"/>
          <w:sz w:val="13"/>
        </w:rPr>
        <w:t>4</w:t>
      </w:r>
      <w:r>
        <w:rPr>
          <w:rFonts w:ascii="Arial;sans-serif" w:hAnsi="Arial;sans-serif"/>
          <w:b w:val="false"/>
          <w:color w:val="000000"/>
          <w:sz w:val="20"/>
        </w:rPr>
        <w:t>).</w:t>
      </w:r>
    </w:p>
    <w:p>
      <w:pPr>
        <w:pStyle w:val="TextBody"/>
        <w:bidi w:val="0"/>
        <w:spacing w:before="0" w:after="0"/>
        <w:ind w:left="0" w:right="0" w:firstLine="720"/>
        <w:jc w:val="left"/>
        <w:rPr/>
      </w:pPr>
      <w:r>
        <w:rPr/>
      </w:r>
    </w:p>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Management Commentary</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concluded 2025 with strong results that exceeded the high end of our guidance for adjusted sales and adjusted EPS. Orders grew 23% stemming from robust demand in the Aerospace Technologies and Energy and Sustainability Solutions segments, including from our LNG acquisition that closed last year. As a result, we exited 2025 with a record backlog of over $37 billion which positions us well for 2026," said Vimal Kapur, chairman and CEO of Honeywell. </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Kapur added, "During the quarter, we also made considerable progress on our portfolio optimization, with the spin off of Solstice Advanced Materials complete. Building on this momentum, we now expect the separation of our automation and aerospace businesses to be completed in the third quarter of 2026. In preparation, this quarter we established our go-forward segment structure for Honeywell, built on complementary business models that will drive cross-portfolio synergies and accelerate profitable growth over the long term, and announced the leadership team for Honeywell Aerospace. These actions all marked critical steps in our simplification journey. With strong management teams and clear strategies in place for both automation and aerospace, we are confident in our ability to deliver on our 2026 commitments,” concluded Kapur.</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 xml:space="preserve">Table 1: Summary of Honeywell Financial Results </w:t>
      </w:r>
    </w:p>
    <w:p>
      <w:pPr>
        <w:pStyle w:val="TextBody"/>
        <w:bidi w:val="0"/>
        <w:spacing w:lineRule="auto" w:line="417" w:before="0" w:after="0"/>
        <w:jc w:val="left"/>
        <w:rPr>
          <w:rFonts w:ascii="Arial;sans-serif" w:hAnsi="Arial;sans-serif"/>
          <w:b/>
          <w:color w:val="000000"/>
          <w:sz w:val="16"/>
          <w:u w:val="single"/>
        </w:rPr>
      </w:pPr>
      <w:r>
        <w:rPr>
          <w:rFonts w:ascii="Arial;sans-serif" w:hAnsi="Arial;sans-serif"/>
          <w:b/>
          <w:color w:val="000000"/>
          <w:sz w:val="16"/>
          <w:u w:val="single"/>
        </w:rPr>
        <w:t>(Dollars in millions, except per share amounts)</w:t>
      </w:r>
    </w:p>
    <w:p>
      <w:pPr>
        <w:pStyle w:val="TextBody"/>
        <w:bidi w:val="0"/>
        <w:spacing w:lineRule="auto" w:line="288" w:before="0" w:after="0"/>
        <w:jc w:val="left"/>
        <w:rPr>
          <w:color w:val="000000"/>
        </w:rPr>
      </w:pPr>
      <w:r>
        <w:rPr>
          <w:color w:val="000000"/>
        </w:rPr>
        <w:t> </w:t>
      </w:r>
    </w:p>
    <w:tbl>
      <w:tblPr>
        <w:tblW w:w="7142" w:type="dxa"/>
        <w:jc w:val="left"/>
        <w:tblInd w:w="0" w:type="dxa"/>
        <w:tblLayout w:type="fixed"/>
        <w:tblCellMar>
          <w:top w:w="28" w:type="dxa"/>
          <w:left w:w="28" w:type="dxa"/>
          <w:bottom w:w="28" w:type="dxa"/>
          <w:right w:w="28" w:type="dxa"/>
        </w:tblCellMar>
      </w:tblPr>
      <w:tblGrid>
        <w:gridCol w:w="1405"/>
        <w:gridCol w:w="1239"/>
        <w:gridCol w:w="1255"/>
        <w:gridCol w:w="109"/>
        <w:gridCol w:w="109"/>
        <w:gridCol w:w="109"/>
        <w:gridCol w:w="244"/>
        <w:gridCol w:w="244"/>
        <w:gridCol w:w="246"/>
        <w:gridCol w:w="109"/>
        <w:gridCol w:w="109"/>
        <w:gridCol w:w="109"/>
        <w:gridCol w:w="244"/>
        <w:gridCol w:w="244"/>
        <w:gridCol w:w="246"/>
        <w:gridCol w:w="109"/>
        <w:gridCol w:w="109"/>
        <w:gridCol w:w="109"/>
        <w:gridCol w:w="232"/>
        <w:gridCol w:w="232"/>
        <w:gridCol w:w="330"/>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$9,758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$9,169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Sales</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$10,070</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$9,169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$996</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-640 bps</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Profit</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 bps</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Profit</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$2,292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Margin</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 bps</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 Continuing Operations</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Earnings Per Share</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38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 from Operations - Continuing Operations</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$1,998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1,5</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$2,512</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$1,697</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- 3</w:t>
      </w:r>
    </w:p>
    <w:p>
      <w:pPr>
        <w:pStyle w:val="TextBody"/>
        <w:bidi w:val="0"/>
        <w:spacing w:before="0" w:after="0"/>
        <w:jc w:val="left"/>
        <w:rPr/>
      </w:pPr>
      <w:r>
        <w:rPr/>
      </w:r>
    </w:p>
    <w:tbl>
      <w:tblPr>
        <w:tblW w:w="7113" w:type="dxa"/>
        <w:jc w:val="left"/>
        <w:tblInd w:w="0" w:type="dxa"/>
        <w:tblLayout w:type="fixed"/>
        <w:tblCellMar>
          <w:top w:w="28" w:type="dxa"/>
          <w:left w:w="28" w:type="dxa"/>
          <w:bottom w:w="28" w:type="dxa"/>
          <w:right w:w="28" w:type="dxa"/>
        </w:tblCellMar>
      </w:tblPr>
      <w:tblGrid>
        <w:gridCol w:w="1405"/>
        <w:gridCol w:w="1239"/>
        <w:gridCol w:w="1256"/>
        <w:gridCol w:w="109"/>
        <w:gridCol w:w="109"/>
        <w:gridCol w:w="109"/>
        <w:gridCol w:w="239"/>
        <w:gridCol w:w="239"/>
        <w:gridCol w:w="241"/>
        <w:gridCol w:w="109"/>
        <w:gridCol w:w="109"/>
        <w:gridCol w:w="109"/>
        <w:gridCol w:w="239"/>
        <w:gridCol w:w="239"/>
        <w:gridCol w:w="241"/>
        <w:gridCol w:w="109"/>
        <w:gridCol w:w="109"/>
        <w:gridCol w:w="109"/>
        <w:gridCol w:w="232"/>
        <w:gridCol w:w="232"/>
        <w:gridCol w:w="330"/>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90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$37,442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$34,717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7%</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Sales</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$37,754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$34,717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9%</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$6,044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$6,449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 bps</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Profit</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$7,667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bps</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Profit</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$8,500</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$7,667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Margin</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bps</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Earnings Per Share - Continuing Operations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Earnings Per Share</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90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from Operations - Continuing Operations</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$6,075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$5,112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1,5</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$5,102</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$4,241</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ind w:left="0" w:right="0" w:firstLine="720"/>
        <w:jc w:val="left"/>
        <w:rPr/>
      </w:pPr>
      <w:r>
        <w:rPr>
          <w:rFonts w:ascii="Arial;sans-serif" w:hAnsi="Arial;sans-serif"/>
          <w:b/>
          <w:color w:val="000000"/>
          <w:sz w:val="20"/>
        </w:rPr>
        <w:t>Aerospace Technologies</w:t>
      </w:r>
      <w:r>
        <w:rPr>
          <w:color w:val="000000"/>
        </w:rPr>
        <w:t xml:space="preserve"> </w:t>
      </w:r>
      <w:r>
        <w:rPr>
          <w:rFonts w:ascii="Arial;sans-serif" w:hAnsi="Arial;sans-serif"/>
          <w:b w:val="false"/>
          <w:color w:val="000000"/>
          <w:sz w:val="20"/>
        </w:rPr>
        <w:t>sales for the fourth quarter grew 21% organically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year over year, or 11% excluding the impact of the prior year’s Bombardier agreement</w:t>
      </w:r>
      <w:r>
        <w:rPr>
          <w:rFonts w:ascii="Arial;sans-serif" w:hAnsi="Arial;sans-serif"/>
          <w:b w:val="false"/>
          <w:color w:val="000000"/>
          <w:sz w:val="13"/>
        </w:rPr>
        <w:t>4</w:t>
      </w:r>
      <w:r>
        <w:rPr>
          <w:rFonts w:ascii="Arial;sans-serif" w:hAnsi="Arial;sans-serif"/>
          <w:b w:val="false"/>
          <w:color w:val="000000"/>
          <w:sz w:val="20"/>
        </w:rPr>
        <w:t>, led by ongoing strength in commercial aftermarket and defense and space. Commercial aftermarket sales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13% organically with double-digit growth in both business jet and air transport end markets. Defense and space sales rose 10% driven by sustained elevated global demand. Commercial original equipment growth accelerated from the prior quarter, supported by higher output from an improving supply chain. Orders and backlog both increased at a strong double-digit rate compared to the previous year. Adjusted segment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expanded 620 basis points to 26.5% as a result of the impact of the prior year’s Bombardier agreement</w:t>
      </w:r>
      <w:r>
        <w:rPr>
          <w:rFonts w:ascii="Arial;sans-serif" w:hAnsi="Arial;sans-serif"/>
          <w:b w:val="false"/>
          <w:color w:val="000000"/>
          <w:sz w:val="13"/>
        </w:rPr>
        <w:t>4</w:t>
      </w:r>
      <w:r>
        <w:rPr>
          <w:rFonts w:ascii="Arial;sans-serif" w:hAnsi="Arial;sans-serif"/>
          <w:b w:val="false"/>
          <w:color w:val="000000"/>
          <w:sz w:val="20"/>
        </w:rPr>
        <w:t>. Excluding this prior year impact, adjusted segment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declined 60 basis points as commercial excellence and volume leverage were more than offset by cost inflation.</w:t>
      </w:r>
    </w:p>
    <w:p>
      <w:pPr>
        <w:pStyle w:val="TextBody"/>
        <w:bidi w:val="0"/>
        <w:spacing w:lineRule="auto" w:line="417" w:before="0" w:after="0"/>
        <w:ind w:left="0" w:right="0" w:firstLine="720"/>
        <w:jc w:val="left"/>
        <w:rPr/>
      </w:pPr>
      <w:r>
        <w:rPr>
          <w:rFonts w:ascii="Arial;sans-serif" w:hAnsi="Arial;sans-serif"/>
          <w:b/>
          <w:color w:val="000000"/>
          <w:sz w:val="20"/>
        </w:rPr>
        <w:t xml:space="preserve">Industrial Automation </w:t>
      </w:r>
      <w:r>
        <w:rPr>
          <w:rFonts w:ascii="Arial;sans-serif" w:hAnsi="Arial;sans-serif"/>
          <w:b w:val="false"/>
          <w:color w:val="000000"/>
          <w:sz w:val="20"/>
        </w:rPr>
        <w:t>sales for the fourth quarter grew 1% year over year on an organic basis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and 4% sequentially. Growth was driven by WWS, up 5% on steady conversion of our robust pipeline, continued strength in sensing, up 3% on strong tailwinds in industrial and aerospace and defense end markets, and a return to growth of 1% in PSS, which also delivered double-digit orders growth. Process solutions sales were flat on an organic basis, as strength in aftermarket services was offset by declines in measurement and controls products. Segment margin contracted 120 basis points year over year to 18.4% driven by cost inflation, partially offset by commercial excellence and benefit from the personal protective equipment (PPE) sale. Beginning in 2026, the core Process Solutions business will be reported as part of Process Automation and Technology (PA&amp;T).</w:t>
      </w:r>
    </w:p>
    <w:p>
      <w:pPr>
        <w:pStyle w:val="TextBody"/>
        <w:bidi w:val="0"/>
        <w:spacing w:lineRule="auto" w:line="417"/>
        <w:ind w:left="0" w:right="0" w:firstLine="720"/>
        <w:jc w:val="left"/>
        <w:rPr/>
      </w:pPr>
      <w:r>
        <w:rPr>
          <w:rFonts w:ascii="Arial;sans-serif" w:hAnsi="Arial;sans-serif"/>
          <w:b/>
          <w:color w:val="000000"/>
          <w:sz w:val="20"/>
        </w:rPr>
        <w:t xml:space="preserve">Building Automation </w:t>
      </w:r>
      <w:r>
        <w:rPr>
          <w:rFonts w:ascii="Arial;sans-serif" w:hAnsi="Arial;sans-serif"/>
          <w:b w:val="false"/>
          <w:color w:val="000000"/>
          <w:sz w:val="20"/>
        </w:rPr>
        <w:t>sales for the fourth quarter increased 8% organically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year over year. Building solutions grew 9%, led by double-digit growth in services and building products grew 8%, highlighted by continued strength in North America and the Middle East. Orders increased both year over year and sequentially, driven by demand across both building solutions and building products. Segment margin expanded 20 basis points from the prior year to 27.0%, supported by commercial excellence and volume leverage partially offset by inflation.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- 4</w:t>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Arial;sans-serif" w:hAnsi="Arial;sans-serif"/>
          <w:b/>
          <w:color w:val="000000"/>
          <w:sz w:val="20"/>
        </w:rPr>
        <w:t xml:space="preserve">Energy and Sustainability Solutions </w:t>
      </w:r>
      <w:r>
        <w:rPr>
          <w:rFonts w:ascii="Arial;sans-serif" w:hAnsi="Arial;sans-serif"/>
          <w:b w:val="false"/>
          <w:color w:val="000000"/>
          <w:sz w:val="20"/>
        </w:rPr>
        <w:t>sales</w:t>
      </w:r>
      <w:r>
        <w:rPr>
          <w:color w:val="000000"/>
        </w:rPr>
        <w:t xml:space="preserve"> </w:t>
      </w:r>
      <w:r>
        <w:rPr>
          <w:rFonts w:ascii="Arial;sans-serif" w:hAnsi="Arial;sans-serif"/>
          <w:b w:val="false"/>
          <w:color w:val="000000"/>
          <w:sz w:val="20"/>
        </w:rPr>
        <w:t>for the fourth quarter decreased 7% organically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year over year, driven by demand softness in petrochemical catalysts. Orders growth continued in UOP, led by strong demand in LNG and robust double-digit growth in refining and petrochemicals projects. Segment margin contracted 300 basis points to 23.7% driven by unfavorable mix from lower catalyst volumes and cost inflation. The advanced materials (AM) business is excluded from the ESS reportable business segment in the fourth quarter and full-year 2025 results following the spin-off of Solstice Advanced Materials and subsequent classification of AM as discontinued operations. Beginning in 2026, the businesses in ESS will be reported as part of Process Automation and Technology (PA&amp;T).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Table 2: Summary of Segment Financial Results</w:t>
      </w:r>
    </w:p>
    <w:p>
      <w:pPr>
        <w:pStyle w:val="TextBody"/>
        <w:bidi w:val="0"/>
        <w:spacing w:lineRule="auto" w:line="288" w:before="0" w:after="120"/>
        <w:jc w:val="left"/>
        <w:rPr>
          <w:rFonts w:ascii="Arial;sans-serif" w:hAnsi="Arial;sans-serif"/>
          <w:b/>
          <w:color w:val="000000"/>
          <w:sz w:val="16"/>
          <w:u w:val="single"/>
        </w:rPr>
      </w:pPr>
      <w:r>
        <w:rPr>
          <w:rFonts w:ascii="Arial;sans-serif" w:hAnsi="Arial;sans-serif"/>
          <w:b/>
          <w:color w:val="000000"/>
          <w:sz w:val="16"/>
          <w:u w:val="single"/>
        </w:rPr>
        <w:t>(Dollars in millions)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- 5</w:t>
      </w:r>
    </w:p>
    <w:p>
      <w:pPr>
        <w:pStyle w:val="TextBody"/>
        <w:bidi w:val="0"/>
        <w:spacing w:before="0" w:after="0"/>
        <w:jc w:val="left"/>
        <w:rPr/>
      </w:pPr>
      <w:r>
        <w:rPr/>
      </w:r>
    </w:p>
    <w:tbl>
      <w:tblPr>
        <w:tblW w:w="6888" w:type="dxa"/>
        <w:jc w:val="left"/>
        <w:tblInd w:w="0" w:type="dxa"/>
        <w:tblLayout w:type="fixed"/>
        <w:tblCellMar>
          <w:top w:w="28" w:type="dxa"/>
          <w:left w:w="28" w:type="dxa"/>
          <w:bottom w:w="28" w:type="dxa"/>
          <w:right w:w="28" w:type="dxa"/>
        </w:tblCellMar>
      </w:tblPr>
      <w:tblGrid>
        <w:gridCol w:w="1319"/>
        <w:gridCol w:w="1162"/>
        <w:gridCol w:w="1164"/>
        <w:gridCol w:w="109"/>
        <w:gridCol w:w="109"/>
        <w:gridCol w:w="109"/>
        <w:gridCol w:w="244"/>
        <w:gridCol w:w="244"/>
        <w:gridCol w:w="246"/>
        <w:gridCol w:w="109"/>
        <w:gridCol w:w="109"/>
        <w:gridCol w:w="109"/>
        <w:gridCol w:w="244"/>
        <w:gridCol w:w="244"/>
        <w:gridCol w:w="246"/>
        <w:gridCol w:w="109"/>
        <w:gridCol w:w="109"/>
        <w:gridCol w:w="109"/>
        <w:gridCol w:w="232"/>
        <w:gridCol w:w="232"/>
        <w:gridCol w:w="330"/>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17,510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15,458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12%</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4,284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3,988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 bps</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Profit</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4,657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3,988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Margin</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30 bps</w:t>
            </w:r>
          </w:p>
        </w:tc>
      </w:tr>
      <w:tr>
        <w:trPr/>
        <w:tc>
          <w:tcPr>
            <w:tcW w:w="3645"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4,520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3,986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21%</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bps</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Profit</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Segment Margin</w:t>
            </w:r>
            <w:r>
              <w:rPr>
                <w:rFonts w:ascii="Arial;sans-serif" w:hAnsi="Arial;sans-serif"/>
                <w:b w:val="false"/>
                <w:color w:val="000000"/>
                <w:sz w:val="10"/>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620 bps</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9,401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10,051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i/>
                <w:color w:val="000000"/>
                <w:sz w:val="16"/>
              </w:rPr>
              <w:t>%</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1,962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bps</w:t>
            </w:r>
          </w:p>
        </w:tc>
      </w:tr>
      <w:tr>
        <w:trPr/>
        <w:tc>
          <w:tcPr>
            <w:tcW w:w="3645"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2,566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19.6%</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 bps</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7,367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6,540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8%</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 bps</w:t>
            </w:r>
          </w:p>
        </w:tc>
      </w:tr>
      <w:tr>
        <w:trPr/>
        <w:tc>
          <w:tcPr>
            <w:tcW w:w="3645"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1,971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8%</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bps</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AND SUSTAINABILITY SOLUTIONS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2,644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 bps</w:t>
            </w:r>
          </w:p>
        </w:tc>
      </w:tr>
      <w:tr>
        <w:trPr/>
        <w:tc>
          <w:tcPr>
            <w:tcW w:w="3645"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2025</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 2024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(7)%</w:t>
            </w:r>
          </w:p>
        </w:tc>
      </w:tr>
      <w:tr>
        <w:trPr/>
        <w:tc>
          <w:tcPr>
            <w:tcW w:w="364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645"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top w:val="single" w:sz="4" w:space="0" w:color="B1B3B3"/>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 bps</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2026 Outlook</w:t>
      </w:r>
    </w:p>
    <w:p>
      <w:pPr>
        <w:pStyle w:val="TextBody"/>
        <w:bidi w:val="0"/>
        <w:spacing w:lineRule="auto" w:line="417"/>
        <w:ind w:left="0" w:right="0" w:firstLine="720"/>
        <w:jc w:val="left"/>
        <w:rPr/>
      </w:pPr>
      <w:r>
        <w:rPr>
          <w:rFonts w:ascii="Arial;sans-serif" w:hAnsi="Arial;sans-serif"/>
          <w:b w:val="false"/>
          <w:color w:val="000000"/>
          <w:sz w:val="20"/>
        </w:rPr>
        <w:t>Honeywell also announced its outlook for 2026. The company expects sales of $38.8 billion to $39.8 billion with organic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sales growth in the range of 3% to 6%. Segment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is expected to be 22.7% to 23.1%, with segment margin</w:t>
      </w:r>
      <w:r>
        <w:rPr>
          <w:rFonts w:ascii="Arial;sans-serif" w:hAnsi="Arial;sans-serif"/>
          <w:b w:val="false"/>
          <w:color w:val="000000"/>
          <w:sz w:val="13"/>
        </w:rPr>
        <w:t>2,6</w:t>
      </w:r>
      <w:r>
        <w:rPr>
          <w:color w:val="000000"/>
        </w:rPr>
        <w:t xml:space="preserve"> </w:t>
      </w:r>
      <w:r>
        <w:rPr>
          <w:rFonts w:ascii="Arial;sans-serif" w:hAnsi="Arial;sans-serif"/>
          <w:b w:val="false"/>
          <w:color w:val="000000"/>
          <w:sz w:val="20"/>
        </w:rPr>
        <w:t>expansion of 20 to 60 basis points. Adjusted earnings per share</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is expected to be $10.35 to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- 6</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0"/>
        </w:rPr>
        <w:t>$10.65, up 6% to 9%. The company expects operating cash flow of $4.7 billion to $5.0 billion. Free cash flow</w:t>
      </w:r>
      <w:r>
        <w:rPr>
          <w:rFonts w:ascii="Arial;sans-serif" w:hAnsi="Arial;sans-serif"/>
          <w:b w:val="false"/>
          <w:color w:val="000000"/>
          <w:sz w:val="13"/>
        </w:rPr>
        <w:t>1,5</w:t>
      </w:r>
      <w:r>
        <w:rPr>
          <w:color w:val="000000"/>
        </w:rPr>
        <w:t xml:space="preserve"> </w:t>
      </w:r>
      <w:r>
        <w:rPr>
          <w:rFonts w:ascii="Arial;sans-serif" w:hAnsi="Arial;sans-serif"/>
          <w:b w:val="false"/>
          <w:color w:val="000000"/>
          <w:sz w:val="20"/>
        </w:rPr>
        <w:t>is expected to be $5.3 billion to $5.6 billion, representing growth of 4% to 10% for the full year. A summary of the company's 2026 guidance can be found below. The company's outlook includes full-year expected results for Aerospace, PSS, and WWS, and does not incorporate the pending acquisition of Johnson Matthey's Catalyst Technologies business.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Arial;sans-serif" w:hAnsi="Arial;sans-serif"/>
          <w:b/>
          <w:color w:val="000000"/>
          <w:sz w:val="20"/>
          <w:u w:val="single"/>
        </w:rPr>
        <w:t>Table 3: Full-Year 2026 Guidance</w:t>
      </w:r>
      <w:r>
        <w:rPr>
          <w:rFonts w:ascii="Arial;sans-serif" w:hAnsi="Arial;sans-serif"/>
          <w:b/>
          <w:color w:val="000000"/>
          <w:sz w:val="13"/>
          <w:u w:val="single"/>
        </w:rPr>
        <w:t>2</w:t>
      </w:r>
    </w:p>
    <w:p>
      <w:pPr>
        <w:pStyle w:val="TextBody"/>
        <w:bidi w:val="0"/>
        <w:spacing w:lineRule="auto" w:line="288" w:before="0" w:after="0"/>
        <w:jc w:val="left"/>
        <w:rPr>
          <w:color w:val="000000"/>
        </w:rPr>
      </w:pPr>
      <w:r>
        <w:rPr>
          <w:color w:val="000000"/>
        </w:rPr>
        <w:t> </w:t>
      </w:r>
    </w:p>
    <w:tbl>
      <w:tblPr>
        <w:tblW w:w="3927" w:type="dxa"/>
        <w:jc w:val="left"/>
        <w:tblInd w:w="0" w:type="dxa"/>
        <w:tblLayout w:type="fixed"/>
        <w:tblCellMar>
          <w:top w:w="28" w:type="dxa"/>
          <w:left w:w="28" w:type="dxa"/>
          <w:bottom w:w="28" w:type="dxa"/>
          <w:right w:w="28" w:type="dxa"/>
        </w:tblCellMar>
      </w:tblPr>
      <w:tblGrid>
        <w:gridCol w:w="822"/>
        <w:gridCol w:w="723"/>
        <w:gridCol w:w="735"/>
        <w:gridCol w:w="109"/>
        <w:gridCol w:w="109"/>
        <w:gridCol w:w="109"/>
        <w:gridCol w:w="386"/>
        <w:gridCol w:w="386"/>
        <w:gridCol w:w="548"/>
      </w:tblGrid>
      <w:tr>
        <w:trPr/>
        <w:tc>
          <w:tcPr>
            <w:tcW w:w="8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$38.8B - $39.8B</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Organic</w:t>
            </w: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Growth</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3% - 6%</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Margin</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22.7% - 23.1%</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Expansion</w:t>
            </w:r>
            <w:r>
              <w:rPr>
                <w:rFonts w:ascii="Arial;sans-serif" w:hAnsi="Arial;sans-serif"/>
                <w:b w:val="false"/>
                <w:i/>
                <w:color w:val="000000"/>
                <w:sz w:val="10"/>
              </w:rPr>
              <w:t>6</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Up 20 - 60 bps</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Earnings Per Share</w:t>
            </w:r>
            <w:r>
              <w:rPr>
                <w:rFonts w:ascii="Arial;sans-serif" w:hAnsi="Arial;sans-serif"/>
                <w:b w:val="false"/>
                <w:color w:val="000000"/>
                <w:sz w:val="10"/>
              </w:rPr>
              <w:t>3</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$10.35 - $10.65</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Adjusted Earnings Growth</w:t>
            </w:r>
            <w:r>
              <w:rPr>
                <w:rFonts w:ascii="Arial;sans-serif" w:hAnsi="Arial;sans-serif"/>
                <w:b w:val="false"/>
                <w:i/>
                <w:color w:val="000000"/>
                <w:sz w:val="10"/>
              </w:rPr>
              <w:t>3</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6% - 9%</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$4.7B - $5.0B</w:t>
            </w:r>
          </w:p>
        </w:tc>
      </w:tr>
      <w:tr>
        <w:trPr/>
        <w:tc>
          <w:tcPr>
            <w:tcW w:w="22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$5.3B - $5.6B</w:t>
            </w:r>
          </w:p>
        </w:tc>
      </w:tr>
      <w:tr>
        <w:trPr/>
        <w:tc>
          <w:tcPr>
            <w:tcW w:w="2280"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Free Cash Flow</w:t>
            </w:r>
            <w:r>
              <w:rPr>
                <w:rFonts w:ascii="Arial;sans-serif" w:hAnsi="Arial;sans-serif"/>
                <w:b w:val="false"/>
                <w:i/>
                <w:color w:val="000000"/>
                <w:sz w:val="10"/>
              </w:rPr>
              <w:t>1,5</w:t>
            </w:r>
            <w:r>
              <w:rPr>
                <w:color w:val="000000"/>
              </w:rPr>
              <w:t xml:space="preserve"> </w:t>
            </w:r>
            <w:r>
              <w:rPr>
                <w:rFonts w:ascii="Arial;sans-serif" w:hAnsi="Arial;sans-serif"/>
                <w:b w:val="false"/>
                <w:i/>
                <w:color w:val="000000"/>
                <w:sz w:val="16"/>
              </w:rPr>
              <w:t>Growth</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 - 10%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24"/>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Arial;sans-serif" w:hAnsi="Arial;sans-serif"/>
                <w:b w:val="false"/>
                <w:color w:val="000000"/>
                <w:sz w:val="14"/>
              </w:rPr>
            </w:pPr>
            <w:r>
              <w:rPr>
                <w:rFonts w:ascii="Arial;sans-serif" w:hAnsi="Arial;sans-serif"/>
                <w:b w:val="false"/>
                <w:color w:val="000000"/>
                <w:sz w:val="14"/>
              </w:rPr>
              <w:t>See additional information at the end of this release regarding non-GAAP financial measures.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Segment margin and adjusted EPS are non-GAAP financial measures. Management cannot reliably predict or estimate, without unreasonable effort, the impact and timing on future operating results arising from items excluded from segment margin or adjusted EPS. We therefore, do not present a guidance range, or a reconciliation to, the nearest GAAP financial measures of operating margin or EPS.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000000"/>
                <w:sz w:val="14"/>
              </w:rPr>
            </w:pPr>
            <w:r>
              <w:rPr>
                <w:rFonts w:ascii="Arial;sans-serif" w:hAnsi="Arial;sans-serif"/>
                <w:b w:val="false"/>
                <w:color w:val="000000"/>
                <w:sz w:val="14"/>
              </w:rPr>
              <w:t>Adjusted EPS and adjusted EPS V% guidance excludes items identified in the non-GAAP reconciliation of adjusted EPS at the end of this release, and any potential future one-time items that we cannot reliably predict or estimate such as pension mark-to-market.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4Q24 financial results include impact of the BBD announced on December 2, 2024, resulting in a reduction to Sales of $0.4B, Net Income of $0.3B, and Cash Flow of $0.5B.</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With respect to historical periods, free cash flow adjusts for capital expenditures, spin-off and separation-related cost payments, Resideo indemnification and reimbursement agreement termination payment, cash payment for settlement of the divestiture of asbestos liabilities, and cash payment for settlement of Flexjet-related litigation matters. With respect to the company’s outlook for 2026, free cash flow adjusts for capital expenditures, spin-off and separation-related cost payments, and cash payment for settlement of Flexjet-related litigation matters.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Segment margin expansion as compared to Adjusted segment margin in 2025.</w:t>
            </w:r>
          </w:p>
        </w:tc>
      </w:tr>
    </w:tbl>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Portfolio Transformation</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fourth quarter, Honeywell took steps to further optimize its portfolio and operations ahead of the planned separation of its automation and aerospace businesses now expected in the third quarter of 2026. On October 30, 2025, the company completed the spin-off of Solstice Advanced Materials, now trading on the Nasdaq Stock Market under the ticker ‘SOLS’ and, as a result, began reporting its AM business unit as discontinued operations. In November, the company announced the appointment of Jim Currier as President and CEO of Honeywell Aerospace and Craig Arnold as Chairman of the Honeywell Aerospace Board of Directors upon separation. In January 2026, the company announced Josh Jepsen as CFO of Honeywell Aerospace and made numerous other leadership appointments. In addition, following the strategic alternatives review completed in the fourth quarter, PSS and WWS businesses have been classified as held for sale. The intended sale allows Honeywell to focus on its core areas of automation expertise which are exposed to long-term secular growth drivers that further position the company as a global automation leader.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Settlement of Flexjet-Related Litigation Matters</w:t>
      </w:r>
    </w:p>
    <w:p>
      <w:pPr>
        <w:pStyle w:val="TextBody"/>
        <w:bidi w:val="0"/>
        <w:spacing w:lineRule="auto" w:line="417"/>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January 21, 2026, Honeywell and Flexjet announced that they have reached a comprehensive agreement to resolve their pending litigation and look forward to rebuilding the parties' commercial partnership. The agreement will resolve in full all pending claims among and between the parties, as well as related litigation involving StandardAero and Duncan Aviation. Simultaneously, and as a partial consideration for the resolution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- 7</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 xml:space="preserve">litigation, Honeywell and Flexjet have agreed to extend their aircraft engine maintenance through 2035. Honeywell and Flexjet look forward to working collaboratively going forward.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Conference Call Details</w:t>
      </w:r>
    </w:p>
    <w:p>
      <w:pPr>
        <w:pStyle w:val="TextBody"/>
        <w:bidi w:val="0"/>
        <w:spacing w:lineRule="auto" w:line="417" w:before="0" w:after="0"/>
        <w:ind w:left="0" w:right="0" w:firstLine="720"/>
        <w:jc w:val="left"/>
        <w:rPr/>
      </w:pPr>
      <w:r>
        <w:rPr>
          <w:rFonts w:ascii="Arial;sans-serif" w:hAnsi="Arial;sans-serif"/>
          <w:b w:val="false"/>
          <w:color w:val="000000"/>
          <w:sz w:val="20"/>
        </w:rPr>
        <w:t>Honeywell will discuss its fourth-quarter results and full-year 2026 guidance during an investor conference call starting at 8:30 a.m. Eastern Standard Time today. A live webcast of the investor call as well as related presentation materials will be available through the Investor Relations section of the company’s website (</w:t>
      </w:r>
      <w:r>
        <w:rPr>
          <w:rFonts w:ascii="Arial;sans-serif" w:hAnsi="Arial;sans-serif"/>
          <w:b w:val="false"/>
          <w:color w:val="000000"/>
          <w:sz w:val="20"/>
          <w:u w:val="single"/>
        </w:rPr>
        <w:t>www.honeywell.com/investor</w:t>
      </w:r>
      <w:r>
        <w:rPr>
          <w:rFonts w:ascii="Arial;sans-serif" w:hAnsi="Arial;sans-serif"/>
          <w:b w:val="false"/>
          <w:color w:val="000000"/>
          <w:sz w:val="20"/>
        </w:rPr>
        <w:t>). A replay of the webcast will be available for 30 days following the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About Honeywell</w:t>
      </w:r>
    </w:p>
    <w:p>
      <w:pPr>
        <w:pStyle w:val="TextBody"/>
        <w:bidi w:val="0"/>
        <w:spacing w:lineRule="auto" w:line="288" w:before="0" w:after="0"/>
        <w:jc w:val="left"/>
        <w:rPr/>
      </w:pPr>
      <w:r>
        <w:rPr>
          <w:rFonts w:ascii="Arial;sans-serif" w:hAnsi="Arial;sans-serif"/>
          <w:b w:val="false"/>
          <w:color w:val="000000"/>
          <w:sz w:val="18"/>
        </w:rPr>
        <w:t xml:space="preserve">Honeywell is an integrated operating company serving a broad range of industries and geographies around the world, with a portfolio that is underpinned by our Honeywell Accelerator operating system and Honeywell Forge platform. As a trusted partner, we help organizations solve the world's toughest, most complex challenges, providing actionable solutions and innovations for aerospace, building automation, industrial automation, process automation, and process technology that help make the world smarter and safer as well as more sustainable. For more news and information on Honeywell, please visit </w:t>
      </w:r>
      <w:r>
        <w:rPr>
          <w:rFonts w:ascii="Arial;sans-serif" w:hAnsi="Arial;sans-serif"/>
          <w:b w:val="false"/>
          <w:color w:val="000000"/>
          <w:sz w:val="18"/>
          <w:u w:val="single"/>
        </w:rPr>
        <w:t>www.honeywell.com/newsroom</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8"/>
        </w:rPr>
        <w:t xml:space="preserve">Honeywell uses our Investor Relations website, </w:t>
      </w:r>
      <w:r>
        <w:rPr>
          <w:rFonts w:ascii="Arial;sans-serif" w:hAnsi="Arial;sans-serif"/>
          <w:b w:val="false"/>
          <w:color w:val="000000"/>
          <w:sz w:val="18"/>
          <w:u w:val="single"/>
        </w:rPr>
        <w:t>www.honeywell.com/investor</w:t>
      </w:r>
      <w:r>
        <w:rPr>
          <w:rFonts w:ascii="Arial;sans-serif" w:hAnsi="Arial;sans-serif"/>
          <w:b w:val="false"/>
          <w:color w:val="000000"/>
          <w:sz w:val="18"/>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describe many of the trends and other factors that drive our business and future results in this release. Such discussions contain forward-looking statements within the meaning of Section 21E of the Securities Exchange Act of 1934, as amended (the Exchange Act), including statements related to the proposed separation of Automation and Aerospace Technologies and the planned sale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separation of Automation and Aerospace Technologies and the planned sale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proposed separation of Automation and Aerospace Technologies and the planned sale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release can or will be achieved. These forward-looking statements should be considered in light of the information included in this release, our Form 10-K, and our other filings with the Securities and Exchange Commission. Any forward-looking plans described herein are not final and may be modified or abandoned at any time.</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release contains financial measures presented on a non-GAAP basis. Honeywell’s non-GAAP financial measures used in this release are as follows: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Segment profit, on an overall Honeywell basis;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Segment profit margin, on an overall Honeywell basis;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segment profit, on an overall Honeywell basis;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segment profit margin, on an overall Honeywell basis;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Aerospace Technologies adjusted segment profit;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Aerospace Technologies adjusted segment profit margin;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Organic sales growth;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net sales;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Free cash flow;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earnings per share.</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18"/>
        </w:rPr>
      </w:pPr>
      <w:r>
        <w:rPr>
          <w:rFonts w:ascii="Arial;sans-serif" w:hAnsi="Arial;sans-serif"/>
          <w:b w:val="false"/>
          <w:color w:val="000000"/>
          <w:sz w:val="18"/>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- 8</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 non-GAAP basis represent the impact of adjusting items net of tax. The tax-effect for adjusting items is determined individually and on a case-by-case basis. Refer to the Appendix attached to this release for reconciliations of non-GAAP financial measures to the most directly comparable GAAP measures. As indicated herein, certain forward-looking non-GAAP financial measures are not reconciled because management cannot reliably predict or estimate certain items for the reasons specified herein with respect to each non-GAAP financial measure.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- 9</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Statement of Operations (Unaudited)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 except per share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77"/>
        <w:gridCol w:w="1410"/>
        <w:gridCol w:w="1420"/>
        <w:gridCol w:w="242"/>
        <w:gridCol w:w="686"/>
        <w:gridCol w:w="134"/>
        <w:gridCol w:w="134"/>
        <w:gridCol w:w="134"/>
        <w:gridCol w:w="134"/>
        <w:gridCol w:w="242"/>
        <w:gridCol w:w="705"/>
        <w:gridCol w:w="134"/>
        <w:gridCol w:w="109"/>
        <w:gridCol w:w="109"/>
        <w:gridCol w:w="109"/>
        <w:gridCol w:w="234"/>
        <w:gridCol w:w="773"/>
        <w:gridCol w:w="130"/>
        <w:gridCol w:w="130"/>
        <w:gridCol w:w="130"/>
        <w:gridCol w:w="130"/>
        <w:gridCol w:w="234"/>
        <w:gridCol w:w="773"/>
        <w:gridCol w:w="192"/>
      </w:tblGrid>
      <w:tr>
        <w:trPr/>
        <w:tc>
          <w:tcPr>
            <w:tcW w:w="177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4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6,351 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6,138 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24,515 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22,841 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sales</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3,031 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12,927 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11,876 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9,758</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9,169</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34,717</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10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products sold</w:t>
            </w:r>
            <w:r>
              <w:rPr>
                <w:rFonts w:ascii="Arial;sans-serif" w:hAnsi="Arial;sans-serif"/>
                <w:b w:val="false"/>
                <w:color w:val="000000"/>
                <w:sz w:val="10"/>
              </w:rPr>
              <w:t>1</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4,252 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16,153 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15,017 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services sold</w:t>
            </w:r>
            <w:r>
              <w:rPr>
                <w:rFonts w:ascii="Arial;sans-serif" w:hAnsi="Arial;sans-serif"/>
                <w:b w:val="false"/>
                <w:color w:val="000000"/>
                <w:sz w:val="10"/>
              </w:rPr>
              <w:t>1</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6,343 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 of products and services sold</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6,288</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23,613</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21,360</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1</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5,450 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5,235 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92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expenses and other</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9,138</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7,833</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31,495</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28,473</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continuing operations before taxes</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620</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1,336</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5,947</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6,244</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continuing operations</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4,878</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4,995</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income from discontinued operations</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1,290</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5,182</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5,740</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Net (loss) income attributable to the noncontrolling interest</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1,285</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5,139</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5,705</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 - basic</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earnings per share of common stock from discontinued operations - basic</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of common stock - basic</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0.46</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8.04</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8.76</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 - assuming dilution</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earnings per share of common stock from discontinued operations - assuming dilution</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9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of common stock - assuming dilution</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0.46</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number of shares outstanding - basic</w:t>
            </w:r>
          </w:p>
        </w:tc>
        <w:tc>
          <w:tcPr>
            <w:tcW w:w="9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635.2</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650.6</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639.0</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650.9</w:t>
            </w:r>
            <w:r>
              <w:rPr>
                <w:color w:val="000000"/>
              </w:rPr>
              <w:t> </w:t>
            </w:r>
          </w:p>
        </w:tc>
        <w:tc>
          <w:tcPr>
            <w:tcW w:w="19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number of shares outstanding - assuming dilution</w:t>
            </w:r>
          </w:p>
        </w:tc>
        <w:tc>
          <w:tcPr>
            <w:tcW w:w="928"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638.6</w:t>
            </w:r>
            <w:r>
              <w:rPr>
                <w:color w:val="000000"/>
              </w:rPr>
              <w:t> </w:t>
            </w:r>
          </w:p>
        </w:tc>
        <w:tc>
          <w:tcPr>
            <w:tcW w:w="13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654.8</w:t>
            </w:r>
            <w:r>
              <w:rPr>
                <w:color w:val="000000"/>
              </w:rPr>
              <w:t> </w:t>
            </w:r>
          </w:p>
        </w:tc>
        <w:tc>
          <w:tcPr>
            <w:tcW w:w="13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642.8</w:t>
            </w:r>
            <w:r>
              <w:rPr>
                <w:color w:val="000000"/>
              </w:rPr>
              <w:t> </w:t>
            </w:r>
          </w:p>
        </w:tc>
        <w:tc>
          <w:tcPr>
            <w:tcW w:w="13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655.3</w:t>
            </w:r>
            <w:r>
              <w:rPr>
                <w:color w:val="000000"/>
              </w:rPr>
              <w:t> </w:t>
            </w:r>
          </w:p>
        </w:tc>
        <w:tc>
          <w:tcPr>
            <w:tcW w:w="19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Cost of products and services sold and selling, general and administrative expenses include amounts for repositioning and other charges, the service cost component of pension and other postretirement (income) expense, and stock compensation expense.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- 10</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Segment Data (Unaudited)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lineRule="auto" w:line="288" w:before="0" w:after="0"/>
        <w:jc w:val="left"/>
        <w:rPr>
          <w:color w:val="000000"/>
        </w:rPr>
      </w:pPr>
      <w:r>
        <w:rPr>
          <w:color w:val="000000"/>
        </w:rPr>
        <w:t> </w:t>
      </w:r>
    </w:p>
    <w:tbl>
      <w:tblPr>
        <w:tblW w:w="8857" w:type="dxa"/>
        <w:jc w:val="left"/>
        <w:tblInd w:w="0" w:type="dxa"/>
        <w:tblLayout w:type="fixed"/>
        <w:tblCellMar>
          <w:top w:w="28" w:type="dxa"/>
          <w:left w:w="28" w:type="dxa"/>
          <w:bottom w:w="28" w:type="dxa"/>
          <w:right w:w="28" w:type="dxa"/>
        </w:tblCellMar>
      </w:tblPr>
      <w:tblGrid>
        <w:gridCol w:w="962"/>
        <w:gridCol w:w="842"/>
        <w:gridCol w:w="851"/>
        <w:gridCol w:w="270"/>
        <w:gridCol w:w="787"/>
        <w:gridCol w:w="150"/>
        <w:gridCol w:w="150"/>
        <w:gridCol w:w="150"/>
        <w:gridCol w:w="150"/>
        <w:gridCol w:w="270"/>
        <w:gridCol w:w="787"/>
        <w:gridCol w:w="150"/>
        <w:gridCol w:w="109"/>
        <w:gridCol w:w="109"/>
        <w:gridCol w:w="109"/>
        <w:gridCol w:w="256"/>
        <w:gridCol w:w="865"/>
        <w:gridCol w:w="142"/>
        <w:gridCol w:w="142"/>
        <w:gridCol w:w="142"/>
        <w:gridCol w:w="142"/>
        <w:gridCol w:w="256"/>
        <w:gridCol w:w="865"/>
        <w:gridCol w:w="201"/>
      </w:tblGrid>
      <w:tr>
        <w:trPr/>
        <w:tc>
          <w:tcPr>
            <w:tcW w:w="9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2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65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27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15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3,986 </w:t>
            </w:r>
          </w:p>
        </w:tc>
        <w:tc>
          <w:tcPr>
            <w:tcW w:w="15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17,510 </w:t>
            </w:r>
          </w:p>
        </w:tc>
        <w:tc>
          <w:tcPr>
            <w:tcW w:w="1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15,458 </w:t>
            </w:r>
          </w:p>
        </w:tc>
        <w:tc>
          <w:tcPr>
            <w:tcW w:w="20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2,566 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9,401 </w:t>
            </w:r>
          </w:p>
        </w:tc>
        <w:tc>
          <w:tcPr>
            <w:tcW w:w="1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10,051 </w:t>
            </w:r>
          </w:p>
        </w:tc>
        <w:tc>
          <w:tcPr>
            <w:tcW w:w="20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7,367 </w:t>
            </w:r>
          </w:p>
        </w:tc>
        <w:tc>
          <w:tcPr>
            <w:tcW w:w="1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6,540 </w:t>
            </w:r>
          </w:p>
        </w:tc>
        <w:tc>
          <w:tcPr>
            <w:tcW w:w="20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Sustainability Solutions</w:t>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3,134 </w:t>
            </w:r>
          </w:p>
        </w:tc>
        <w:tc>
          <w:tcPr>
            <w:tcW w:w="1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2,644 </w:t>
            </w:r>
          </w:p>
        </w:tc>
        <w:tc>
          <w:tcPr>
            <w:tcW w:w="20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0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27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9,758</w:t>
            </w:r>
            <w:r>
              <w:rPr>
                <w:color w:val="000000"/>
              </w:rPr>
              <w:t> </w:t>
            </w:r>
          </w:p>
        </w:tc>
        <w:tc>
          <w:tcPr>
            <w:tcW w:w="15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9,169</w:t>
            </w:r>
            <w:r>
              <w:rPr>
                <w:color w:val="000000"/>
              </w:rPr>
              <w:t> </w:t>
            </w:r>
          </w:p>
        </w:tc>
        <w:tc>
          <w:tcPr>
            <w:tcW w:w="15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37,422</w:t>
            </w:r>
            <w:r>
              <w:rPr>
                <w:color w:val="000000"/>
              </w:rPr>
              <w:t> </w:t>
            </w:r>
          </w:p>
        </w:tc>
        <w:tc>
          <w:tcPr>
            <w:tcW w:w="14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34,717</w:t>
            </w:r>
            <w:r>
              <w:rPr>
                <w:color w:val="000000"/>
              </w:rPr>
              <w:t> </w:t>
            </w:r>
          </w:p>
        </w:tc>
        <w:tc>
          <w:tcPr>
            <w:tcW w:w="20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Reconciliation of Segment Profit to Income Before Taxes</w:t>
      </w:r>
    </w:p>
    <w:p>
      <w:pPr>
        <w:pStyle w:val="TextBody"/>
        <w:bidi w:val="0"/>
        <w:spacing w:lineRule="auto" w:line="288" w:before="0" w:after="0"/>
        <w:jc w:val="left"/>
        <w:rPr>
          <w:color w:val="000000"/>
        </w:rPr>
      </w:pPr>
      <w:r>
        <w:rPr>
          <w:color w:val="000000"/>
        </w:rPr>
        <w:t> </w:t>
      </w:r>
    </w:p>
    <w:tbl>
      <w:tblPr>
        <w:tblW w:w="9631" w:type="dxa"/>
        <w:jc w:val="left"/>
        <w:tblInd w:w="0" w:type="dxa"/>
        <w:tblLayout w:type="fixed"/>
        <w:tblCellMar>
          <w:top w:w="28" w:type="dxa"/>
          <w:left w:w="28" w:type="dxa"/>
          <w:bottom w:w="28" w:type="dxa"/>
          <w:right w:w="28" w:type="dxa"/>
        </w:tblCellMar>
      </w:tblPr>
      <w:tblGrid>
        <w:gridCol w:w="1242"/>
        <w:gridCol w:w="1094"/>
        <w:gridCol w:w="1099"/>
        <w:gridCol w:w="288"/>
        <w:gridCol w:w="642"/>
        <w:gridCol w:w="160"/>
        <w:gridCol w:w="160"/>
        <w:gridCol w:w="160"/>
        <w:gridCol w:w="160"/>
        <w:gridCol w:w="288"/>
        <w:gridCol w:w="841"/>
        <w:gridCol w:w="160"/>
        <w:gridCol w:w="109"/>
        <w:gridCol w:w="109"/>
        <w:gridCol w:w="109"/>
        <w:gridCol w:w="278"/>
        <w:gridCol w:w="810"/>
        <w:gridCol w:w="154"/>
        <w:gridCol w:w="154"/>
        <w:gridCol w:w="154"/>
        <w:gridCol w:w="154"/>
        <w:gridCol w:w="278"/>
        <w:gridCol w:w="810"/>
        <w:gridCol w:w="218"/>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0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28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21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1,681 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Sustainability Solutions</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93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1,919</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7,667</w:t>
            </w:r>
            <w:r>
              <w:rPr>
                <w:color w:val="000000"/>
              </w:rPr>
              <w:t> </w:t>
            </w:r>
          </w:p>
        </w:tc>
        <w:tc>
          <w:tcPr>
            <w:tcW w:w="21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93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21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1</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2</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compensation expense</w:t>
            </w:r>
            <w:r>
              <w:rPr>
                <w:rFonts w:ascii="Arial;sans-serif" w:hAnsi="Arial;sans-serif"/>
                <w:b w:val="false"/>
                <w:color w:val="000000"/>
                <w:sz w:val="10"/>
              </w:rPr>
              <w:t>3</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ongoing income</w:t>
            </w:r>
            <w:r>
              <w:rPr>
                <w:rFonts w:ascii="Arial;sans-serif" w:hAnsi="Arial;sans-serif"/>
                <w:b w:val="false"/>
                <w:color w:val="000000"/>
                <w:sz w:val="10"/>
              </w:rPr>
              <w:t>4</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mark-to-market expense</w:t>
            </w:r>
            <w:r>
              <w:rPr>
                <w:rFonts w:ascii="Arial;sans-serif" w:hAnsi="Arial;sans-serif"/>
                <w:b w:val="false"/>
                <w:color w:val="000000"/>
                <w:sz w:val="10"/>
              </w:rPr>
              <w:t>4</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postretirement income</w:t>
            </w:r>
            <w:r>
              <w:rPr>
                <w:rFonts w:ascii="Arial;sans-serif" w:hAnsi="Arial;sans-serif"/>
                <w:b w:val="false"/>
                <w:color w:val="000000"/>
                <w:sz w:val="10"/>
              </w:rPr>
              <w:t>4</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Repositioning and other charges</w:t>
            </w:r>
            <w:r>
              <w:rPr>
                <w:rFonts w:ascii="Arial;sans-serif" w:hAnsi="Arial;sans-serif"/>
                <w:b w:val="false"/>
                <w:color w:val="000000"/>
                <w:sz w:val="10"/>
              </w:rPr>
              <w:t>5,6</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income (expense)</w:t>
            </w:r>
            <w:r>
              <w:rPr>
                <w:rFonts w:ascii="Arial;sans-serif" w:hAnsi="Arial;sans-serif"/>
                <w:b w:val="false"/>
                <w:color w:val="000000"/>
                <w:sz w:val="10"/>
              </w:rPr>
              <w:t>7</w:t>
            </w:r>
          </w:p>
        </w:tc>
        <w:tc>
          <w:tcPr>
            <w:tcW w:w="93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taxes</w:t>
            </w:r>
          </w:p>
        </w:tc>
        <w:tc>
          <w:tcPr>
            <w:tcW w:w="28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620</w:t>
            </w:r>
            <w:r>
              <w:rPr>
                <w:color w:val="000000"/>
              </w:rPr>
              <w:t> </w:t>
            </w:r>
          </w:p>
        </w:tc>
        <w:tc>
          <w:tcPr>
            <w:tcW w:w="16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1,336</w:t>
            </w:r>
            <w:r>
              <w:rPr>
                <w:color w:val="000000"/>
              </w:rPr>
              <w:t> </w:t>
            </w:r>
          </w:p>
        </w:tc>
        <w:tc>
          <w:tcPr>
            <w:tcW w:w="16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5,947</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6,244</w:t>
            </w:r>
            <w:r>
              <w:rPr>
                <w:color w:val="000000"/>
              </w:rPr>
              <w:t> </w:t>
            </w:r>
          </w:p>
        </w:tc>
        <w:tc>
          <w:tcPr>
            <w:tcW w:w="21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5"/>
        <w:gridCol w:w="2743"/>
        <w:gridCol w:w="3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Amounts included in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Amounts included in Cost of products and services sold.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Amounts included in Selling,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Amounts included in Cost of products and services sold (service cost component), Selling, general and administrative expenses (service cost component), Research and development expenses (service cost component) and Other (income) expense (non-service cost component).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Amounts included in Cost of products and services sold, Selling, general and administrative expenses, and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repositioning, asbestos, and environmental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Amounts include the other components of Other income/expense not included within other categories in this reconciliation. Equity income (loss) of affiliated companies is included in segment profit.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- 11</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Balance Sheet (Unaudited)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9669" w:type="dxa"/>
        <w:jc w:val="center"/>
        <w:tblInd w:w="0" w:type="dxa"/>
        <w:tblLayout w:type="fixed"/>
        <w:tblCellMar>
          <w:top w:w="28" w:type="dxa"/>
          <w:left w:w="28" w:type="dxa"/>
          <w:bottom w:w="28" w:type="dxa"/>
          <w:right w:w="28" w:type="dxa"/>
        </w:tblCellMar>
      </w:tblPr>
      <w:tblGrid>
        <w:gridCol w:w="2228"/>
        <w:gridCol w:w="1956"/>
        <w:gridCol w:w="1965"/>
        <w:gridCol w:w="319"/>
        <w:gridCol w:w="1078"/>
        <w:gridCol w:w="177"/>
        <w:gridCol w:w="109"/>
        <w:gridCol w:w="109"/>
        <w:gridCol w:w="109"/>
        <w:gridCol w:w="314"/>
        <w:gridCol w:w="1059"/>
        <w:gridCol w:w="246"/>
      </w:tblGrid>
      <w:tr>
        <w:trPr/>
        <w:tc>
          <w:tcPr>
            <w:tcW w:w="2228"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57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57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1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12,487 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9,906 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receivable—net</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7,621 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7,247 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5,884 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Current assets of discontinued operations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3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30,827</w:t>
            </w:r>
            <w:r>
              <w:rPr>
                <w:color w:val="000000"/>
              </w:rPr>
              <w:t>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27,908</w:t>
            </w:r>
            <w:r>
              <w:rPr>
                <w:color w:val="000000"/>
              </w:rPr>
              <w:t> </w:t>
            </w:r>
          </w:p>
        </w:tc>
        <w:tc>
          <w:tcPr>
            <w:tcW w:w="24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and long-term receivables</w:t>
            </w:r>
          </w:p>
        </w:tc>
        <w:tc>
          <w:tcPr>
            <w:tcW w:w="13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1,230 </w:t>
            </w:r>
          </w:p>
        </w:tc>
        <w:tc>
          <w:tcPr>
            <w:tcW w:w="24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4,457 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21,079 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21,019 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6,736 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10,556 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discontinued operations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3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74,115</w:t>
            </w:r>
            <w:r>
              <w:rPr>
                <w:color w:val="000000"/>
              </w:rPr>
              <w:t>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75,196</w:t>
            </w:r>
            <w:r>
              <w:rPr>
                <w:color w:val="000000"/>
              </w:rPr>
              <w:t> </w:t>
            </w:r>
          </w:p>
        </w:tc>
        <w:tc>
          <w:tcPr>
            <w:tcW w:w="24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5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1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6,109 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 and other short-term borrowings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4,273 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8,462 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8,055 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 liabilities of discontinued operations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139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7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246"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3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23,416</w:t>
            </w:r>
            <w:r>
              <w:rPr>
                <w:color w:val="000000"/>
              </w:rPr>
              <w:t>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21,256</w:t>
            </w:r>
            <w:r>
              <w:rPr>
                <w:color w:val="000000"/>
              </w:rPr>
              <w:t> </w:t>
            </w:r>
          </w:p>
        </w:tc>
        <w:tc>
          <w:tcPr>
            <w:tcW w:w="24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3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27,141 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25,440 </w:t>
            </w:r>
          </w:p>
        </w:tc>
        <w:tc>
          <w:tcPr>
            <w:tcW w:w="24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other than pensions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 related liabilities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6,408 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Liabilities of discontinued operations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Shareowners’ equity</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15,440 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19,154 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noncontrolling interest and shareowners’ equity</w:t>
            </w:r>
          </w:p>
        </w:tc>
        <w:tc>
          <w:tcPr>
            <w:tcW w:w="31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74,115</w:t>
            </w:r>
            <w:r>
              <w:rPr>
                <w:color w:val="000000"/>
              </w:rPr>
              <w:t> </w:t>
            </w:r>
          </w:p>
        </w:tc>
        <w:tc>
          <w:tcPr>
            <w:tcW w:w="17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75,196</w:t>
            </w:r>
            <w:r>
              <w:rPr>
                <w:color w:val="000000"/>
              </w:rPr>
              <w:t> </w:t>
            </w:r>
          </w:p>
        </w:tc>
        <w:tc>
          <w:tcPr>
            <w:tcW w:w="2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- 12</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Statement of Cash Flows (Unaudited)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41"/>
        <w:gridCol w:w="1465"/>
        <w:gridCol w:w="1470"/>
        <w:gridCol w:w="247"/>
        <w:gridCol w:w="532"/>
        <w:gridCol w:w="137"/>
        <w:gridCol w:w="137"/>
        <w:gridCol w:w="137"/>
        <w:gridCol w:w="137"/>
        <w:gridCol w:w="247"/>
        <w:gridCol w:w="703"/>
        <w:gridCol w:w="137"/>
        <w:gridCol w:w="109"/>
        <w:gridCol w:w="109"/>
        <w:gridCol w:w="109"/>
        <w:gridCol w:w="241"/>
        <w:gridCol w:w="686"/>
        <w:gridCol w:w="134"/>
        <w:gridCol w:w="134"/>
        <w:gridCol w:w="134"/>
        <w:gridCol w:w="134"/>
        <w:gridCol w:w="241"/>
        <w:gridCol w:w="686"/>
        <w:gridCol w:w="198"/>
      </w:tblGrid>
      <w:tr>
        <w:trPr/>
        <w:tc>
          <w:tcPr>
            <w:tcW w:w="194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4876"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91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9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5,182 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5,740 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income from discontinued operations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continuing operations</w:t>
            </w:r>
          </w:p>
        </w:tc>
        <w:tc>
          <w:tcPr>
            <w:tcW w:w="77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w:t>
            </w:r>
            <w:r>
              <w:rPr>
                <w:color w:val="000000"/>
              </w:rPr>
              <w:t>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w:t>
            </w:r>
            <w:r>
              <w:rPr>
                <w:color w:val="000000"/>
              </w:rPr>
              <w:t>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4,878</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4,995</w:t>
            </w:r>
            <w:r>
              <w:rPr>
                <w:color w:val="000000"/>
              </w:rPr>
              <w:t> </w:t>
            </w:r>
          </w:p>
        </w:tc>
        <w:tc>
          <w:tcPr>
            <w:tcW w:w="19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from continuing operations to net cash provided by operating activities</w:t>
            </w:r>
          </w:p>
        </w:tc>
        <w:tc>
          <w:tcPr>
            <w:tcW w:w="9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non-strategic businesses and assets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Repositioning and other (gains) charges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for repositioning and other charges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Resideo indemnification and reimbursement agreement termination payment</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 liabilities divestiture payment</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income</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payments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 net of the effects of acquisitions and divestitures</w:t>
            </w:r>
          </w:p>
        </w:tc>
        <w:tc>
          <w:tcPr>
            <w:tcW w:w="91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 - continuing operations</w:t>
            </w:r>
          </w:p>
        </w:tc>
        <w:tc>
          <w:tcPr>
            <w:tcW w:w="77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1,241</w:t>
            </w:r>
            <w:r>
              <w:rPr>
                <w:color w:val="000000"/>
              </w:rPr>
              <w:t>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1,998</w:t>
            </w:r>
            <w:r>
              <w:rPr>
                <w:color w:val="000000"/>
              </w:rPr>
              <w:t>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6,075</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5,112</w:t>
            </w:r>
            <w:r>
              <w:rPr>
                <w:color w:val="000000"/>
              </w:rPr>
              <w:t> </w:t>
            </w:r>
          </w:p>
        </w:tc>
        <w:tc>
          <w:tcPr>
            <w:tcW w:w="19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provided by operating activities - discontinued operations</w:t>
            </w:r>
          </w:p>
        </w:tc>
        <w:tc>
          <w:tcPr>
            <w:tcW w:w="77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9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operating activities</w:t>
            </w:r>
          </w:p>
        </w:tc>
        <w:tc>
          <w:tcPr>
            <w:tcW w:w="77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1,204</w:t>
            </w:r>
            <w:r>
              <w:rPr>
                <w:color w:val="000000"/>
              </w:rPr>
              <w:t>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2,281</w:t>
            </w:r>
            <w:r>
              <w:rPr>
                <w:color w:val="000000"/>
              </w:rPr>
              <w:t> </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6,408</w:t>
            </w:r>
            <w:r>
              <w:rPr>
                <w:color w:val="000000"/>
              </w:rPr>
              <w:t> </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6,097</w:t>
            </w:r>
            <w:r>
              <w:rPr>
                <w:color w:val="000000"/>
              </w:rPr>
              <w:t> </w:t>
            </w:r>
          </w:p>
        </w:tc>
        <w:tc>
          <w:tcPr>
            <w:tcW w:w="19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9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disposals of property, plant and equipment</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investments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investments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receipts from settlements of derivative contracts</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acquisitions, net of cash acquired</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(2,211)</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(8,880)</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of businesses, net of fees paid</w:t>
            </w:r>
          </w:p>
        </w:tc>
        <w:tc>
          <w:tcPr>
            <w:tcW w:w="77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13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 - continuing operations</w:t>
            </w:r>
          </w:p>
        </w:tc>
        <w:tc>
          <w:tcPr>
            <w:tcW w:w="77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(1,863)</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(2,442)</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(9,864)</w:t>
            </w:r>
          </w:p>
        </w:tc>
        <w:tc>
          <w:tcPr>
            <w:tcW w:w="19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 discontinued operations</w:t>
            </w:r>
          </w:p>
        </w:tc>
        <w:tc>
          <w:tcPr>
            <w:tcW w:w="77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3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9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w:t>
            </w:r>
          </w:p>
        </w:tc>
        <w:tc>
          <w:tcPr>
            <w:tcW w:w="779"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(343)</w:t>
            </w:r>
          </w:p>
        </w:tc>
        <w:tc>
          <w:tcPr>
            <w:tcW w:w="1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(1,955)</w:t>
            </w:r>
          </w:p>
        </w:tc>
        <w:tc>
          <w:tcPr>
            <w:tcW w:w="1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(2,711)</w:t>
            </w:r>
          </w:p>
        </w:tc>
        <w:tc>
          <w:tcPr>
            <w:tcW w:w="13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(10,157)</w:t>
            </w:r>
          </w:p>
        </w:tc>
        <w:tc>
          <w:tcPr>
            <w:tcW w:w="1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9"/>
        <w:gridCol w:w="1369"/>
        <w:gridCol w:w="1379"/>
        <w:gridCol w:w="231"/>
        <w:gridCol w:w="783"/>
        <w:gridCol w:w="129"/>
        <w:gridCol w:w="129"/>
        <w:gridCol w:w="129"/>
        <w:gridCol w:w="129"/>
        <w:gridCol w:w="231"/>
        <w:gridCol w:w="783"/>
        <w:gridCol w:w="129"/>
        <w:gridCol w:w="109"/>
        <w:gridCol w:w="109"/>
        <w:gridCol w:w="109"/>
        <w:gridCol w:w="237"/>
        <w:gridCol w:w="802"/>
        <w:gridCol w:w="131"/>
        <w:gridCol w:w="131"/>
        <w:gridCol w:w="131"/>
        <w:gridCol w:w="131"/>
        <w:gridCol w:w="237"/>
        <w:gridCol w:w="802"/>
        <w:gridCol w:w="196"/>
      </w:tblGrid>
      <w:tr>
        <w:trPr/>
        <w:tc>
          <w:tcPr>
            <w:tcW w:w="16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44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4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1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commercial paper and other short-term borrowings</w:t>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5,126 </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24,297 </w:t>
            </w:r>
          </w:p>
        </w:tc>
        <w:tc>
          <w:tcPr>
            <w:tcW w:w="13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13,838 </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commercial paper and other short-term borrowings</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(6,104)</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(22,815)</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(11,578)</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long-term debt</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4,035 </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10,408 </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long-term debt</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(3,804)</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paid</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Pre-separation funding</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 cash</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3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40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provided by financing activities</w:t>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(1,313)</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(1,953)</w:t>
            </w:r>
          </w:p>
        </w:tc>
        <w:tc>
          <w:tcPr>
            <w:tcW w:w="13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6,839</w:t>
            </w:r>
            <w:r>
              <w:rPr>
                <w:color w:val="000000"/>
              </w:rPr>
              <w:t> </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3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and cash equivalents</w:t>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(443)</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3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2,642</w:t>
            </w:r>
            <w:r>
              <w:rPr>
                <w:color w:val="000000"/>
              </w:rPr>
              <w:t> </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12,930</w:t>
            </w:r>
            <w:r>
              <w:rPr>
                <w:color w:val="000000"/>
              </w:rPr>
              <w:t> </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10,644</w:t>
            </w:r>
            <w:r>
              <w:rPr>
                <w:color w:val="000000"/>
              </w:rPr>
              <w:t> </w:t>
            </w:r>
          </w:p>
        </w:tc>
        <w:tc>
          <w:tcPr>
            <w:tcW w:w="12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3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7,925</w:t>
            </w:r>
            <w:r>
              <w:rPr>
                <w:color w:val="000000"/>
              </w:rPr>
              <w:t> </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2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2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2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- 14</w:t>
      </w:r>
    </w:p>
    <w:p>
      <w:pPr>
        <w:pStyle w:val="TextBody"/>
        <w:bidi w:val="0"/>
        <w:spacing w:before="0" w:after="0"/>
        <w:jc w:val="left"/>
        <w:rPr/>
      </w:pPr>
      <w:r>
        <w:rPr/>
      </w:r>
    </w:p>
    <w:p>
      <w:pPr>
        <w:pStyle w:val="TextBody"/>
        <w:bidi w:val="0"/>
        <w:spacing w:lineRule="auto" w:line="288" w:before="0" w:after="0"/>
        <w:ind w:left="0" w:right="0" w:firstLine="90"/>
        <w:jc w:val="center"/>
        <w:rPr>
          <w:rFonts w:ascii="Arial;sans-serif" w:hAnsi="Arial;sans-serif"/>
          <w:b w:val="false"/>
          <w:color w:val="000000"/>
          <w:sz w:val="18"/>
        </w:rPr>
      </w:pPr>
      <w:r>
        <w:rPr>
          <w:rFonts w:ascii="Arial;sans-serif" w:hAnsi="Arial;sans-serif"/>
          <w:b w:val="false"/>
          <w:color w:val="000000"/>
          <w:sz w:val="18"/>
        </w:rPr>
        <w:t>Appendix</w:t>
      </w:r>
    </w:p>
    <w:p>
      <w:pPr>
        <w:pStyle w:val="TextBody"/>
        <w:bidi w:val="0"/>
        <w:spacing w:before="0" w:after="0"/>
        <w:ind w:left="0" w:right="0" w:firstLine="9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information provides definitions and reconciliations of certain non-GAAP financial measures presented in this press release to which this reconciliation is attached to the most directly comparable financial measures calculated and presented in accordance with generally accepted accounting principles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Honeywell’s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indicated herein, certain forward-looking non-GAAP financial measures are not reconciled because management cannot reliably predict or estimate certain items for the reasons specified herein with respect to each 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- 15</w:t>
      </w:r>
    </w:p>
    <w:p>
      <w:pPr>
        <w:pStyle w:val="TextBody"/>
        <w:bidi w:val="0"/>
        <w:spacing w:before="0" w:after="0"/>
        <w:jc w:val="left"/>
        <w:rPr/>
      </w:pPr>
      <w:r>
        <w:rPr/>
      </w:r>
    </w:p>
    <w:p>
      <w:pPr>
        <w:pStyle w:val="TextBody"/>
        <w:bidi w:val="0"/>
        <w:spacing w:lineRule="auto" w:line="288" w:before="0" w:after="0"/>
        <w:ind w:left="0" w:right="0" w:firstLine="9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ind w:left="0" w:right="0" w:firstLine="90"/>
        <w:jc w:val="center"/>
        <w:rPr>
          <w:rFonts w:ascii="Arial;sans-serif" w:hAnsi="Arial;sans-serif"/>
          <w:b w:val="false"/>
          <w:color w:val="000000"/>
          <w:sz w:val="18"/>
        </w:rPr>
      </w:pPr>
      <w:r>
        <w:rPr>
          <w:rFonts w:ascii="Arial;sans-serif" w:hAnsi="Arial;sans-serif"/>
          <w:b w:val="false"/>
          <w:color w:val="000000"/>
          <w:sz w:val="18"/>
        </w:rPr>
        <w:t>Reconciliation of Organic Sales Percent Change</w:t>
      </w:r>
    </w:p>
    <w:p>
      <w:pPr>
        <w:pStyle w:val="TextBody"/>
        <w:bidi w:val="0"/>
        <w:spacing w:lineRule="auto" w:line="288" w:before="0" w:after="0"/>
        <w:ind w:left="0" w:right="0" w:firstLine="90"/>
        <w:jc w:val="center"/>
        <w:rPr>
          <w:rFonts w:ascii="Arial;sans-serif" w:hAnsi="Arial;sans-serif"/>
          <w:b w:val="false"/>
          <w:color w:val="000000"/>
          <w:sz w:val="18"/>
        </w:rPr>
      </w:pPr>
      <w:r>
        <w:rPr>
          <w:rFonts w:ascii="Arial;sans-serif" w:hAnsi="Arial;sans-serif"/>
          <w:b w:val="false"/>
          <w:color w:val="000000"/>
          <w:sz w:val="18"/>
        </w:rPr>
        <w:t>(Unaudited) </w:t>
      </w:r>
    </w:p>
    <w:tbl>
      <w:tblPr>
        <w:tblW w:w="10205" w:type="dxa"/>
        <w:jc w:val="center"/>
        <w:tblInd w:w="0" w:type="dxa"/>
        <w:tblLayout w:type="fixed"/>
        <w:tblCellMar>
          <w:top w:w="28" w:type="dxa"/>
          <w:left w:w="28" w:type="dxa"/>
          <w:bottom w:w="28" w:type="dxa"/>
          <w:right w:w="28" w:type="dxa"/>
        </w:tblCellMar>
      </w:tblPr>
      <w:tblGrid>
        <w:gridCol w:w="1620"/>
        <w:gridCol w:w="1372"/>
        <w:gridCol w:w="1379"/>
        <w:gridCol w:w="896"/>
        <w:gridCol w:w="896"/>
        <w:gridCol w:w="898"/>
        <w:gridCol w:w="109"/>
        <w:gridCol w:w="109"/>
        <w:gridCol w:w="109"/>
        <w:gridCol w:w="824"/>
        <w:gridCol w:w="824"/>
        <w:gridCol w:w="1169"/>
      </w:tblGrid>
      <w:tr>
        <w:trPr/>
        <w:tc>
          <w:tcPr>
            <w:tcW w:w="162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 2025</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Honeywell</w:t>
            </w:r>
          </w:p>
        </w:tc>
        <w:tc>
          <w:tcPr>
            <w:tcW w:w="26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percent change</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269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437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Other</w:t>
            </w:r>
            <w:r>
              <w:rPr>
                <w:rFonts w:ascii="Arial;sans-serif" w:hAnsi="Arial;sans-serif"/>
                <w:b w:val="false"/>
                <w:color w:val="000000"/>
                <w:sz w:val="10"/>
              </w:rPr>
              <w:t>1</w:t>
            </w:r>
          </w:p>
        </w:tc>
        <w:tc>
          <w:tcPr>
            <w:tcW w:w="269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percent change</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w:t>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percent change</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437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Other</w:t>
            </w:r>
            <w:r>
              <w:rPr>
                <w:rFonts w:ascii="Arial;sans-serif" w:hAnsi="Arial;sans-serif"/>
                <w:b w:val="false"/>
                <w:color w:val="000000"/>
                <w:sz w:val="10"/>
              </w:rPr>
              <w:t>1</w:t>
            </w:r>
          </w:p>
        </w:tc>
        <w:tc>
          <w:tcPr>
            <w:tcW w:w="269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percent change</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w:t>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percent change</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color w:val="000000"/>
                <w:sz w:val="16"/>
              </w:rPr>
              <w:t>%</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Other</w:t>
            </w:r>
          </w:p>
        </w:tc>
        <w:tc>
          <w:tcPr>
            <w:tcW w:w="269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percent change</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color w:val="000000"/>
                <w:sz w:val="16"/>
              </w:rPr>
              <w:t>%</w:t>
            </w:r>
          </w:p>
        </w:tc>
      </w:tr>
      <w:tr>
        <w:trPr/>
        <w:tc>
          <w:tcPr>
            <w:tcW w:w="43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percent change</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437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Other</w:t>
            </w:r>
          </w:p>
        </w:tc>
        <w:tc>
          <w:tcPr>
            <w:tcW w:w="269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percent change</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and Sustainability Solutions</w:t>
            </w:r>
          </w:p>
        </w:tc>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percent change</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19%</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19%</w:t>
            </w:r>
          </w:p>
        </w:tc>
      </w:tr>
      <w:tr>
        <w:trPr/>
        <w:tc>
          <w:tcPr>
            <w:tcW w:w="43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26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26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437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Other</w:t>
            </w:r>
          </w:p>
        </w:tc>
        <w:tc>
          <w:tcPr>
            <w:tcW w:w="269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437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percent change</w:t>
            </w:r>
          </w:p>
        </w:tc>
        <w:tc>
          <w:tcPr>
            <w:tcW w:w="269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w:t>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2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r>
    </w:tbl>
    <w:tbl>
      <w:tblPr>
        <w:tblW w:w="1017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Flexjet-related litigation matters of $312 million, which are considered to be unusual and not indicative of the Company's ongoing performance.</w:t>
            </w:r>
          </w:p>
        </w:tc>
      </w:tr>
    </w:tbl>
    <w:p>
      <w:pPr>
        <w:pStyle w:val="TextBody"/>
        <w:bidi w:val="0"/>
        <w:spacing w:before="0" w:after="0"/>
        <w:ind w:left="0" w:right="0" w:firstLine="9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- 16</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define organic sales percentage as the year-over-year change in reported sales relative to the comparable period,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measure is useful to investors and management in understanding our ongoing operations and in analysis of ongoing operating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quantitative reconciliation of reported sales percent change to organic sales percent change has not been provided for forward-looking measures of organic sales percent change because management cannot reliably predict or estimate, without unreasonable effort, the fluctuations in global currency markets that impact foreign currency translation, nor is it reasonable for management to predict the timing, occurrence and impact of acquisition and divestiture transactions, all of which could significantly impact our reported sales percent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- 17</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Reconciliation of Net Sales to Adjusted Net Sales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before="0" w:after="0"/>
        <w:jc w:val="center"/>
        <w:rPr/>
      </w:pPr>
      <w:r>
        <w:rPr/>
      </w:r>
    </w:p>
    <w:tbl>
      <w:tblPr>
        <w:tblW w:w="9762" w:type="dxa"/>
        <w:jc w:val="left"/>
        <w:tblInd w:w="0" w:type="dxa"/>
        <w:tblLayout w:type="fixed"/>
        <w:tblCellMar>
          <w:top w:w="28" w:type="dxa"/>
          <w:left w:w="28" w:type="dxa"/>
          <w:bottom w:w="28" w:type="dxa"/>
          <w:right w:w="28" w:type="dxa"/>
        </w:tblCellMar>
      </w:tblPr>
      <w:tblGrid>
        <w:gridCol w:w="990"/>
        <w:gridCol w:w="871"/>
        <w:gridCol w:w="884"/>
        <w:gridCol w:w="663"/>
        <w:gridCol w:w="2238"/>
        <w:gridCol w:w="369"/>
        <w:gridCol w:w="109"/>
        <w:gridCol w:w="109"/>
        <w:gridCol w:w="109"/>
        <w:gridCol w:w="663"/>
        <w:gridCol w:w="2236"/>
        <w:gridCol w:w="521"/>
      </w:tblGrid>
      <w:tr>
        <w:trPr/>
        <w:tc>
          <w:tcPr>
            <w:tcW w:w="9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 2025</w:t>
            </w:r>
          </w:p>
        </w:tc>
      </w:tr>
      <w:tr>
        <w:trPr/>
        <w:tc>
          <w:tcPr>
            <w:tcW w:w="27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Honeywell</w:t>
            </w:r>
          </w:p>
        </w:tc>
        <w:tc>
          <w:tcPr>
            <w:tcW w:w="32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sales </w:t>
            </w:r>
          </w:p>
        </w:tc>
        <w:tc>
          <w:tcPr>
            <w:tcW w:w="66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3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9,758 </w:t>
            </w:r>
          </w:p>
        </w:tc>
        <w:tc>
          <w:tcPr>
            <w:tcW w:w="36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37,442 </w:t>
            </w:r>
          </w:p>
        </w:tc>
        <w:tc>
          <w:tcPr>
            <w:tcW w:w="52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Flexjet-related litigation matters</w:t>
            </w:r>
            <w:r>
              <w:rPr>
                <w:rFonts w:ascii="Arial;sans-serif" w:hAnsi="Arial;sans-serif"/>
                <w:b w:val="false"/>
                <w:color w:val="000000"/>
                <w:sz w:val="10"/>
              </w:rPr>
              <w:t>1</w:t>
            </w:r>
          </w:p>
        </w:tc>
        <w:tc>
          <w:tcPr>
            <w:tcW w:w="290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36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52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sales</w:t>
            </w:r>
          </w:p>
        </w:tc>
        <w:tc>
          <w:tcPr>
            <w:tcW w:w="66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23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10,070</w:t>
            </w:r>
            <w:r>
              <w:rPr>
                <w:color w:val="000000"/>
              </w:rPr>
              <w:t> </w:t>
            </w:r>
          </w:p>
        </w:tc>
        <w:tc>
          <w:tcPr>
            <w:tcW w:w="36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37,754</w:t>
            </w:r>
            <w:r>
              <w:rPr>
                <w:color w:val="000000"/>
              </w:rPr>
              <w:t> </w:t>
            </w:r>
          </w:p>
        </w:tc>
        <w:tc>
          <w:tcPr>
            <w:tcW w:w="52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66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3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36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17,510 </w:t>
            </w:r>
          </w:p>
        </w:tc>
        <w:tc>
          <w:tcPr>
            <w:tcW w:w="52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Flexjet-related litigation matters</w:t>
            </w:r>
            <w:r>
              <w:rPr>
                <w:rFonts w:ascii="Arial;sans-serif" w:hAnsi="Arial;sans-serif"/>
                <w:b w:val="false"/>
                <w:color w:val="000000"/>
                <w:sz w:val="10"/>
              </w:rPr>
              <w:t>1</w:t>
            </w:r>
          </w:p>
        </w:tc>
        <w:tc>
          <w:tcPr>
            <w:tcW w:w="290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36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52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sales</w:t>
            </w:r>
          </w:p>
        </w:tc>
        <w:tc>
          <w:tcPr>
            <w:tcW w:w="66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23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4,832</w:t>
            </w:r>
            <w:r>
              <w:rPr>
                <w:color w:val="000000"/>
              </w:rPr>
              <w:t> </w:t>
            </w:r>
          </w:p>
        </w:tc>
        <w:tc>
          <w:tcPr>
            <w:tcW w:w="36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17,822</w:t>
            </w:r>
            <w:r>
              <w:rPr>
                <w:color w:val="000000"/>
              </w:rPr>
              <w:t> </w:t>
            </w:r>
          </w:p>
        </w:tc>
        <w:tc>
          <w:tcPr>
            <w:tcW w:w="52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Aviation Aftermarket</w:t>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sales</w:t>
            </w:r>
          </w:p>
        </w:tc>
        <w:tc>
          <w:tcPr>
            <w:tcW w:w="66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3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1,877 </w:t>
            </w:r>
          </w:p>
        </w:tc>
        <w:tc>
          <w:tcPr>
            <w:tcW w:w="36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7,777 </w:t>
            </w:r>
          </w:p>
        </w:tc>
        <w:tc>
          <w:tcPr>
            <w:tcW w:w="52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Flexjet-related litigation matters</w:t>
            </w:r>
            <w:r>
              <w:rPr>
                <w:rFonts w:ascii="Arial;sans-serif" w:hAnsi="Arial;sans-serif"/>
                <w:b w:val="false"/>
                <w:color w:val="000000"/>
                <w:sz w:val="10"/>
              </w:rPr>
              <w:t>1</w:t>
            </w:r>
          </w:p>
        </w:tc>
        <w:tc>
          <w:tcPr>
            <w:tcW w:w="290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36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52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Adjusted net sales</w:t>
            </w:r>
          </w:p>
        </w:tc>
        <w:tc>
          <w:tcPr>
            <w:tcW w:w="66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23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2,189</w:t>
            </w:r>
            <w:r>
              <w:rPr>
                <w:color w:val="000000"/>
              </w:rPr>
              <w:t> </w:t>
            </w:r>
          </w:p>
        </w:tc>
        <w:tc>
          <w:tcPr>
            <w:tcW w:w="36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2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8,089</w:t>
            </w:r>
            <w:r>
              <w:rPr>
                <w:color w:val="000000"/>
              </w:rPr>
              <w:t> </w:t>
            </w:r>
          </w:p>
        </w:tc>
        <w:tc>
          <w:tcPr>
            <w:tcW w:w="5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
        <w:gridCol w:w="113"/>
        <w:gridCol w:w="109"/>
        <w:gridCol w:w="109"/>
        <w:gridCol w:w="109"/>
        <w:gridCol w:w="109"/>
        <w:gridCol w:w="2790"/>
        <w:gridCol w:w="2790"/>
        <w:gridCol w:w="3948"/>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For the three and twelve months ended December 31, 2025, reflects a $312 million impact to sales due to contra revenue accounting as a result of the settlement of the Flexjet-related litigation matters.</w:t>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define adjusted net sales as net sales less the sales impact of the Flexjet-related litigation matters. Management considers the nature and significance of these litigation matters to be unusual and not indicative of the Company's ongoing performance. We believe this measure is useful to investors and management in understanding our ongoing operations and in analysis of ongoing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- 18</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Reconciliation of Operating Income to Segment Profit and Adjusted Segment Profit, Calculation of Operating Income, Segment Profit, and Adjusted Segment Profit Margins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lineRule="auto" w:line="288" w:before="0" w:after="12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74"/>
        <w:gridCol w:w="1073"/>
        <w:gridCol w:w="1080"/>
        <w:gridCol w:w="232"/>
        <w:gridCol w:w="678"/>
        <w:gridCol w:w="304"/>
        <w:gridCol w:w="128"/>
        <w:gridCol w:w="128"/>
        <w:gridCol w:w="128"/>
        <w:gridCol w:w="232"/>
        <w:gridCol w:w="678"/>
        <w:gridCol w:w="304"/>
        <w:gridCol w:w="109"/>
        <w:gridCol w:w="109"/>
        <w:gridCol w:w="109"/>
        <w:gridCol w:w="109"/>
        <w:gridCol w:w="466"/>
        <w:gridCol w:w="226"/>
        <w:gridCol w:w="747"/>
        <w:gridCol w:w="295"/>
        <w:gridCol w:w="155"/>
        <w:gridCol w:w="155"/>
        <w:gridCol w:w="156"/>
        <w:gridCol w:w="226"/>
        <w:gridCol w:w="747"/>
        <w:gridCol w:w="357"/>
      </w:tblGrid>
      <w:tr>
        <w:trPr/>
        <w:tc>
          <w:tcPr>
            <w:tcW w:w="12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6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30" w:type="dxa"/>
            <w:gridSpan w:val="3"/>
            <w:tcBorders/>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996</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1,521</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6,044</w:t>
            </w:r>
            <w:r>
              <w:rPr>
                <w:color w:val="000000"/>
              </w:rPr>
              <w:t>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6,449</w:t>
            </w:r>
            <w:r>
              <w:rPr>
                <w:color w:val="000000"/>
              </w:rPr>
              <w:t>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compensation expense</w:t>
            </w:r>
            <w:r>
              <w:rPr>
                <w:rFonts w:ascii="Arial;sans-serif" w:hAnsi="Arial;sans-serif"/>
                <w:b w:val="false"/>
                <w:color w:val="000000"/>
                <w:sz w:val="10"/>
              </w:rPr>
              <w:t>1</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Repositioning, Other</w:t>
            </w:r>
            <w:r>
              <w:rPr>
                <w:rFonts w:ascii="Arial;sans-serif" w:hAnsi="Arial;sans-serif"/>
                <w:b w:val="false"/>
                <w:color w:val="000000"/>
                <w:sz w:val="10"/>
              </w:rPr>
              <w:t>2,3</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and other postretirement service costs</w:t>
            </w:r>
            <w:r>
              <w:rPr>
                <w:rFonts w:ascii="Arial;sans-serif" w:hAnsi="Arial;sans-serif"/>
                <w:b w:val="false"/>
                <w:color w:val="000000"/>
                <w:sz w:val="10"/>
              </w:rPr>
              <w:t>3</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4</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costs</w:t>
            </w:r>
            <w:r>
              <w:rPr>
                <w:rFonts w:ascii="Arial;sans-serif" w:hAnsi="Arial;sans-serif"/>
                <w:b w:val="false"/>
                <w:color w:val="000000"/>
                <w:sz w:val="10"/>
              </w:rPr>
              <w:t>5</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Indefinite-lived intangible asset impairment</w:t>
            </w:r>
            <w:r>
              <w:rPr>
                <w:rFonts w:ascii="Arial;sans-serif" w:hAnsi="Arial;sans-serif"/>
                <w:b w:val="false"/>
                <w:color w:val="000000"/>
                <w:sz w:val="10"/>
              </w:rPr>
              <w:t>1</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1,919</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w:t>
            </w:r>
            <w:r>
              <w:rPr>
                <w:color w:val="000000"/>
              </w:rPr>
              <w:t>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7,667</w:t>
            </w:r>
            <w:r>
              <w:rPr>
                <w:color w:val="000000"/>
              </w:rPr>
              <w:t>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Flexjet-related litigation matters</w:t>
            </w:r>
            <w:r>
              <w:rPr>
                <w:rFonts w:ascii="Arial;sans-serif" w:hAnsi="Arial;sans-serif"/>
                <w:b w:val="false"/>
                <w:color w:val="000000"/>
                <w:sz w:val="10"/>
              </w:rPr>
              <w:t>6</w:t>
            </w:r>
          </w:p>
        </w:tc>
        <w:tc>
          <w:tcPr>
            <w:tcW w:w="91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segment profit</w:t>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2,292</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8,500</w:t>
            </w:r>
            <w:r>
              <w:rPr>
                <w:color w:val="000000"/>
              </w:rPr>
              <w:t>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7,667</w:t>
            </w:r>
            <w:r>
              <w:rPr>
                <w:color w:val="000000"/>
              </w:rPr>
              <w:t>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6,044 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6,449 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Net sales</w:t>
            </w:r>
          </w:p>
        </w:tc>
        <w:tc>
          <w:tcPr>
            <w:tcW w:w="23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9,758 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37,442 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34,717 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margin %</w:t>
            </w:r>
          </w:p>
        </w:tc>
        <w:tc>
          <w:tcPr>
            <w:tcW w:w="91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w:t>
            </w:r>
            <w:r>
              <w:rPr>
                <w:color w:val="000000"/>
              </w:rPr>
              <w:t>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8,127 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7,667 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Net sales</w:t>
            </w:r>
          </w:p>
        </w:tc>
        <w:tc>
          <w:tcPr>
            <w:tcW w:w="23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9,758 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37,442 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34,717 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margin %</w:t>
            </w:r>
          </w:p>
        </w:tc>
        <w:tc>
          <w:tcPr>
            <w:tcW w:w="91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w:t>
            </w:r>
            <w:r>
              <w:rPr>
                <w:color w:val="000000"/>
              </w:rPr>
              <w:t>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22.1</w:t>
            </w:r>
            <w:r>
              <w:rPr>
                <w:color w:val="000000"/>
              </w:rPr>
              <w:t>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segment profit</w:t>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2,292 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1,867 </w:t>
            </w:r>
          </w:p>
        </w:tc>
        <w:tc>
          <w:tcPr>
            <w:tcW w:w="30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8,500 </w:t>
            </w:r>
          </w:p>
        </w:tc>
        <w:tc>
          <w:tcPr>
            <w:tcW w:w="29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7,667 </w:t>
            </w:r>
          </w:p>
        </w:tc>
        <w:tc>
          <w:tcPr>
            <w:tcW w:w="3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Adjusted net sales</w:t>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10,070 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9,169 </w:t>
            </w:r>
          </w:p>
        </w:tc>
        <w:tc>
          <w:tcPr>
            <w:tcW w:w="30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37,754 </w:t>
            </w:r>
          </w:p>
        </w:tc>
        <w:tc>
          <w:tcPr>
            <w:tcW w:w="29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34,717 </w:t>
            </w:r>
          </w:p>
        </w:tc>
        <w:tc>
          <w:tcPr>
            <w:tcW w:w="3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segment profit margin %</w:t>
            </w:r>
          </w:p>
        </w:tc>
        <w:tc>
          <w:tcPr>
            <w:tcW w:w="910"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30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8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w:t>
            </w:r>
            <w:r>
              <w:rPr>
                <w:color w:val="000000"/>
              </w:rPr>
              <w:t> </w:t>
            </w:r>
          </w:p>
        </w:tc>
        <w:tc>
          <w:tcPr>
            <w:tcW w:w="30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w:t>
            </w:r>
            <w:r>
              <w:rPr>
                <w:color w:val="000000"/>
              </w:rPr>
              <w:t> </w:t>
            </w:r>
          </w:p>
        </w:tc>
        <w:tc>
          <w:tcPr>
            <w:tcW w:w="29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22.1</w:t>
            </w:r>
            <w:r>
              <w:rPr>
                <w:color w:val="000000"/>
              </w:rPr>
              <w:t> </w:t>
            </w:r>
          </w:p>
        </w:tc>
        <w:tc>
          <w:tcPr>
            <w:tcW w:w="35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6"/>
        <w:gridCol w:w="2775"/>
        <w:gridCol w:w="3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Included in Selling,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4"/>
              </w:rPr>
            </w:pPr>
            <w:r>
              <w:rPr>
                <w:rFonts w:ascii="Arial;sans-serif" w:hAnsi="Arial;sans-serif"/>
                <w:b w:val="false"/>
                <w:color w:val="000000"/>
                <w:sz w:val="14"/>
              </w:rPr>
              <w:t>Includes repositioning, asbestos, environmental expenses, equity income adjustment, and other charges.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Included in Cost of products and services sold and Selling,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Included in Cost of products and services sold.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Included in Other (income) expense. Includes acquisition-related fair value adjustments to inventory and third-party transaction and integration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For the three and twelve months ended December 31, 2025, reflects a $373 million impact to segment profit as a result of the settlement of the Flexjet-related litigation matters.</w:t>
            </w:r>
          </w:p>
        </w:tc>
      </w:tr>
    </w:tbl>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We define operating income as net sales less total cost of products and services sold, research and development expenses, selling, general and administrative expenses, impairment of goodwill, and impairment of assets held for sale. We define segment profit, on an overall Honeywell basis, as operating income, excluding stock compensation expense, pension and other postretirement service costs, amortization of acquisition-related intangibles, certain acquisition- and divestiture-related costs and impairments, and repositioning and other charges. We define adjusted segment profit, on an overall Honeywell basis, as segment profit excluding the segment profit impact of the Flexjet-related litigation matters. We define segment profit margin, on an overall Honeywell basis, as segment profit divided by net sales. We define adjusted segment profit margin, on an overall Honeywell basis, as adjusted segment profit divided by adjusted net sales. We believe these measures are useful to investors and management in understanding our ongoing operations and in analysis of ongoing operating trends.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A quantitative reconciliation of operating income to segment profit, on an overall Honeywell basis, has not been provided for all forward-looking measures of segment profit and segment profit margin included herein. Management cannot reliably predict or estimate, without unreasonable effort, the impact and timing on future operating results arising from items excluded from segment profit, particularly pension mark-to-market expense as it is dependent on macroeconomic factors, such as interest rates and the return generated on invested pension plan assets. The information that is unavailable to provide a quantitative reconciliation could have a significant impact on our reported financial results. To the extent quantitative information becomes available without unreasonable effort in the future, and closer to the period to which the forward-looking measures pertain, a reconciliation of operating income to segment profit will be included within future filings.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- 19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- 20</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Calculations of Aerospace Technologies Adjusted Segment Profit and Adjusted Segment Profit Margin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lineRule="auto" w:line="288" w:before="0" w:after="120"/>
        <w:jc w:val="left"/>
        <w:rPr>
          <w:color w:val="000000"/>
        </w:rPr>
      </w:pPr>
      <w:r>
        <w:rPr>
          <w:color w:val="000000"/>
        </w:rPr>
        <w:t> </w:t>
      </w:r>
    </w:p>
    <w:tbl>
      <w:tblPr>
        <w:tblW w:w="9050" w:type="dxa"/>
        <w:jc w:val="left"/>
        <w:tblInd w:w="0" w:type="dxa"/>
        <w:tblLayout w:type="fixed"/>
        <w:tblCellMar>
          <w:top w:w="28" w:type="dxa"/>
          <w:left w:w="28" w:type="dxa"/>
          <w:bottom w:w="28" w:type="dxa"/>
          <w:right w:w="28" w:type="dxa"/>
        </w:tblCellMar>
      </w:tblPr>
      <w:tblGrid>
        <w:gridCol w:w="1033"/>
        <w:gridCol w:w="906"/>
        <w:gridCol w:w="911"/>
        <w:gridCol w:w="236"/>
        <w:gridCol w:w="689"/>
        <w:gridCol w:w="309"/>
        <w:gridCol w:w="131"/>
        <w:gridCol w:w="131"/>
        <w:gridCol w:w="131"/>
        <w:gridCol w:w="236"/>
        <w:gridCol w:w="689"/>
        <w:gridCol w:w="309"/>
        <w:gridCol w:w="109"/>
        <w:gridCol w:w="109"/>
        <w:gridCol w:w="109"/>
        <w:gridCol w:w="227"/>
        <w:gridCol w:w="767"/>
        <w:gridCol w:w="297"/>
        <w:gridCol w:w="126"/>
        <w:gridCol w:w="126"/>
        <w:gridCol w:w="126"/>
        <w:gridCol w:w="227"/>
        <w:gridCol w:w="767"/>
        <w:gridCol w:w="349"/>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12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4,284 </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34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Net sales</w:t>
            </w:r>
          </w:p>
        </w:tc>
        <w:tc>
          <w:tcPr>
            <w:tcW w:w="23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3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3,986 </w:t>
            </w:r>
          </w:p>
        </w:tc>
        <w:tc>
          <w:tcPr>
            <w:tcW w:w="3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17,510 </w:t>
            </w:r>
          </w:p>
        </w:tc>
        <w:tc>
          <w:tcPr>
            <w:tcW w:w="29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15,458 </w:t>
            </w:r>
          </w:p>
        </w:tc>
        <w:tc>
          <w:tcPr>
            <w:tcW w:w="34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margin %</w:t>
            </w:r>
          </w:p>
        </w:tc>
        <w:tc>
          <w:tcPr>
            <w:tcW w:w="925"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34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8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4,284 </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34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Flexjet-related litigation matters</w:t>
            </w:r>
            <w:r>
              <w:rPr>
                <w:rFonts w:ascii="Arial;sans-serif" w:hAnsi="Arial;sans-serif"/>
                <w:b w:val="false"/>
                <w:color w:val="000000"/>
                <w:sz w:val="10"/>
              </w:rPr>
              <w:t>1</w:t>
            </w:r>
          </w:p>
        </w:tc>
        <w:tc>
          <w:tcPr>
            <w:tcW w:w="92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3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29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segment profit</w:t>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1,282</w:t>
            </w:r>
            <w:r>
              <w:rPr>
                <w:color w:val="000000"/>
              </w:rPr>
              <w:t>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811</w:t>
            </w:r>
            <w:r>
              <w:rPr>
                <w:color w:val="000000"/>
              </w:rPr>
              <w:t>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4,657</w:t>
            </w:r>
            <w:r>
              <w:rPr>
                <w:color w:val="000000"/>
              </w:rPr>
              <w:t> </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3,988</w:t>
            </w:r>
            <w:r>
              <w:rPr>
                <w:color w:val="000000"/>
              </w:rPr>
              <w:t> </w:t>
            </w:r>
          </w:p>
        </w:tc>
        <w:tc>
          <w:tcPr>
            <w:tcW w:w="34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17,510 </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15,458 </w:t>
            </w:r>
          </w:p>
        </w:tc>
        <w:tc>
          <w:tcPr>
            <w:tcW w:w="34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Flexjet-related litigation matters</w:t>
            </w:r>
            <w:r>
              <w:rPr>
                <w:rFonts w:ascii="Arial;sans-serif" w:hAnsi="Arial;sans-serif"/>
                <w:b w:val="false"/>
                <w:color w:val="000000"/>
                <w:sz w:val="10"/>
              </w:rPr>
              <w:t>1</w:t>
            </w:r>
          </w:p>
        </w:tc>
        <w:tc>
          <w:tcPr>
            <w:tcW w:w="92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3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9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sales</w:t>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4,832</w:t>
            </w:r>
            <w:r>
              <w:rPr>
                <w:color w:val="000000"/>
              </w:rPr>
              <w:t>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3,986</w:t>
            </w:r>
            <w:r>
              <w:rPr>
                <w:color w:val="000000"/>
              </w:rPr>
              <w:t> </w:t>
            </w:r>
          </w:p>
        </w:tc>
        <w:tc>
          <w:tcPr>
            <w:tcW w:w="3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17,822</w:t>
            </w:r>
            <w:r>
              <w:rPr>
                <w:color w:val="000000"/>
              </w:rPr>
              <w:t> </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15,458</w:t>
            </w:r>
            <w:r>
              <w:rPr>
                <w:color w:val="000000"/>
              </w:rPr>
              <w:t> </w:t>
            </w:r>
          </w:p>
        </w:tc>
        <w:tc>
          <w:tcPr>
            <w:tcW w:w="34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segment profit margin %</w:t>
            </w:r>
          </w:p>
        </w:tc>
        <w:tc>
          <w:tcPr>
            <w:tcW w:w="925"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w:t>
            </w:r>
            <w:r>
              <w:rPr>
                <w:color w:val="000000"/>
              </w:rPr>
              <w:t> </w:t>
            </w:r>
          </w:p>
        </w:tc>
        <w:tc>
          <w:tcPr>
            <w:tcW w:w="3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3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w:t>
            </w:r>
            <w:r>
              <w:rPr>
                <w:color w:val="000000"/>
              </w:rPr>
              <w:t> </w:t>
            </w:r>
          </w:p>
        </w:tc>
        <w:tc>
          <w:tcPr>
            <w:tcW w:w="2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34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For the three and twelve months ended December 31, 2025, reflects a $312 million impact to sales due to contra revenue accounting and a $373 million impact to segment profit as a result of the settlement of the Flexjet-related litigation matters.</w:t>
            </w:r>
          </w:p>
        </w:tc>
      </w:tr>
    </w:tbl>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We define adjusted segment profit as segment profit excluding the segment profit impact associated with the Flexjet-related litigation matters. We define adjusted net sales as sales from continuing operations less the sales impact of the Flexjet-related litigation matters. We define adjusted segment profit margin as adjusted segment profit divided by adjusted net sales. We believe these measures are useful to investors and management in understanding our ongoing operations and in analysis of ongoing operating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- 21</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Reconciliation of Earnings per Share to Adjusted Earnings per Share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68"/>
        <w:gridCol w:w="852"/>
        <w:gridCol w:w="855"/>
        <w:gridCol w:w="224"/>
        <w:gridCol w:w="551"/>
        <w:gridCol w:w="124"/>
        <w:gridCol w:w="124"/>
        <w:gridCol w:w="124"/>
        <w:gridCol w:w="124"/>
        <w:gridCol w:w="224"/>
        <w:gridCol w:w="551"/>
        <w:gridCol w:w="124"/>
        <w:gridCol w:w="109"/>
        <w:gridCol w:w="109"/>
        <w:gridCol w:w="109"/>
        <w:gridCol w:w="109"/>
        <w:gridCol w:w="466"/>
        <w:gridCol w:w="196"/>
        <w:gridCol w:w="481"/>
        <w:gridCol w:w="109"/>
        <w:gridCol w:w="155"/>
        <w:gridCol w:w="155"/>
        <w:gridCol w:w="156"/>
        <w:gridCol w:w="196"/>
        <w:gridCol w:w="481"/>
        <w:gridCol w:w="109"/>
        <w:gridCol w:w="190"/>
        <w:gridCol w:w="190"/>
        <w:gridCol w:w="191"/>
        <w:gridCol w:w="451"/>
        <w:gridCol w:w="451"/>
        <w:gridCol w:w="647"/>
      </w:tblGrid>
      <w:tr>
        <w:trPr/>
        <w:tc>
          <w:tcPr>
            <w:tcW w:w="126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br/>
              <w:t>December 31,</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2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8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2026E</w:t>
            </w:r>
          </w:p>
        </w:tc>
        <w:tc>
          <w:tcPr>
            <w:tcW w:w="1549" w:type="dxa"/>
            <w:gridSpan w:val="3"/>
            <w:tcBorders/>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Earnings per share of common stock from continuing operations- diluted</w:t>
            </w:r>
            <w:r>
              <w:rPr>
                <w:rFonts w:ascii="Arial;sans-serif" w:hAnsi="Arial;sans-serif"/>
                <w:b/>
                <w:color w:val="000000"/>
                <w:sz w:val="10"/>
              </w:rPr>
              <w:t>1</w:t>
            </w:r>
          </w:p>
        </w:tc>
        <w:tc>
          <w:tcPr>
            <w:tcW w:w="22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0.49</w:t>
            </w:r>
            <w:r>
              <w:rPr>
                <w:color w:val="000000"/>
              </w:rPr>
              <w:t> </w:t>
            </w:r>
          </w:p>
        </w:tc>
        <w:tc>
          <w:tcPr>
            <w:tcW w:w="12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12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$9.59 - $9.89</w:t>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mark-to-market expense</w:t>
            </w:r>
            <w:r>
              <w:rPr>
                <w:rFonts w:ascii="Arial;sans-serif" w:hAnsi="Arial;sans-serif"/>
                <w:b w:val="false"/>
                <w:color w:val="000000"/>
                <w:sz w:val="10"/>
              </w:rPr>
              <w:t>2</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 Forecast</w:t>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3</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0.67 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costs</w:t>
            </w:r>
            <w:r>
              <w:rPr>
                <w:rFonts w:ascii="Arial;sans-serif" w:hAnsi="Arial;sans-serif"/>
                <w:b w:val="false"/>
                <w:color w:val="000000"/>
                <w:sz w:val="10"/>
              </w:rPr>
              <w:t>4</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Divestiture-related costs</w:t>
            </w:r>
            <w:r>
              <w:rPr>
                <w:rFonts w:ascii="Arial;sans-serif" w:hAnsi="Arial;sans-serif"/>
                <w:b w:val="false"/>
                <w:color w:val="000000"/>
                <w:sz w:val="10"/>
              </w:rPr>
              <w:t>5</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 Forecast</w:t>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Russian-related charges</w:t>
            </w:r>
            <w:r>
              <w:rPr>
                <w:rFonts w:ascii="Arial;sans-serif" w:hAnsi="Arial;sans-serif"/>
                <w:b w:val="false"/>
                <w:color w:val="000000"/>
                <w:sz w:val="10"/>
              </w:rPr>
              <w:t>6</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Indefinite-lived intangible asset impairment</w:t>
            </w:r>
            <w:r>
              <w:rPr>
                <w:rFonts w:ascii="Arial;sans-serif" w:hAnsi="Arial;sans-serif"/>
                <w:b w:val="false"/>
                <w:color w:val="000000"/>
                <w:sz w:val="10"/>
              </w:rPr>
              <w:t>7</w:t>
            </w:r>
          </w:p>
        </w:tc>
        <w:tc>
          <w:tcPr>
            <w:tcW w:w="7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Impairment of goodwill</w:t>
            </w:r>
            <w:r>
              <w:rPr>
                <w:rFonts w:ascii="Arial;sans-serif" w:hAnsi="Arial;sans-serif"/>
                <w:b w:val="false"/>
                <w:color w:val="000000"/>
                <w:sz w:val="10"/>
              </w:rPr>
              <w:t>8</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0.45 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0.45 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Impairment of assets held for sale</w:t>
            </w:r>
            <w:r>
              <w:rPr>
                <w:rFonts w:ascii="Arial;sans-serif" w:hAnsi="Arial;sans-serif"/>
                <w:b w:val="false"/>
                <w:color w:val="000000"/>
                <w:sz w:val="10"/>
              </w:rPr>
              <w:t>9</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on sale of business</w:t>
            </w:r>
            <w:r>
              <w:rPr>
                <w:rFonts w:ascii="Arial;sans-serif" w:hAnsi="Arial;sans-serif"/>
                <w:b w:val="false"/>
                <w:color w:val="000000"/>
                <w:sz w:val="10"/>
              </w:rPr>
              <w:t>10</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related to Resideo indemnification and reimbursement agreement termination</w:t>
            </w:r>
            <w:r>
              <w:rPr>
                <w:rFonts w:ascii="Arial;sans-serif" w:hAnsi="Arial;sans-serif"/>
                <w:b w:val="false"/>
                <w:color w:val="000000"/>
                <w:sz w:val="10"/>
              </w:rPr>
              <w:t>11</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Adjustment to estimated future environmental liabilities</w:t>
            </w:r>
            <w:r>
              <w:rPr>
                <w:rFonts w:ascii="Arial;sans-serif" w:hAnsi="Arial;sans-serif"/>
                <w:b w:val="false"/>
                <w:color w:val="000000"/>
                <w:sz w:val="10"/>
              </w:rPr>
              <w:t>12</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on settlement of divestiture of asbestos liabilities</w:t>
            </w:r>
            <w:r>
              <w:rPr>
                <w:rFonts w:ascii="Arial;sans-serif" w:hAnsi="Arial;sans-serif"/>
                <w:b w:val="false"/>
                <w:color w:val="000000"/>
                <w:sz w:val="10"/>
              </w:rPr>
              <w:t>13</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Flexjet-related litigation matters</w:t>
            </w:r>
            <w:r>
              <w:rPr>
                <w:rFonts w:ascii="Arial;sans-serif" w:hAnsi="Arial;sans-serif"/>
                <w:b w:val="false"/>
                <w:color w:val="000000"/>
                <w:sz w:val="10"/>
              </w:rPr>
              <w:t>14</w:t>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earnings per share of common stock from continuing operations - diluted</w:t>
            </w:r>
          </w:p>
        </w:tc>
        <w:tc>
          <w:tcPr>
            <w:tcW w:w="224"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1"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124"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1"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w:t>
            </w:r>
            <w:r>
              <w:rPr>
                <w:color w:val="000000"/>
              </w:rPr>
              <w:t> </w:t>
            </w:r>
          </w:p>
        </w:tc>
        <w:tc>
          <w:tcPr>
            <w:tcW w:w="124"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w:t>
            </w:r>
            <w:r>
              <w:rPr>
                <w:color w:val="000000"/>
              </w:rPr>
              <w:t> </w:t>
            </w:r>
          </w:p>
        </w:tc>
        <w:tc>
          <w:tcPr>
            <w:tcW w:w="109"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8.73</w:t>
            </w:r>
            <w:r>
              <w:rPr>
                <w:color w:val="000000"/>
              </w:rPr>
              <w:t> </w:t>
            </w:r>
          </w:p>
        </w:tc>
        <w:tc>
          <w:tcPr>
            <w:tcW w:w="109"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$10.35 - 10.65</w:t>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29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
        <w:gridCol w:w="149"/>
        <w:gridCol w:w="109"/>
        <w:gridCol w:w="109"/>
        <w:gridCol w:w="109"/>
        <w:gridCol w:w="109"/>
        <w:gridCol w:w="2923"/>
        <w:gridCol w:w="2695"/>
        <w:gridCol w:w="3835"/>
      </w:tblGrid>
      <w:tr>
        <w:trPr/>
        <w:tc>
          <w:tcPr>
            <w:tcW w:w="1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For the three months ended December 31, 2025, and 2024, adjusted earnings per share utilizes weighted average shares of approximately 638.6 million and 654.8 million, respectively. For the twelve months ended December 31, 2025, and 2024, adjusted earnings per share utilizes weighted average shares of approximately 642.8 million and 655.3 million, respectively. For the twelve months ended December 31, 2026, expected earnings per share utilizes weighted average shares of approximately 638 million.</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months ended December 31, 2025 and 2024, pension mark-to-market expense was $113 million and $95 million, net of tax benefit of $36 million and $31 million, respectively. .For the twelve months ended December 31, 2025 and 2024, pension mark-to-market expense was $123 million and $95 million, net of tax benefit of $40 million and $31 million, respectively.</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months ended December 31, 2025, and 2024, acquisition-related intangibles amortization includes $124 million and $107 million, net of tax benefit of $39 million and $32 million, respectively. For the twelve months ended December 31, 2025, and 2024, acquisition-related intangibles amortization includes $432 million and $321 million, net of tax benefit of $138 million and $90 million, respectively. For the twelve months ended December 31, 2026, expected acquisition-related intangibles amortization includes approximately $470 million, net of tax benefit of approximately $110 million.</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months ended December 31, 2025, and 2024, the adjustment for acquisition-related costs, which is principally comprised of third-party transaction and integration costs, is $13 million and $21 million, net of tax benefit of $4 million and $5 million, respectively. For the twelve months ended December 31, 2025, and 2024, the adjustment for acquisition-related costs, which is principally comprised of third-party transaction and integration costs and acquisition-related fair value adjustments to inventory, is $35 million and $66 million, net of tax benefit of $10 million and $17 million, respectively. For the twelve months ended December 31, 2026, the expected adjustment for acquisition-related costs, which is principally comprised of third-party transaction and integration costs, is approximately $10 million, net of tax benefit of approximately $5 million.</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 xml:space="preserve">For the three and twelve months ended December 31, 2025, the adjustment for divestiture-related costs, which is principally comprised of third-party transaction costs, is $237 million and $460 million, net of tax benefit of approximately $11 million and $61 million, respectively. </w:t>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3" w:type="dxa"/>
            <w:gridSpan w:val="3"/>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For the twelve months ended December 31, 2024, the adjustment is a $17 million expense, without tax benefit, due to the settlement of a contractual dispute with a Russian entity associated with the Company’s suspension and wind down activities in Russia.</w:t>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3" w:type="dxa"/>
            <w:gridSpan w:val="3"/>
            <w:tcBorders/>
            <w:vAlign w:val="center"/>
          </w:tcPr>
          <w:p>
            <w:pPr>
              <w:pStyle w:val="TableContents"/>
              <w:bidi w:val="0"/>
              <w:spacing w:before="0" w:after="283"/>
              <w:jc w:val="left"/>
              <w:rPr>
                <w:sz w:val="4"/>
                <w:szCs w:val="4"/>
              </w:rPr>
            </w:pPr>
            <w:r>
              <w:rPr>
                <w:sz w:val="4"/>
                <w:szCs w:val="4"/>
              </w:rPr>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3" w:type="dxa"/>
            <w:gridSpan w:val="3"/>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and twelve months ended December 31, 2025, the impairment charge of indefinite-lived intangible assets associated with the Industrial Automation reportable segment was $44 million, without tax benefit. For the twelve months ended December 31, 2024, the impairment charge of indefinite-lived intangible assets associated with the personal protective equipment business was $37 million, net of tax benefit of $11 million.</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and twelve months ended December 31, 2025, the impairment charge of goodwill associated with the Industrial Automation reportable segment was $288 million, without tax benefit.</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months ended December 31, 2025 and 2024, the impairment charge of assets held for sale was $220 million and $94 million, respectively, without tax benefit. For the twelve months ended December 31, 2025 and 2024, the impairment charge of assets held for sale was $235 million and $219 million, respectively, without tax benefit.</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twelve months ended December 31, 2025, the loss on sale of the personal protective equipment business is $28 million, net of tax benefit of $2 million.</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twelve months ended December 31, 2025, the adjustment for the gain related to the Resideo indemnification and reimbursement agreement termination was $802 million, without tax expense.</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In the twelve months ended December 31, 2025, the Company enhanced its process for estimating environmental liabilities at sites undergoing active remediation, which led to earlier recognition of the estimated probable liabilities and an increase to estimated environmental liabilities. For the twelve months ended December 31, 2025, the adjustment to increase environmental liabilities was $161 million, net of tax benefit of $50 million.</w:t>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twelve months ended December 31, 2025, the adjustment for loss on settlement of divestiture of asbestos liabilities was $112 million, net of tax benefit of $36 million.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Honeywell Q4’25 Results - 22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
        <w:gridCol w:w="148"/>
        <w:gridCol w:w="109"/>
        <w:gridCol w:w="109"/>
        <w:gridCol w:w="109"/>
        <w:gridCol w:w="109"/>
        <w:gridCol w:w="2768"/>
        <w:gridCol w:w="2768"/>
        <w:gridCol w:w="391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For the three and twelve months ended December 31, 2025, the adjustment for the Flexjet-related litigation matters was $302 million, net of tax benefit of $71 million. Management considers the nature and significance of these litigation matters to be unusual and not indicative of the Company's ongoing performance.</w:t>
            </w:r>
          </w:p>
        </w:tc>
      </w:tr>
      <w:tr>
        <w:trPr/>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4"/>
              </w:rPr>
            </w:pPr>
            <w:r>
              <w:rPr>
                <w:rFonts w:ascii="Arial;sans-serif" w:hAnsi="Arial;sans-serif"/>
                <w:b w:val="false"/>
                <w:i/>
                <w:color w:val="000000"/>
                <w:sz w:val="14"/>
              </w:rPr>
              <w:t>Note: Amounts may not foot due to rounding</w:t>
            </w:r>
          </w:p>
        </w:tc>
      </w:tr>
    </w:tbl>
    <w:p>
      <w:pPr>
        <w:pStyle w:val="TextBody"/>
        <w:bidi w:val="0"/>
        <w:spacing w:before="0" w:after="12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define adjusted earnings per share as diluted earnings per share from continuing operations adjusted to exclude various charges as listed above. We believe adjusted earnings per share is a measure that is useful to investors and management in understanding our ongoing operations and in analysis of ongoing operating trends. For forward-looking information, management cannot reliably predict or estimate, without unreasonable effort, the pension mark-to-market expense as it is dependent on macroeconomic factors, such as interest rates and the return generated on invested pension plan assets. The divestiture-related costs are subject to detailed development and execution of separation restructuring plans for the announced separation of Automation and Aerospace Technologies. We therefore do not include an estimate for the pension mark-to-market expense. Based on economic and industry conditions, future developments, and other relevant factors, these assumptions are subject to change.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Reconciliation of Cash Provided by Operating Activities to Free Cash Flow</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154" w:type="dxa"/>
        <w:jc w:val="left"/>
        <w:tblInd w:w="0" w:type="dxa"/>
        <w:tblLayout w:type="fixed"/>
        <w:tblCellMar>
          <w:top w:w="28" w:type="dxa"/>
          <w:left w:w="28" w:type="dxa"/>
          <w:bottom w:w="28" w:type="dxa"/>
          <w:right w:w="28" w:type="dxa"/>
        </w:tblCellMar>
      </w:tblPr>
      <w:tblGrid>
        <w:gridCol w:w="2037"/>
        <w:gridCol w:w="1788"/>
        <w:gridCol w:w="179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br/>
              <w:t>December 31,</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62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provided by operating activities from continuing operations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1,241</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6,075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5,112</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 and separation-related cost payments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Resideo indemnification and reimbursement agreement termination payment</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divestiture of asbestos liabilities</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Settlement of Flexjet-related litigation matters</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Free cash flow</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4,241</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define free cash flow as cash provided by operating activities from continuing operations less cash for capital expenditures and excluding spin-off and separation-related cost payments, the Resideo indemnification and reimbursement agreement termination payment, cash payment for settlement of divestiture of asbestos liabilities, and the cash payment for settlement of Flexjet-related litigation matters.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that free cash flow is a non-GAAP measure that is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MORE -</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Reconciliation of Expected Cash Provided by Operating Activities to Expected Free Cash Flow</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120"/>
        <w:jc w:val="center"/>
        <w:rPr>
          <w:color w:val="000000"/>
        </w:rPr>
      </w:pPr>
      <w:r>
        <w:rPr>
          <w:color w:val="000000"/>
        </w:rPr>
        <w:t> </w:t>
      </w:r>
    </w:p>
    <w:tbl>
      <w:tblPr>
        <w:tblW w:w="7717" w:type="dxa"/>
        <w:jc w:val="center"/>
        <w:tblInd w:w="0" w:type="dxa"/>
        <w:tblLayout w:type="fixed"/>
        <w:tblCellMar>
          <w:top w:w="28" w:type="dxa"/>
          <w:left w:w="28" w:type="dxa"/>
          <w:bottom w:w="28" w:type="dxa"/>
          <w:right w:w="28" w:type="dxa"/>
        </w:tblCellMar>
      </w:tblPr>
      <w:tblGrid>
        <w:gridCol w:w="1261"/>
        <w:gridCol w:w="1108"/>
        <w:gridCol w:w="1111"/>
        <w:gridCol w:w="109"/>
        <w:gridCol w:w="109"/>
        <w:gridCol w:w="1175"/>
        <w:gridCol w:w="1175"/>
        <w:gridCol w:w="1669"/>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 2026(E) ($B)</w:t>
            </w:r>
          </w:p>
        </w:tc>
      </w:tr>
      <w:tr>
        <w:trPr/>
        <w:tc>
          <w:tcPr>
            <w:tcW w:w="348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~$4.7 - $5.0</w:t>
            </w:r>
          </w:p>
        </w:tc>
      </w:tr>
      <w:tr>
        <w:trPr/>
        <w:tc>
          <w:tcPr>
            <w:tcW w:w="34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348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 and separation-related cost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r>
        <w:trPr/>
        <w:tc>
          <w:tcPr>
            <w:tcW w:w="348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Settlement of Flexjet-related litigation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~0.4</w:t>
            </w:r>
          </w:p>
        </w:tc>
      </w:tr>
      <w:tr>
        <w:trPr/>
        <w:tc>
          <w:tcPr>
            <w:tcW w:w="348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~$5.3 - $5.6</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define free cash flow as cash provided by operating activities from continuing operations less cash for capital expenditures and excluding spin-off and separation-related cost payments, the Resideo indemnification and reimbursement agreement termination payment, the cash payment for settlement of divestiture of asbestos liabilities, and the cash payment for settlement of Flexjet-related litigation matters.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We believe that free cash flow is a non-GAAP measure that is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99.2</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w:t>
      </w:r>
    </w:p>
    <w:p>
      <w:pPr>
        <w:pStyle w:val="TextBody"/>
        <w:bidi w:val="0"/>
        <w:spacing w:lineRule="auto" w:line="288" w:before="0" w:after="0"/>
        <w:jc w:val="center"/>
        <w:rPr>
          <w:rFonts w:ascii="Arial MT Std Black;sans-serif" w:hAnsi="Arial MT Std Black;sans-serif"/>
          <w:b/>
          <w:color w:val="000000"/>
          <w:sz w:val="32"/>
        </w:rPr>
      </w:pPr>
      <w:r>
        <w:rPr>
          <w:rFonts w:ascii="Arial MT Std Black;sans-serif" w:hAnsi="Arial MT Std Black;sans-serif"/>
          <w:b/>
          <w:color w:val="000000"/>
          <w:sz w:val="32"/>
        </w:rPr>
        <w:t>SUPPLEMENTAL SEGMENT INFORMATION</w:t>
      </w:r>
    </w:p>
    <w:tbl>
      <w:tblPr>
        <w:tblW w:w="8893" w:type="dxa"/>
        <w:jc w:val="left"/>
        <w:tblInd w:w="0" w:type="dxa"/>
        <w:tblLayout w:type="fixed"/>
        <w:tblCellMar>
          <w:top w:w="28" w:type="dxa"/>
          <w:left w:w="28" w:type="dxa"/>
          <w:bottom w:w="28" w:type="dxa"/>
          <w:right w:w="28" w:type="dxa"/>
        </w:tblCellMar>
      </w:tblPr>
      <w:tblGrid>
        <w:gridCol w:w="1011"/>
        <w:gridCol w:w="887"/>
        <w:gridCol w:w="906"/>
        <w:gridCol w:w="109"/>
        <w:gridCol w:w="109"/>
        <w:gridCol w:w="1576"/>
        <w:gridCol w:w="109"/>
        <w:gridCol w:w="109"/>
        <w:gridCol w:w="402"/>
        <w:gridCol w:w="1173"/>
        <w:gridCol w:w="224"/>
        <w:gridCol w:w="109"/>
        <w:gridCol w:w="349"/>
        <w:gridCol w:w="349"/>
        <w:gridCol w:w="351"/>
        <w:gridCol w:w="196"/>
        <w:gridCol w:w="661"/>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w:t>
            </w:r>
          </w:p>
        </w:tc>
        <w:tc>
          <w:tcPr>
            <w:tcW w:w="1120" w:type="dxa"/>
            <w:gridSpan w:val="4"/>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69" w:type="dxa"/>
            <w:gridSpan w:val="7"/>
            <w:tcBorders/>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9,758</w:t>
            </w:r>
            <w:r>
              <w:rPr>
                <w:color w:val="000000"/>
              </w:rPr>
              <w:t> </w:t>
            </w:r>
          </w:p>
        </w:tc>
        <w:tc>
          <w:tcPr>
            <w:tcW w:w="22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22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1,919</w:t>
            </w:r>
            <w:r>
              <w:rPr>
                <w:color w:val="000000"/>
              </w:rPr>
              <w:t> </w:t>
            </w:r>
          </w:p>
        </w:tc>
        <w:tc>
          <w:tcPr>
            <w:tcW w:w="22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0"/>
        <w:gridCol w:w="940"/>
        <w:gridCol w:w="944"/>
        <w:gridCol w:w="109"/>
        <w:gridCol w:w="109"/>
        <w:gridCol w:w="1302"/>
        <w:gridCol w:w="1284"/>
        <w:gridCol w:w="837"/>
        <w:gridCol w:w="196"/>
        <w:gridCol w:w="571"/>
        <w:gridCol w:w="109"/>
        <w:gridCol w:w="1284"/>
        <w:gridCol w:w="109"/>
        <w:gridCol w:w="109"/>
        <w:gridCol w:w="109"/>
        <w:gridCol w:w="196"/>
        <w:gridCol w:w="661"/>
        <w:gridCol w:w="109"/>
        <w:gridCol w:w="157"/>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r>
          </w:p>
        </w:tc>
        <w:tc>
          <w:tcPr>
            <w:tcW w:w="3610" w:type="dxa"/>
            <w:gridSpan w:val="11"/>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Aviation Original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Aviation Aftermarket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Defense and Space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Aerospace Technologies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17,510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Building Automation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1,971</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Process Automation and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Process Automation and Technology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1,781</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6,437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Industrial Automation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Corporate and 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81100"/>
                <wp:effectExtent l="0" t="0" r="0" b="0"/>
                <wp:wrapNone/>
                <wp:docPr id="29" name="Frame28"/>
                <a:graphic xmlns:a="http://schemas.openxmlformats.org/drawingml/2006/main">
                  <a:graphicData uri="http://schemas.microsoft.com/office/word/2010/wordprocessingShape">
                    <wps:wsp>
                      <wps:cNvSpPr txBox="1"/>
                      <wps:spPr>
                        <a:xfrm>
                          <a:off x="0" y="0"/>
                          <a:ext cx="6480175" cy="1181100"/>
                        </a:xfrm>
                        <a:prstGeom prst="rect"/>
                        <a:solidFill>
                          <a:srgbClr val="FFFFFF"/>
                        </a:solidFill>
                      </wps:spPr>
                      <wps:txbx>
                        <w:txbxContent>
                          <w:p>
                            <w:pPr>
                              <w:pStyle w:val="TextBody"/>
                              <w:bidi w:val="0"/>
                              <w:spacing w:before="0" w:after="120"/>
                              <w:jc w:val="both"/>
                              <w:rPr/>
                            </w:pPr>
                            <w:r>
                              <w:rPr/>
                            </w:r>
                            <w:r>
                              <w:br w:type="page"/>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0"/>
        <w:ind w:left="0" w:right="0" w:firstLine="90"/>
        <w:jc w:val="center"/>
        <w:rPr>
          <w:rFonts w:ascii="Arial;sans-serif" w:hAnsi="Arial;sans-serif"/>
          <w:b w:val="false"/>
          <w:color w:val="000000"/>
          <w:sz w:val="18"/>
        </w:rPr>
      </w:pPr>
      <w:r>
        <w:rPr>
          <w:rFonts w:ascii="Arial;sans-serif" w:hAnsi="Arial;sans-serif"/>
          <w:b w:val="false"/>
          <w:color w:val="000000"/>
          <w:sz w:val="18"/>
        </w:rPr>
        <w:t>Appendix</w:t>
      </w:r>
    </w:p>
    <w:p>
      <w:pPr>
        <w:pStyle w:val="TextBody"/>
        <w:bidi w:val="0"/>
        <w:spacing w:before="0" w:after="0"/>
        <w:ind w:left="0" w:right="0" w:firstLine="9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before="0" w:after="0"/>
        <w:ind w:left="0" w:right="0" w:firstLine="9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information provides definitions and reconciliations of certain non-GAAP financial measures presented in this supplemental schedule to which this reconciliation is attached to the most directly comparable financial measures calculated and presented in accordance with generally accepted accounting principles (GAAP).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Reconciliation of Organic Sales % Change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ind w:left="0" w:right="0" w:firstLine="9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75"/>
        <w:gridCol w:w="1534"/>
        <w:gridCol w:w="1542"/>
        <w:gridCol w:w="109"/>
        <w:gridCol w:w="109"/>
        <w:gridCol w:w="109"/>
        <w:gridCol w:w="109"/>
        <w:gridCol w:w="109"/>
        <w:gridCol w:w="109"/>
        <w:gridCol w:w="109"/>
        <w:gridCol w:w="868"/>
        <w:gridCol w:w="868"/>
        <w:gridCol w:w="871"/>
        <w:gridCol w:w="109"/>
        <w:gridCol w:w="109"/>
        <w:gridCol w:w="109"/>
        <w:gridCol w:w="390"/>
        <w:gridCol w:w="390"/>
        <w:gridCol w:w="392"/>
        <w:gridCol w:w="109"/>
        <w:gridCol w:w="109"/>
        <w:gridCol w:w="109"/>
        <w:gridCol w:w="158"/>
      </w:tblGrid>
      <w:tr>
        <w:trPr/>
        <w:tc>
          <w:tcPr>
            <w:tcW w:w="177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w:t>
              <w:br/>
              <w:t xml:space="preserve">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Honeywell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Other</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Other</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Process Automation and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54"/>
        <w:gridCol w:w="1540"/>
        <w:gridCol w:w="1550"/>
        <w:gridCol w:w="109"/>
        <w:gridCol w:w="109"/>
        <w:gridCol w:w="109"/>
        <w:gridCol w:w="109"/>
        <w:gridCol w:w="109"/>
        <w:gridCol w:w="109"/>
        <w:gridCol w:w="109"/>
        <w:gridCol w:w="870"/>
        <w:gridCol w:w="870"/>
        <w:gridCol w:w="873"/>
        <w:gridCol w:w="109"/>
        <w:gridCol w:w="109"/>
        <w:gridCol w:w="109"/>
        <w:gridCol w:w="390"/>
        <w:gridCol w:w="390"/>
        <w:gridCol w:w="392"/>
        <w:gridCol w:w="109"/>
        <w:gridCol w:w="109"/>
        <w:gridCol w:w="109"/>
        <w:gridCol w:w="159"/>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w:t>
              <w:br/>
              <w:t xml:space="preserve">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sales percent change, adjusted for impact of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sales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1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Flexjet-related litigation matters of $312 million, which are considered to be unusual and not indicative of the Company's ongoing performance.</w:t>
            </w:r>
          </w:p>
        </w:tc>
      </w:tr>
    </w:tbl>
    <w:p>
      <w:pPr>
        <w:pStyle w:val="TextBody"/>
        <w:bidi w:val="0"/>
        <w:spacing w:lineRule="auto" w:line="288" w:before="60" w:after="20"/>
        <w:jc w:val="both"/>
        <w:rPr>
          <w:rFonts w:ascii="Arial;sans-serif" w:hAnsi="Arial;sans-serif"/>
          <w:b w:val="false"/>
          <w:color w:val="000000"/>
          <w:sz w:val="18"/>
        </w:rPr>
      </w:pPr>
      <w:r>
        <w:rPr>
          <w:rFonts w:ascii="Arial;sans-serif" w:hAnsi="Arial;sans-serif"/>
          <w:b w:val="false"/>
          <w:color w:val="000000"/>
          <w:sz w:val="18"/>
        </w:rPr>
        <w:t>We define organic sales percentage as the year-over-year change in reported sales from continuing operations relative to the comparable period, adjusted for the impact of divestitures to the prior period, and excluding the impact on sales from foreign currency translation and acquisitions for the first 12 months following the transaction date, and certain other items that are unusual or non-recurring in nature. We believe this measure is useful to investors and management in understanding our ongoing operations and in analysis of ongoing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Honeywell International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Reconciliation of Operating Income to Segment Profit</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millions)</w:t>
      </w:r>
    </w:p>
    <w:tbl>
      <w:tblPr>
        <w:tblW w:w="9868" w:type="dxa"/>
        <w:jc w:val="left"/>
        <w:tblInd w:w="0" w:type="dxa"/>
        <w:tblLayout w:type="fixed"/>
        <w:tblCellMar>
          <w:top w:w="28" w:type="dxa"/>
          <w:left w:w="28" w:type="dxa"/>
          <w:bottom w:w="28" w:type="dxa"/>
          <w:right w:w="28" w:type="dxa"/>
        </w:tblCellMar>
      </w:tblPr>
      <w:tblGrid>
        <w:gridCol w:w="1316"/>
        <w:gridCol w:w="1153"/>
        <w:gridCol w:w="1161"/>
        <w:gridCol w:w="109"/>
        <w:gridCol w:w="392"/>
        <w:gridCol w:w="1144"/>
        <w:gridCol w:w="218"/>
        <w:gridCol w:w="109"/>
        <w:gridCol w:w="109"/>
        <w:gridCol w:w="109"/>
        <w:gridCol w:w="109"/>
        <w:gridCol w:w="109"/>
        <w:gridCol w:w="1576"/>
        <w:gridCol w:w="109"/>
        <w:gridCol w:w="1006"/>
        <w:gridCol w:w="196"/>
        <w:gridCol w:w="571"/>
        <w:gridCol w:w="109"/>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r>
          </w:p>
        </w:tc>
        <w:tc>
          <w:tcPr>
            <w:tcW w:w="1139" w:type="dxa"/>
            <w:gridSpan w:val="5"/>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996</w:t>
            </w:r>
            <w:r>
              <w:rPr>
                <w:color w:val="000000"/>
              </w:rPr>
              <w:t> </w:t>
            </w:r>
          </w:p>
        </w:tc>
        <w:tc>
          <w:tcPr>
            <w:tcW w:w="21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6,044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compensation expense</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Repositioning, Other</w:t>
            </w:r>
            <w:r>
              <w:rPr>
                <w:rFonts w:ascii="Arial;sans-serif" w:hAnsi="Arial;sans-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and other postretirement service costs</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costs</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Indefinite-lived intangible asset impairment</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1,919</w:t>
            </w:r>
            <w:r>
              <w:rPr>
                <w:color w:val="000000"/>
              </w:rPr>
              <w:t> </w:t>
            </w:r>
          </w:p>
        </w:tc>
        <w:tc>
          <w:tcPr>
            <w:tcW w:w="21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02" w:type="dxa"/>
        <w:jc w:val="left"/>
        <w:tblInd w:w="0" w:type="dxa"/>
        <w:tblLayout w:type="fixed"/>
        <w:tblCellMar>
          <w:top w:w="28" w:type="dxa"/>
          <w:left w:w="28" w:type="dxa"/>
          <w:bottom w:w="28" w:type="dxa"/>
          <w:right w:w="28" w:type="dxa"/>
        </w:tblCellMar>
      </w:tblPr>
      <w:tblGrid>
        <w:gridCol w:w="128"/>
        <w:gridCol w:w="113"/>
        <w:gridCol w:w="109"/>
        <w:gridCol w:w="109"/>
        <w:gridCol w:w="109"/>
        <w:gridCol w:w="109"/>
        <w:gridCol w:w="2521"/>
        <w:gridCol w:w="2521"/>
        <w:gridCol w:w="3583"/>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jc w:val="left"/>
              <w:rPr>
                <w:sz w:val="4"/>
                <w:szCs w:val="4"/>
              </w:rPr>
            </w:pPr>
            <w:r>
              <w:rPr>
                <w:sz w:val="4"/>
                <w:szCs w:val="4"/>
              </w:rPr>
            </w:r>
          </w:p>
        </w:tc>
      </w:tr>
      <w:tr>
        <w:trPr/>
        <w:tc>
          <w:tcPr>
            <w:tcW w:w="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5" w:type="dxa"/>
            <w:gridSpan w:val="3"/>
            <w:tcBorders/>
            <w:vAlign w:val="center"/>
          </w:tcPr>
          <w:p>
            <w:pPr>
              <w:pStyle w:val="TableContents"/>
              <w:bidi w:val="0"/>
              <w:spacing w:before="0" w:after="283"/>
              <w:jc w:val="left"/>
              <w:rPr>
                <w:sz w:val="4"/>
                <w:szCs w:val="4"/>
              </w:rPr>
            </w:pPr>
            <w:r>
              <w:rPr>
                <w:sz w:val="4"/>
                <w:szCs w:val="4"/>
              </w:rPr>
            </w:r>
          </w:p>
        </w:tc>
      </w:tr>
      <w:tr>
        <w:trPr/>
        <w:tc>
          <w:tcPr>
            <w:tcW w:w="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Included in Selling, general and administrative expenses.</w:t>
            </w:r>
          </w:p>
        </w:tc>
      </w:tr>
      <w:tr>
        <w:trPr/>
        <w:tc>
          <w:tcPr>
            <w:tcW w:w="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Includes repositioning, asbestos, environmental expenses, equity income adjustment, and other charges.</w:t>
            </w:r>
          </w:p>
        </w:tc>
      </w:tr>
      <w:tr>
        <w:trPr/>
        <w:tc>
          <w:tcPr>
            <w:tcW w:w="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Included in Cost of products and services sold and Selling, general and administrative expenses.</w:t>
            </w:r>
          </w:p>
        </w:tc>
      </w:tr>
      <w:tr>
        <w:trPr/>
        <w:tc>
          <w:tcPr>
            <w:tcW w:w="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Included in Cost of products and services sold, Research and development expenses, and Selling, general and administrative expenses.</w:t>
            </w:r>
          </w:p>
        </w:tc>
      </w:tr>
      <w:tr>
        <w:trPr/>
        <w:tc>
          <w:tcPr>
            <w:tcW w:w="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Included in Cost of products and services sold.</w:t>
            </w:r>
          </w:p>
        </w:tc>
      </w:tr>
      <w:tr>
        <w:trPr/>
        <w:tc>
          <w:tcPr>
            <w:tcW w:w="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We define operating income as net sales less total cost of products and services sold, research and development expenses, selling, general and administrative expenses, impairment of goodwill, and impairment of assets held for sale. We define segment profit, on an overall Honeywell basis, as operating income, excluding stock compensation expense, pension and other postretirement service costs, amortization of acquisition-related intangibles, certain acquisition- and divestiture-related costs and impairments, and repositioning and other charges. We believe this measure is useful to investors and management in understanding our ongoing operations and in analysis of ongoing operating trends.</w:t>
      </w:r>
    </w:p>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rial MT Std Blac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10308</Words>
  <Characters>58135</Characters>
  <CharactersWithSpaces>67164</CharactersWithSpaces>
  <Paragraphs>2271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