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 MARCH 10,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1-8974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22-2640650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855 S. MINT STREET, CHARLOTTE, NC</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28202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2.250%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HON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3.375%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HON 32A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4.125% Senior Notes due 2034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3.750% Senior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On March 16, 2026, Honeywell International Inc., a Delaware corporation (“Honeywell”), repaid in full all outstanding obligations under, and terminated, its $1.0 billion fixed rate term loan credit agreement, dated as of August 12, 2024, with the banks, financial institutions and other institutional lenders party thereto, and Bank of America, N.A. (“Bank of America”), as administrative agent.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Aerospace Notes Offering</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Honeywell’s previously announced plan to spin off (the “Spin-Off”) Honeywell Aerospace Inc., a Delaware corporation (“Aerospace”), Aerospace issued $16,000,000,000 aggregate principal amount of senior notes in a private offering, consisting of $1,250,000,000 aggregate principal amount of Senior Notes due 2028 (the “2028 notes”), $1,250,000,000 aggregate principal amount of Senior Notes due 2029 (the “2029 notes”), $500,000,000 aggregate principal amount of Floating Rate Senior Notes due 2029 (the “2029 floating rate notes”), $2,000,000,000 aggregate principal amount of Senior Notes due 2031 (the “2031 notes”), $1,750,000,000 aggregate principal amount of Senior Notes due 2033 (the “2033 notes”) and $3,250,000,000 aggregate principal amount of Senior Notes due 2036 (the “2036 notes” and, together with the 2028 notes, the 2029 notes, the 2029 floating rate notes, the 2031 notes and the 2033 notes, the “New Money Notes”), $1,000,000,000 aggregate principal amount of Senior Notes due 2046 (the “2046 notes”), $3,500,000,000 aggregate principal amount of Senior Notes due 2056 (the “2056 notes”) and $1,500,000,000 aggregate principal amount of Senior Notes due 2066 (the “2066 notes” and, together with the 2046 notes and the 2056 notes, the “Exchange Notes” and, together with the New Money Notes, the “notes” and such offering the “Notes Offering”). The 2028 notes, the 2029 notes, the 2031 notes, the 2033 notes, the 2036 notes, the 2046 notes, the 2056 notes and the 2066 notes are referred to as the fixed rate notes.</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2028 notes bear interest at a rate of 3.900% per year and mature on March 16, 2028. The 2029 notes bear interest at a rate of 4.000% per year and mature on March 16, 2029. The 2029 floating rate notes bear interest from the issue date at a floating rate equal to compounded Secured Overnight Financing Rate plus 0.630%, subject to certain other provisions, and mature on March 16, 2029; provided, however, that the minimum interest rate on the 2029 floating rate notes shall not be less than 0.000%. The 2031 notes bear interest at a rate of 4.300% per year and mature on March 16, 2031. The 2033 notes bear interest at a rate of 4.600% per year and mature on March 16, 2033. The 2036 notes bear interest at a rate of 4.950% per year and mature on March 16, 2036. The 2046 notes bear interest at a rate of 5.622% per year and mature on March 16, 2046. The 2056 notes bear interest at a rate of 5.732% per year and mature on March 16, 2056. The 2066 notes bear interest at a rate of 5.852% per year and mature on March 16, 2066.</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Aerospace will pay interest on the fixed rate notes on March 16 and September 16 of each year, with the first payment on September 16, 2026. Aerospace will pay interest on the 2029 floating rate notes on March 16, June 16, September 16 and December 16 of each year, with the first payment on June 16, 2026.</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issuance of the notes and the guarantees was not registered under the Securities Act of 1933, as amended (the “Securities Act”), or any state securities laws and the notes and the guarantees were not offered or sold within the United States or to, or for the account or benefit of, U.S. persons (as defined in Regulation S under the Securities Act (“Regulation S”)), except in transactions exempt from, or not subject to, the registration requirements of the Securities Act. The notes and the guarantees were offered and sold only to persons reasonably believed to be qualified institutional buyers in reliance on Rule 144A under the Securities Act and to certain non-U.S. persons in transactions outside the United States in reliance on Regulation S.</w:t>
      </w:r>
    </w:p>
    <w:p>
      <w:pPr>
        <w:spacing w:after="0" w:line="16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 portion of the net proceeds from the offering of the New Money Notes was used to make a cash distribution to Honeywell (the “Cash Distribution”), with additional amounts not distributed to Honeywell used to pay fees and expenses related to the Spin-Off, Aerospace’s revolving credit facilities, and/or the Notes Offering, and/or for general corporate purposes. The Exchange Notes were issued by Aerospace to Honeywell as partial consideration for the contribution of assets by Honeywell to Aerospace in connection with the Spin-Off, and were transferred and delivered by Honeywell to BofA Securities, Inc., Goldman Sachs &amp; Co. LLC and Morgan Stanley &amp; Co. LLC, in their capacities as selling noteholders in the Notes Offering.</w:t>
      </w:r>
    </w:p>
    <w:p>
      <w:pPr>
        <w:sectPr>
          <w:pgSz w:w="11900" w:h="16838" w:orient="portrait"/>
          <w:cols w:equalWidth="0" w:num="1">
            <w:col w:w="10960"/>
          </w:cols>
          <w:pgMar w:left="440" w:top="293" w:right="499" w:bottom="1440" w:gutter="0" w:footer="0" w:header="0"/>
        </w:sectPr>
      </w:pPr>
    </w:p>
    <w:bookmarkStart w:id="2" w:name="page3"/>
    <w:bookmarkEnd w:id="2"/>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Honeywell intends to use the funds distributed to it by Aerospace from the proceeds of the Notes Offering, along with amounts borrowed under the 2026 Term Loan Credit Agreement, to fund Honeywell’s tender offers and Honeywell’s debt redemptions (the “Honeywell Tender Offers” and “Honeywell Debt Redemptions,” respectively), both as described in Honeywell’s Current Report on Form 8-K filed with the Securities and Exchange Commission on March 6, 2026 (the “Honeywell March 6, 2026 Form 8-K”) and below under “</w:t>
      </w:r>
      <w:r>
        <w:rPr>
          <w:rFonts w:ascii="Times New Roman" w:cs="Times New Roman" w:eastAsia="Times New Roman" w:hAnsi="Times New Roman"/>
          <w:sz w:val="17"/>
          <w:szCs w:val="17"/>
          <w:i w:val="1"/>
          <w:iCs w:val="1"/>
          <w:color w:val="auto"/>
        </w:rPr>
        <w:t>Honeywell Debt Tender Offers and Honeywell Debt Redemptions</w:t>
      </w:r>
      <w:r>
        <w:rPr>
          <w:rFonts w:ascii="Times New Roman" w:cs="Times New Roman" w:eastAsia="Times New Roman" w:hAnsi="Times New Roman"/>
          <w:sz w:val="17"/>
          <w:szCs w:val="17"/>
          <w:color w:val="auto"/>
        </w:rPr>
        <w:t>,” and other debt retirements, and intends to use cash on hand to pay related transaction fees, including applicable premiums, discounts and expenses.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notes were issued pursuant to an indenture and a first supplemental indenture, each dated March 16, 2026, between Aerospace and Deutsche Bank Trust Company Americas, as trustee (the “Trustee”) (together, the “Indenture”). This summary does not purport to be complete and is qualified in its entirety by reference to the Indenture, filed as Exhibits 4.1 and 4.2 hereto and incorporated by reference herein.</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Indenture also provides for customary events of default, which, if any of them occurs, may cause the principal of and accrued interest on the notes to become, or to be declared, due and payable. Events of default (subject in certain cases to customary grace and cure periods), include, among others, nonpayment of principal or interest, breach of other covenants or agreements in the Indenture, failure to pay certain other indebtedness, failure to pay certain final judgments and certain events of bankruptcy or insolvency.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Aerospace has entered into a Registration Rights Agreement, dated March 16, 2026, among Aerospace and Morgan Stanley &amp; Co. LLC and Goldman Sachs &amp; Co. LLC, as representatives of the initial purchasers of the notes, pursuant to which Aerospace has agreed to file with the SEC a registration statement with respect to an exchange offer for the notes or a shelf registration statement for the resale of the notes within 365 days after the date the Spin-Off is consummated. This summary does not purport to be complete and is qualified in its entirety by reference to the Registration Rights Agreement, which has been filed as Exhibit 99.1 hereto and which is incorporated by reference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Guarantee</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notes are the senior unsecured obligations of Aerospace and guaranteed on a senior unsecured basis by Honeywell until the Spin-Off is completed pursuant to a Guarantee Agreement, dated March 16, 2026, among Honeywell, as guarantor of the notes, Aerospace and the Trustee. Upon consummation of the Spin-Off, Honeywell will be automatically and unconditionally released from all obligations under the Guarantee Agreement without any action required on the part of the Trustee, any holder of notes, the selling noteholders or the initial purchasers in the Notes Offering. This summary does not purport to be complete and is qualified in its entirety by reference to the Guarantee Agreement, which has been filed as Exhibit 4.3 hereto and which is incorporated by reference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Debt Tender Offers and Honeywell Debt Redemptions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10, 2026, Honeywell issued a notice of redemption to redeem all €750,000,000 in outstanding principal amount of its 2.250% Senior Notes due 2028 on April 10, 2026, at a redemption price that includes an applicable “make-whole” premium, plus any interest accrued and unpaid to the redemption date, all further to Honeywell’s previously announced intention to redeem such notes as set forth in the Honeywell March 6, 2026 Form 8-K. The 2.250% Senior Notes due 2028 are also included in the Honeywell Tender Offers.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Honeywell has determined that the Cash Distribution and the receipt of the Exchange Notes satisfies the financing condition for the Honeywell Tender Offers and the redemption condition for the Honeywell Debt Redemptions subject to such condition. The Honeywell Tender Offers are subject to a number of other conditions that may be waived or changed. This Current Report on Form 8-K does not constitute an offer to purchase any Honeywell debt securities in the Honeywell Tender Offers, which may only be made pursuant to the related offer to purchase. This Current Report on Form 8-K does not constitute a notice of redemption of any Honeywell debt securities. The Honeywell Debt Redemptions are being made solely pursuant to separately issued notices of redemption delivered pursuant to the indenture governing the applicable Honeywell debt securities.</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2026 Term Loan Credit Agreement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16, 2026, Honeywell satisfied and discharged in full all outstanding obligations under, and terminated, its term loan credit agreement, dated as of March 2, 2026, with the banks, financial institutions and other institutional lenders party thereto, Bank of America, as administrative agent, and Bank of America, N.A., Goldman Sachs Bank USA and Morgan Stanley Senior Funding, Inc., as joint lead arrangers (the “2026 Term Loan Credit Agreement”). The outstanding advances under the 2026 Term Loan Credit Agreement were satisfied and discharged in full, pursuant to the terms of an exchange agreement, in exchange for Honeywell’s transfer and delivery of the Exchange Notes and cash in an amount equal to the initial purchaser commissions due with respect to the Exchange Notes to the lenders’ designees, and Honeywell paid accrued interest owing to the lenders under the 2026 Term Loan Credit Agreement in respect of all advances outstanding as of such date.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6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Indenture, dated as of March 16, 2026, between Honeywell Aerospace Inc. and Deutsche Bank Trust Company Americas, as trustee.</w:t>
            </w: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First Supplemental Indenture, dated as of March 16, 2026, between Honeywell Aerospace Inc. and Deutsche Bank Trust Company</w:t>
            </w:r>
          </w:p>
        </w:tc>
        <w:tc>
          <w:tcPr>
            <w:tcW w:w="120" w:type="dxa"/>
            <w:vAlign w:val="bottom"/>
            <w:tcBorders>
              <w:top w:val="single" w:sz="8" w:color="0000EE"/>
            </w:tcBorders>
          </w:tcPr>
          <w:p>
            <w:pPr>
              <w:spacing w:after="0"/>
              <w:rPr>
                <w:sz w:val="24"/>
                <w:szCs w:val="24"/>
                <w:color w:val="auto"/>
              </w:rPr>
            </w:pPr>
          </w:p>
        </w:tc>
        <w:tc>
          <w:tcPr>
            <w:tcW w:w="4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Americas, as trustee.</w:t>
            </w: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Guarantee Agreement, dated as of March 16, 2026, among Honeywell International Inc., as guarantor, Honeywell Aerospace Inc. and</w:t>
            </w:r>
          </w:p>
        </w:tc>
        <w:tc>
          <w:tcPr>
            <w:tcW w:w="3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Deutsche Bank Trust Company Americas, as trustee.</w:t>
            </w:r>
          </w:p>
        </w:tc>
      </w:tr>
      <w:tr>
        <w:trPr>
          <w:trHeight w:val="20"/>
        </w:trPr>
        <w:tc>
          <w:tcPr>
            <w:tcW w:w="106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March 16, 2026, among Honeywell Aerospace Inc., and Morgan Stanley &amp; Co. LLC and</w:t>
            </w:r>
          </w:p>
        </w:tc>
        <w:tc>
          <w:tcPr>
            <w:tcW w:w="4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Goldman Sachs &amp; Co. LLC, as representatives of the initial purchasers.</w:t>
            </w:r>
          </w:p>
        </w:tc>
        <w:tc>
          <w:tcPr>
            <w:tcW w:w="4800" w:type="dxa"/>
            <w:vAlign w:val="bottom"/>
            <w:gridSpan w:val="5"/>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5"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HONEYWELL INTERNATIONAL INC.</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 Ping Lu</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Su Ping Lu</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HONEYWELL AEROSPACE INC., as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 as Trustee</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Dated as of March 16, 2026</w:t>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ARTICLE 1</w:t>
            </w:r>
          </w:p>
        </w:tc>
        <w:tc>
          <w:tcPr>
            <w:tcW w:w="4160" w:type="dxa"/>
            <w:vAlign w:val="bottom"/>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8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9"/>
              </w:rPr>
              <w:t>DEFINITIONS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1.01.</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Certain Terms Defined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1.02.</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8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8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rPr>
              <w:t>SECURITY FORMS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2.01.</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Forms Generally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2.02.</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Form of Trustee’s Certificate of Authentication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8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ISSUE, EXECUTION, FORM AND REGISTRATION OF SECURITIES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3.01.</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Amount Unlimited: Issuable in Series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3.02.</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Authentication and Delivery of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3.03.</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Execution of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3.04.</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Certificate of Authentication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3.05.</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Denomination and Date of Securities: Payments of 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3.06.</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Global Security Legend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3.07.</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Registration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3.08.</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Book-Entry Provisions for Global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3.09.</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Mutilated, Defaced, Destroyed, Lost and Stolen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3.10.</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Cancellation of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3.11.</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Temporary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3.12.</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CUSIP and ISIN Numbers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8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8"/>
              </w:rPr>
              <w:t>CERTAIN COVENANTS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4.01.</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Payment of Principal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4.02.</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4.03.</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Money for Securities Payments to be Held in Trust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4.04.</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Existence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4.05.</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Mortgages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4.06.</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Sale and Lease-Back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4.07.</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Statement by Officers as to Default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4.08.</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Waiver of Certain Covenants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4.09.</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Compliance Certificate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50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Table of Contents (continued)</w:t>
            </w:r>
          </w:p>
        </w:tc>
        <w:tc>
          <w:tcPr>
            <w:tcW w:w="1400" w:type="dxa"/>
            <w:vAlign w:val="bottom"/>
          </w:tcPr>
          <w:p>
            <w:pPr>
              <w:spacing w:after="0"/>
              <w:rPr>
                <w:sz w:val="20"/>
                <w:szCs w:val="20"/>
                <w:color w:val="auto"/>
              </w:rPr>
            </w:pPr>
          </w:p>
        </w:tc>
      </w:tr>
      <w:tr>
        <w:trPr>
          <w:trHeight w:val="346"/>
        </w:trPr>
        <w:tc>
          <w:tcPr>
            <w:tcW w:w="1060" w:type="dxa"/>
            <w:vAlign w:val="bottom"/>
          </w:tcPr>
          <w:p>
            <w:pPr>
              <w:spacing w:after="0"/>
              <w:rPr>
                <w:sz w:val="24"/>
                <w:szCs w:val="24"/>
                <w:color w:val="auto"/>
              </w:rPr>
            </w:pPr>
          </w:p>
        </w:tc>
        <w:tc>
          <w:tcPr>
            <w:tcW w:w="85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ARTICLE 5</w:t>
            </w:r>
          </w:p>
        </w:tc>
        <w:tc>
          <w:tcPr>
            <w:tcW w:w="14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REMEDIES OF THE TRUSTEE AND HOLDERS ON EVENT OF DEFAULT</w:t>
            </w:r>
          </w:p>
        </w:tc>
        <w:tc>
          <w:tcPr>
            <w:tcW w:w="1400" w:type="dxa"/>
            <w:vAlign w:val="bottom"/>
          </w:tcPr>
          <w:p>
            <w:pPr>
              <w:spacing w:after="0"/>
              <w:rPr>
                <w:sz w:val="20"/>
                <w:szCs w:val="20"/>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Acceleration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Other Remedies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Waiver of Past Defaults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5.05.</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Control by Majority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5.06.</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Suits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5.07.</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Rights of Holders to Receive Payment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5.08.</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Collection Suit by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5.09.</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Trustee May File Proofs of Claim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5.10.</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Priorities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5.11.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Undertaking for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5.12.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Restoration of Rights and Remedies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5.13.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Rights and Remedies Cumulative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5.14.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Delay or Omission Not Waiver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r>
      <w:tr>
        <w:trPr>
          <w:trHeight w:val="414"/>
        </w:trPr>
        <w:tc>
          <w:tcPr>
            <w:tcW w:w="1060" w:type="dxa"/>
            <w:vAlign w:val="bottom"/>
          </w:tcPr>
          <w:p>
            <w:pPr>
              <w:spacing w:after="0"/>
              <w:rPr>
                <w:sz w:val="24"/>
                <w:szCs w:val="24"/>
                <w:color w:val="auto"/>
              </w:rPr>
            </w:pPr>
          </w:p>
        </w:tc>
        <w:tc>
          <w:tcPr>
            <w:tcW w:w="85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ARTICLE 6</w:t>
            </w:r>
          </w:p>
        </w:tc>
        <w:tc>
          <w:tcPr>
            <w:tcW w:w="14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CONCERNING THE TRUSTEE</w:t>
            </w:r>
          </w:p>
        </w:tc>
        <w:tc>
          <w:tcPr>
            <w:tcW w:w="1400" w:type="dxa"/>
            <w:vAlign w:val="bottom"/>
          </w:tcPr>
          <w:p>
            <w:pPr>
              <w:spacing w:after="0"/>
              <w:rPr>
                <w:sz w:val="20"/>
                <w:szCs w:val="20"/>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Duties and Responsibilities of the Trustee: During Default: Prior to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Certain Rights of the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Trustee Not Responsible for Recitals, Disposition of Securities or Application of Proceeds Thereof</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Trustee and Agents May Hold Securities: Collections,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6.05.</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Moneys Held by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6.06.</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Notice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6.07.</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Indemnification of Trustee and Its Prior Claim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6.08.</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Right of Trustee to Rely on Officers’ Certificate,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6.09.</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Persons Eligible for Appointment as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6.10.</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Resignation and Removal: Appointment of Successor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6.11.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Acceptance of Appointment by Successor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6.12.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Merger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6.13.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Preferential Collection of Claims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6.14.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Communications with the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6.15.</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Not Responsible for the Depository Records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r>
      <w:tr>
        <w:trPr>
          <w:trHeight w:val="414"/>
        </w:trPr>
        <w:tc>
          <w:tcPr>
            <w:tcW w:w="1060" w:type="dxa"/>
            <w:vAlign w:val="bottom"/>
          </w:tcPr>
          <w:p>
            <w:pPr>
              <w:spacing w:after="0"/>
              <w:rPr>
                <w:sz w:val="24"/>
                <w:szCs w:val="24"/>
                <w:color w:val="auto"/>
              </w:rPr>
            </w:pPr>
          </w:p>
        </w:tc>
        <w:tc>
          <w:tcPr>
            <w:tcW w:w="85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ARTICLE 7</w:t>
            </w:r>
          </w:p>
        </w:tc>
        <w:tc>
          <w:tcPr>
            <w:tcW w:w="14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CONCERNING THE HOLDERS</w:t>
            </w:r>
          </w:p>
        </w:tc>
        <w:tc>
          <w:tcPr>
            <w:tcW w:w="1400" w:type="dxa"/>
            <w:vAlign w:val="bottom"/>
          </w:tcPr>
          <w:p>
            <w:pPr>
              <w:spacing w:after="0"/>
              <w:rPr>
                <w:sz w:val="20"/>
                <w:szCs w:val="20"/>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7.01.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Evidence of Action Taken by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7.02.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Proof of Execution of Instruments and of Holding of Securities: Record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7.03.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Who May Be Deemed Owners of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7.04.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Securities Owned by Company Deemed Not Outstanding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7.05.</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Record Date for Action by Securityholders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7.06.</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Right of Revocation of Action Taken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4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Table of Contents (continued)</w:t>
            </w:r>
          </w:p>
        </w:tc>
        <w:tc>
          <w:tcPr>
            <w:tcW w:w="1380" w:type="dxa"/>
            <w:vAlign w:val="bottom"/>
          </w:tcPr>
          <w:p>
            <w:pPr>
              <w:spacing w:after="0"/>
              <w:rPr>
                <w:sz w:val="20"/>
                <w:szCs w:val="20"/>
                <w:color w:val="auto"/>
              </w:rPr>
            </w:pPr>
          </w:p>
        </w:tc>
      </w:tr>
      <w:tr>
        <w:trPr>
          <w:trHeight w:val="346"/>
        </w:trPr>
        <w:tc>
          <w:tcPr>
            <w:tcW w:w="1160" w:type="dxa"/>
            <w:vAlign w:val="bottom"/>
          </w:tcPr>
          <w:p>
            <w:pPr>
              <w:spacing w:after="0"/>
              <w:rPr>
                <w:sz w:val="24"/>
                <w:szCs w:val="24"/>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ARTICLE 8</w:t>
            </w:r>
          </w:p>
        </w:tc>
        <w:tc>
          <w:tcPr>
            <w:tcW w:w="13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SECURITYHOLDERS’ MEETINGS</w:t>
            </w:r>
          </w:p>
        </w:tc>
        <w:tc>
          <w:tcPr>
            <w:tcW w:w="138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8.01.</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Purposes for Which Meeting May Be Called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8.02.</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Manner of Calling Meetings: Record Date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8.03.</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Call of Meeting by Company or Securityholders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8.04.</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Who May Attend and Vote at Meeting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8.05.</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Regulations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8.06.</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Manner of Voting at Meetings and Record to be Kept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8.07.</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Exercise of Rights of Trustee and Securityholders Not to be Hindered or Delayed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r>
      <w:tr>
        <w:trPr>
          <w:trHeight w:val="414"/>
        </w:trPr>
        <w:tc>
          <w:tcPr>
            <w:tcW w:w="1160" w:type="dxa"/>
            <w:vAlign w:val="bottom"/>
          </w:tcPr>
          <w:p>
            <w:pPr>
              <w:spacing w:after="0"/>
              <w:rPr>
                <w:sz w:val="24"/>
                <w:szCs w:val="24"/>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ARTICLE 9</w:t>
            </w:r>
          </w:p>
        </w:tc>
        <w:tc>
          <w:tcPr>
            <w:tcW w:w="13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38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9.01.</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Supplemental Indentures Without Consent of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9.02.</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With Consent of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9.03.</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Effect of Supplemental Indenture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9.04.</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Documents to Be Given to Trustee; Compliance with TIA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9.05.</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Notation on Securities in Respect of Supplemental Indentures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r>
      <w:tr>
        <w:trPr>
          <w:trHeight w:val="414"/>
        </w:trPr>
        <w:tc>
          <w:tcPr>
            <w:tcW w:w="1160" w:type="dxa"/>
            <w:vAlign w:val="bottom"/>
          </w:tcPr>
          <w:p>
            <w:pPr>
              <w:spacing w:after="0"/>
              <w:rPr>
                <w:sz w:val="24"/>
                <w:szCs w:val="24"/>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10</w:t>
            </w:r>
          </w:p>
        </w:tc>
        <w:tc>
          <w:tcPr>
            <w:tcW w:w="13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CONSOLIDATION, MERGER OR SALE OF ASSETS</w:t>
            </w:r>
          </w:p>
        </w:tc>
        <w:tc>
          <w:tcPr>
            <w:tcW w:w="138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10.01.</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When the Company May Merge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10.02.</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Successor Corporation Substituted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10.03.</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Opinion of Counsel to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r>
      <w:tr>
        <w:trPr>
          <w:trHeight w:val="414"/>
        </w:trPr>
        <w:tc>
          <w:tcPr>
            <w:tcW w:w="1160" w:type="dxa"/>
            <w:vAlign w:val="bottom"/>
          </w:tcPr>
          <w:p>
            <w:pPr>
              <w:spacing w:after="0"/>
              <w:rPr>
                <w:sz w:val="24"/>
                <w:szCs w:val="24"/>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11</w:t>
            </w:r>
          </w:p>
        </w:tc>
        <w:tc>
          <w:tcPr>
            <w:tcW w:w="13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138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11.01.</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Applicability of Article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11.02.</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Notice of Redemption; Partial Redemptions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11.03.</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Payment of Securities Called for Redemption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r>
      <w:tr>
        <w:trPr>
          <w:trHeight w:val="414"/>
        </w:trPr>
        <w:tc>
          <w:tcPr>
            <w:tcW w:w="1160" w:type="dxa"/>
            <w:vAlign w:val="bottom"/>
          </w:tcPr>
          <w:p>
            <w:pPr>
              <w:spacing w:after="0"/>
              <w:rPr>
                <w:sz w:val="24"/>
                <w:szCs w:val="24"/>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ARTICLE 12</w:t>
            </w:r>
          </w:p>
        </w:tc>
        <w:tc>
          <w:tcPr>
            <w:tcW w:w="13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DEFEASANCE AND COVENANT DEFEASANCE</w:t>
            </w:r>
          </w:p>
        </w:tc>
        <w:tc>
          <w:tcPr>
            <w:tcW w:w="138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12.01.</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Applicability of the Article: Company’s Option to Effect Defeasance or Covenant Defeasance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12.02.</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Legal Defeasance and Discharge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12.03.</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12.04.</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Conditions to Legal or Covenant Defeasance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12.05.</w:t>
            </w: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Deposited Money and Government Securities to be Held in Trust; Other Miscellaneous Provisions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26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Table of Contents (continued)</w:t>
            </w:r>
          </w:p>
        </w:tc>
        <w:tc>
          <w:tcPr>
            <w:tcW w:w="1540" w:type="dxa"/>
            <w:vAlign w:val="bottom"/>
          </w:tcPr>
          <w:p>
            <w:pPr>
              <w:spacing w:after="0"/>
              <w:rPr>
                <w:sz w:val="20"/>
                <w:szCs w:val="20"/>
                <w:color w:val="auto"/>
              </w:rPr>
            </w:pPr>
          </w:p>
        </w:tc>
      </w:tr>
      <w:tr>
        <w:trPr>
          <w:trHeight w:val="346"/>
        </w:trPr>
        <w:tc>
          <w:tcPr>
            <w:tcW w:w="116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13</w:t>
            </w:r>
          </w:p>
        </w:tc>
        <w:tc>
          <w:tcPr>
            <w:tcW w:w="15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5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13.01.</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Satisfaction and Discharge of Indenture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w:t>
            </w: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13.02.</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Application of Trust Money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r>
      <w:tr>
        <w:trPr>
          <w:trHeight w:val="216"/>
        </w:trPr>
        <w:tc>
          <w:tcPr>
            <w:tcW w:w="1160" w:type="dxa"/>
            <w:vAlign w:val="bottom"/>
          </w:tcPr>
          <w:p>
            <w:pPr>
              <w:spacing w:after="0"/>
              <w:rPr>
                <w:sz w:val="18"/>
                <w:szCs w:val="18"/>
                <w:color w:val="auto"/>
              </w:rPr>
            </w:pPr>
          </w:p>
        </w:tc>
        <w:tc>
          <w:tcPr>
            <w:tcW w:w="8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14</w:t>
            </w:r>
          </w:p>
        </w:tc>
        <w:tc>
          <w:tcPr>
            <w:tcW w:w="15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8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HOLDERS’ LISTS AND REPORTS BY TRUSTEE AND COMPANY</w:t>
            </w:r>
          </w:p>
        </w:tc>
        <w:tc>
          <w:tcPr>
            <w:tcW w:w="15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14.01.</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Company to Furnish Trustee Names and Addresses of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14.02.</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Preservation of Information: Communications to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14.03.</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Reports by the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14.04.</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Reports by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w:t>
            </w:r>
          </w:p>
        </w:tc>
      </w:tr>
      <w:tr>
        <w:trPr>
          <w:trHeight w:val="414"/>
        </w:trPr>
        <w:tc>
          <w:tcPr>
            <w:tcW w:w="116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15</w:t>
            </w:r>
          </w:p>
        </w:tc>
        <w:tc>
          <w:tcPr>
            <w:tcW w:w="15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1540" w:type="dxa"/>
            <w:vAlign w:val="bottom"/>
          </w:tcPr>
          <w:p>
            <w:pPr>
              <w:spacing w:after="0"/>
              <w:rPr>
                <w:sz w:val="20"/>
                <w:szCs w:val="20"/>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15.01.</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Incorporators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15.02.</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Provisions of Indenture for the Sole Benefit of Parties and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15.03.</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Successors and Assigns of Company Bound by Indenture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15.04.</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15.05.</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Officers’ Certificates and Opinions of Counsel: Statements to Be Contained Therein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15.06.</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Payments Due on Saturdays, Sundays and Holidays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15.07.</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Conflict of Any Provision of Indenture with Trust Indenture Act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15.08.</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New York Law to Govern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15.09.</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15.10.</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15.11.</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Counterparts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15.12.</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Effect of Headings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15.13.</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15.14.</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Patriot Act Compliance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15.15.</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Sanctions.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15.16.</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Force Majeure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AEROSPACE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and tie between Trust Indenture Act of 1939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 this Indenture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Trust Indenture Act</w:t>
            </w:r>
          </w:p>
        </w:tc>
        <w:tc>
          <w:tcPr>
            <w:tcW w:w="34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Indenture</w:t>
            </w:r>
          </w:p>
        </w:tc>
      </w:tr>
      <w:tr>
        <w:trPr>
          <w:trHeight w:val="245"/>
        </w:trPr>
        <w:tc>
          <w:tcPr>
            <w:tcW w:w="260" w:type="dxa"/>
            <w:vAlign w:val="bottom"/>
          </w:tcPr>
          <w:p>
            <w:pPr>
              <w:spacing w:after="0"/>
              <w:rPr>
                <w:sz w:val="21"/>
                <w:szCs w:val="21"/>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Section</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8"/>
        </w:trPr>
        <w:tc>
          <w:tcPr>
            <w:tcW w:w="260" w:type="dxa"/>
            <w:vAlign w:val="bottom"/>
            <w:tcBorders>
              <w:top w:val="single" w:sz="8" w:color="auto"/>
            </w:tcBorders>
          </w:tcPr>
          <w:p>
            <w:pPr>
              <w:spacing w:after="0"/>
              <w:rPr>
                <w:sz w:val="17"/>
                <w:szCs w:val="17"/>
                <w:color w:val="auto"/>
              </w:rPr>
            </w:pPr>
          </w:p>
        </w:tc>
        <w:tc>
          <w:tcPr>
            <w:tcW w:w="5480" w:type="dxa"/>
            <w:vAlign w:val="bottom"/>
            <w:tcBorders>
              <w:top w:val="single" w:sz="8" w:color="auto"/>
            </w:tcBorders>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8"/>
              </w:rPr>
              <w:t>§310(a)(l)</w:t>
            </w: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6.09</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(a)(2)</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(a)(3)</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(a)(4)</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(a)(5)</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§311(a)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(b)(2)</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14.03(a), 14.03(b)</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§312(a)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14.01, 14.02(a)</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14.02(b)</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(c)</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14.02(c)</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§313(a)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14.03(a)</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14.03(a)</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(c)</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14.03(a), 14.03(b)</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(d)</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14.03(b)</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§314(a)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(c)(1)</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(c)(2)</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(c)(3)</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(d)</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(e)</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§315(a)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6.06, 14.03(a)</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(c)</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(d)</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(d)(1)</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(d)(2)</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(d)(3)</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(e)</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§316(a)(l)(A)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8"/>
              </w:rPr>
              <w:t>(a)(1)(B)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5.02, 5.04</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(a)(2)</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(c)</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8"/>
              </w:rPr>
              <w:t>§317(a)(l)</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7"/>
              </w:rPr>
              <w:t>(a)(2)</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260" w:type="dxa"/>
            <w:vAlign w:val="bottom"/>
          </w:tcPr>
          <w:p>
            <w:pPr>
              <w:spacing w:after="0"/>
              <w:rPr>
                <w:sz w:val="18"/>
                <w:szCs w:val="18"/>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5"/>
              </w:rPr>
              <w:t>(b)</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260" w:type="dxa"/>
            <w:vAlign w:val="bottom"/>
          </w:tcPr>
          <w:p>
            <w:pPr>
              <w:spacing w:after="0"/>
              <w:rPr>
                <w:sz w:val="20"/>
                <w:szCs w:val="20"/>
                <w:color w:val="auto"/>
              </w:rPr>
            </w:pPr>
          </w:p>
        </w:tc>
        <w:tc>
          <w:tcPr>
            <w:tcW w:w="7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§318(a)</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15.07</w:t>
            </w:r>
          </w:p>
        </w:tc>
      </w:tr>
      <w:tr>
        <w:trPr>
          <w:trHeight w:val="45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This cross-reference table shall not, for any purpose, be deemed to be part of this Indenture.</w:t>
            </w:r>
          </w:p>
        </w:tc>
        <w:tc>
          <w:tcPr>
            <w:tcW w:w="34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INDENTURE, dated as of March 16, 2026, among Honeywell Aerospace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Deutsche Bank Trust Company Americas, a New York banking corporation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Indenture to provide for the issuance from time to time of its unsecured debentures, notes or other evidences of indebtedness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to be issued in one or more series as in this Indenture provided;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all things necessary to make the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purchases of the Securities by the Holders thereof, the Company and the Trustee mutually covenant and agree for the equal and proportionate benefit of the respective Holders from time to time of the Securities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0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Certain Terms Defined</w:t>
      </w:r>
      <w:r>
        <w:rPr>
          <w:rFonts w:ascii="Times New Roman" w:cs="Times New Roman" w:eastAsia="Times New Roman" w:hAnsi="Times New Roman"/>
          <w:sz w:val="18"/>
          <w:szCs w:val="18"/>
          <w:color w:val="auto"/>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has the meaning provided in Section 3.08(a).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the paying agent, transfer agent, registrar and calculation agent.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2" w:name="page13"/>
    <w:bookmarkEnd w:id="12"/>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as from time to time constituted, created under the Exchange Act, or, if at any time after the execution of this Indenture the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shall have become such pursuant to the applicable provisions of this Indenture, and thereafter “Company” shall mean such successor.</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its Chairman of the Board of Directors, a Vice Chairman of the Board of Directors, its President, a Vice President, its Chief Executive Officer, its Chief Financial Officer, its Treasurer, an Assistant Treasurer, its Controller, an Assistant Controller, its Secretary or an Assistant Secretary, and delivered to the Trustee.</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Tangible Assets</w:t>
      </w:r>
      <w:r>
        <w:rPr>
          <w:rFonts w:ascii="Times New Roman" w:cs="Times New Roman" w:eastAsia="Times New Roman" w:hAnsi="Times New Roman"/>
          <w:sz w:val="18"/>
          <w:szCs w:val="18"/>
          <w:color w:val="auto"/>
        </w:rPr>
        <w:t>” means the total amount of assets (less applicable reserves and other properly deductible items) after deducting therefrom (a) all current liabilities (excluding any thereof which are by their terms extendible or renewable at the option of the obligor thereon to a time more than 12 months after the time as of which the amount thereof is being computed), and (b) all goodwill, trade names trademarks, patents, unamortized debt discount and expense and other like intangible assets, all as set forth on the most recent balance sheet of the Company and its Consolidated Subsidiaries and computed in accordance with generally accepted accounting principles.</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Subsidiary</w:t>
      </w:r>
      <w:r>
        <w:rPr>
          <w:rFonts w:ascii="Times New Roman" w:cs="Times New Roman" w:eastAsia="Times New Roman" w:hAnsi="Times New Roman"/>
          <w:sz w:val="18"/>
          <w:szCs w:val="18"/>
          <w:color w:val="auto"/>
        </w:rPr>
        <w:t>” means, at any time, any Subsidiary the accounts of which are required at that time to be included on a consolidated basis, in accordance with generally accepted accounting principles, in the consolidated financial statements of the Company, assuming that such financial statements are prepared in accordance with such generally accepted accounting principles.</w:t>
      </w:r>
    </w:p>
    <w:p>
      <w:pPr>
        <w:spacing w:after="0" w:line="171"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corporate trust office of the Trustee at which the corporate trust business of the Trustee shall, at any particular time, be principally administered, which office is, at the date as of which this Indenture is dated, located at 1 Columbus Circle, Trust and Securities Services, 4th Floor, Mail stop: NYC01-0417, New York, NY 10019, Attention: Corporates Team, AA8810.</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means any notes, bonds, debentures or other similar evidences of indebtedness for money borrowed.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its nominees, and their respective successors.</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condition specified as such in Section 5.01 which shall have continued for the period of time, if any, therein designated.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xml:space="preserve">” means indebtedness of the Company or a Subsidiary of the Company owning Restricted Property maturing by its terms more than one year after the creation thereof and ranking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Securities.</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a Security evidencing all or part of a series of Securities issued to the Depositary in accordance with Section 3.05 and bearing the appropriate legend prescribed in Section 3.06.</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Securities</w:t>
      </w:r>
      <w:r>
        <w:rPr>
          <w:rFonts w:ascii="Times New Roman" w:cs="Times New Roman" w:eastAsia="Times New Roman" w:hAnsi="Times New Roman"/>
          <w:sz w:val="18"/>
          <w:szCs w:val="18"/>
          <w:color w:val="auto"/>
        </w:rPr>
        <w:t>” means direct obligations of, or obligations guaranteed by, the United States of America, and the payment for which the United States pledges its full faith and credit.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or other similar terms mean the registered holder of any Security.</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when used with respect to any Security, the Stated Maturity of an installment of interest on such Security.</w:t>
      </w:r>
    </w:p>
    <w:p>
      <w:pPr>
        <w:spacing w:after="0" w:line="225"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financial condition or results of operations of the Company and its Consolidated Subsidiaries, taken as a whole.</w:t>
      </w:r>
    </w:p>
    <w:p>
      <w:pPr>
        <w:spacing w:after="0" w:line="155" w:lineRule="exact"/>
        <w:rPr>
          <w:sz w:val="20"/>
          <w:szCs w:val="20"/>
          <w:color w:val="auto"/>
        </w:rPr>
      </w:pPr>
    </w:p>
    <w:p>
      <w:pPr>
        <w:jc w:val="both"/>
        <w:ind w:right="6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any mortgage, lien, pledge or other encumbrance.</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has the meaning provided in Section 6.06.</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the Chairman of the Board of Directors, the President, a Vice President, the Treasurer, an Assistant Treasurer or the Secretary of the Corporation, and delivered to the Trustee.</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who may be other counsel satisfactory to the Trustee.</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means, when used with reference to Securities, subject to the provisions of Article 7, as of any particular time, all Securities authenticated, and delivered by the Trustee under this Indenture, except</w:t>
      </w:r>
    </w:p>
    <w:p>
      <w:pPr>
        <w:spacing w:after="0" w:line="64"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130"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portions thereof, for the payment or redemption of which moneys in the necessary amount shall have been deposited in trust with the Trustee or with any Paying Agent (other than the Company) or shall have been set aside, segregated and held in trust by the Company (if the Company shall act as Paying Agent), provided that if such Securities are to be redeemed prior to the maturity thereof, notice of such redemption shall have been given as herein provided, or provision satisfactory to a Responsible Officer of the Trustee shall have been made for giving such notice;</w:t>
      </w:r>
    </w:p>
    <w:p>
      <w:pPr>
        <w:spacing w:after="0" w:line="88"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substitution for which other Securities shall have been authenticated and delivered, or which shall have been paid, pursuant to the terms of Section 3.09 (unless proof satisfactory to the Trustee and the Company is presented that any of such Securities is held by a person in whose hands such Security is a legal, valid and binding obligation of the Company);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have been defeased pursuant to Section 12.01.</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any Person authorized by the Company to pay the principal of (and premium, if any) and interest, if any, on any Securities on behalf of the Company. The Company may act as Paying Agent with respect to any Securities issued hereunder.</w:t>
      </w:r>
    </w:p>
    <w:p>
      <w:pPr>
        <w:spacing w:after="0" w:line="15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Office</w:t>
      </w:r>
      <w:r>
        <w:rPr>
          <w:rFonts w:ascii="Times New Roman" w:cs="Times New Roman" w:eastAsia="Times New Roman" w:hAnsi="Times New Roman"/>
          <w:sz w:val="18"/>
          <w:szCs w:val="18"/>
          <w:color w:val="auto"/>
        </w:rPr>
        <w:t>” means, when used with respect to the Securities of or within any series, the place or places where the principal of (and premium, if any) and interest on such Securities are payable as specified as contemplated by Sections 3.01 and 4.01.</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stock company, business trust, trust, unincorporated association joint venture or other entity or organization, including a government or political subdivision or an agency or instrumentality thereof,</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5" w:name="page16"/>
    <w:bookmarkEnd w:id="15"/>
    <w:p>
      <w:pPr>
        <w:ind w:right="10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Physical Securities</w:t>
      </w:r>
      <w:r>
        <w:rPr>
          <w:rFonts w:ascii="Times New Roman" w:cs="Times New Roman" w:eastAsia="Times New Roman" w:hAnsi="Times New Roman"/>
          <w:sz w:val="18"/>
          <w:szCs w:val="18"/>
          <w:color w:val="auto"/>
        </w:rPr>
        <w:t>” means Securities issued pursuant to Section 3.02 in exchange for interest in the Global Security or pursuant to Section 3.08(b) in registered form substantially in the form hereinabove recited.</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means, when used with respect to any Security, the amount of principal of such Security that could then be declared due and payable pursuant to Section 5.02.</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means, when used with respect to any Security to be redeemed, the price (including premium, if any) at which it is to be redeemed pursuant to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has the meaning provided in Section 3.07.</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means, for the interest payable on any Interest Payment Date on the Securities of any series, the date specified for that purpose as contemplated by Section 3.01.</w:t>
      </w:r>
    </w:p>
    <w:p>
      <w:pPr>
        <w:spacing w:after="0" w:line="15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Office of the Trustee including any vice president, any trust officer, any assistant vice president, any assistant 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Property</w:t>
      </w:r>
      <w:r>
        <w:rPr>
          <w:rFonts w:ascii="Times New Roman" w:cs="Times New Roman" w:eastAsia="Times New Roman" w:hAnsi="Times New Roman"/>
          <w:sz w:val="18"/>
          <w:szCs w:val="18"/>
          <w:color w:val="auto"/>
        </w:rPr>
        <w:t>” means (a) any property of the Company at the time of issuance of the Securities hereunder located within the United States of America which is property which, in the opinion of the Company’s Board of Directors, is a principal manufacturing property or (b) any shares of capital stock or indebtedness of any Subsidiary owning any such property.</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arrangement with any Person (other than the Company or a Subsidiary of the Company), or to which any such Person is a party, providing for the leasing to the Company or a Subsidiary of the Company owning Restricted Property for a period of more than three years of any Restricted Property owned at the date set forth in the first paragraph of this instrument, which has been or is to be sold or transferred by the Company or such Subsidiary owning Restricted Property to such Person, or to any other Person (other than the Company or a Subsidiary of the Company) to which funds have been or are to be advanced by such Person on the security of the leased property.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Security or Securities, as the case may be, authenticated and delivered under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has the meaning provided in Section 3.07.</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spacing w:after="0" w:line="182"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as in force at the date as of which this Indenture was originally executed, and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when used in respect of an indenture supplemental hereto, such Act as in force at the time such indenture supplemental hereto becomes effective.</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that if at any time there is more than one such Person, “Trustee” as used with respect to the Securities of any series shall mean only the Trustee with respect to Securities of that series.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Defined in Term</w:t>
            </w:r>
          </w:p>
        </w:tc>
      </w:tr>
      <w:tr>
        <w:trPr>
          <w:trHeight w:val="173"/>
        </w:trPr>
        <w:tc>
          <w:tcPr>
            <w:tcW w:w="2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37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r>
      <w:tr>
        <w:trPr>
          <w:trHeight w:val="365"/>
        </w:trPr>
        <w:tc>
          <w:tcPr>
            <w:tcW w:w="2720" w:type="dxa"/>
            <w:vAlign w:val="bottom"/>
          </w:tcPr>
          <w:p>
            <w:pPr>
              <w:spacing w:after="0"/>
              <w:rPr>
                <w:sz w:val="24"/>
                <w:szCs w:val="24"/>
                <w:color w:val="auto"/>
              </w:rPr>
            </w:pPr>
          </w:p>
        </w:tc>
        <w:tc>
          <w:tcPr>
            <w:tcW w:w="37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SECURITY FORMS</w:t>
      </w:r>
    </w:p>
    <w:p>
      <w:pPr>
        <w:spacing w:after="0" w:line="20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Forms Generally</w:t>
      </w:r>
      <w:r>
        <w:rPr>
          <w:rFonts w:ascii="Times New Roman" w:cs="Times New Roman" w:eastAsia="Times New Roman" w:hAnsi="Times New Roman"/>
          <w:sz w:val="18"/>
          <w:szCs w:val="18"/>
          <w:color w:val="auto"/>
        </w:rPr>
        <w:t>. The Securities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 herewith, be determined by the officers executing such Securities, as evidenced by their execution of the Securities.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3.02 for the authentication and delivery of such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Trustee’s certificate of authentication on all Securities shall be in substantially the form set forth in this Article.</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Trustee’s Certificate of Authentication</w:t>
      </w:r>
      <w:r>
        <w:rPr>
          <w:rFonts w:ascii="Times New Roman" w:cs="Times New Roman" w:eastAsia="Times New Roman" w:hAnsi="Times New Roman"/>
          <w:sz w:val="18"/>
          <w:szCs w:val="18"/>
          <w:color w:val="auto"/>
        </w:rPr>
        <w:t>. The Trustee’s certificate of authentication shall be substantially in the following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Trust Company Americas,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ISSUE, EXECUTION, FORM AND REGISTRATION OF SECURITIES</w:t>
      </w:r>
    </w:p>
    <w:p>
      <w:pPr>
        <w:spacing w:after="0" w:line="20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issued from time to time in one or more series. Prior to the issuance of Securities of any series, there shall be established in or pursuant to (i) a Board Resolution) action taken pursuant to a Board Resolution and (subject to Sections 3.03 and 3.04) set forth, or determined in the manner provided, in an Officers’ Certificate, or (iii) one or more indentures supplemental hereto:</w:t>
      </w:r>
    </w:p>
    <w:p>
      <w:pPr>
        <w:spacing w:after="0" w:line="68" w:lineRule="exact"/>
        <w:rPr>
          <w:sz w:val="20"/>
          <w:szCs w:val="20"/>
          <w:color w:val="auto"/>
        </w:rPr>
      </w:pPr>
    </w:p>
    <w:p>
      <w:pPr>
        <w:ind w:left="5460" w:right="1600" w:hanging="4601"/>
        <w:spacing w:after="0" w:line="454"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the series from all other Securities); 8</w:t>
      </w:r>
    </w:p>
    <w:p>
      <w:pPr>
        <w:sectPr>
          <w:pgSz w:w="11900" w:h="16838" w:orient="portrait"/>
          <w:cols w:equalWidth="0" w:num="1">
            <w:col w:w="10980"/>
          </w:cols>
          <w:pgMar w:left="440" w:top="270" w:right="479" w:bottom="1440" w:gutter="0" w:footer="0" w:header="0"/>
        </w:sectPr>
      </w:pPr>
    </w:p>
    <w:bookmarkStart w:id="18" w:name="page19"/>
    <w:bookmarkEnd w:id="18"/>
    <w:p>
      <w:pPr>
        <w:ind w:right="40" w:firstLine="419"/>
        <w:spacing w:after="0" w:line="26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3.03, 3.08, 3.10, 9.05 or 11.02);</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premium, if any, on the Securities of the series is payable or the method of determination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if any, on Securities of the series shall be payable;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Securities may be exchanged or transferred;</w:t>
      </w:r>
    </w:p>
    <w:p>
      <w:pPr>
        <w:spacing w:after="0" w:line="11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w:t>
      </w:r>
    </w:p>
    <w:p>
      <w:pPr>
        <w:spacing w:after="0" w:line="68"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option, and, if other than as provided in Section 11.02, the manner in which the particular Securities of such series (if less than all Securities of such series are to be redeemed) are to be selected for redemption;’    -</w:t>
      </w:r>
    </w:p>
    <w:p>
      <w:pPr>
        <w:spacing w:after="0" w:line="54" w:lineRule="exact"/>
        <w:rPr>
          <w:sz w:val="20"/>
          <w:szCs w:val="20"/>
          <w:color w:val="auto"/>
        </w:rPr>
      </w:pPr>
    </w:p>
    <w:p>
      <w:pPr>
        <w:jc w:val="both"/>
        <w:ind w:right="120" w:firstLine="419"/>
        <w:spacing w:after="0" w:line="261"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integral multiples of $1,000 in excess thereof, the denominations in which Securities of the series shall be issuable;</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70" w:right="499" w:bottom="1440" w:gutter="0" w:footer="0" w:header="0"/>
        </w:sectPr>
      </w:pPr>
    </w:p>
    <w:bookmarkStart w:id="19" w:name="page20"/>
    <w:bookmarkEnd w:id="19"/>
    <w:p>
      <w:pPr>
        <w:ind w:right="20" w:firstLine="419"/>
        <w:spacing w:after="0" w:line="258" w:lineRule="auto"/>
        <w:tabs>
          <w:tab w:leader="none" w:pos="7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payments of principal of (and premium, if any) and interest, if any, on the Securities of the series are to be made, at the election of the Company or a Securityholder,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spacing w:after="0" w:line="75" w:lineRule="exact"/>
        <w:rPr>
          <w:rFonts w:ascii="Times New Roman" w:cs="Times New Roman" w:eastAsia="Times New Roman" w:hAnsi="Times New Roman"/>
          <w:sz w:val="18"/>
          <w:szCs w:val="18"/>
          <w:color w:val="auto"/>
        </w:rPr>
      </w:pPr>
    </w:p>
    <w:p>
      <w:pPr>
        <w:jc w:val="both"/>
        <w:ind w:right="160" w:firstLine="419"/>
        <w:spacing w:after="0" w:line="261"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(and premium, if any) and interest, if any, on the Securities of the series shall be determined with reference to any commodities, currencies or indices, 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spacing w:after="0" w:line="71" w:lineRule="exact"/>
        <w:rPr>
          <w:rFonts w:ascii="Times New Roman" w:cs="Times New Roman" w:eastAsia="Times New Roman" w:hAnsi="Times New Roman"/>
          <w:sz w:val="18"/>
          <w:szCs w:val="18"/>
          <w:color w:val="auto"/>
        </w:rPr>
      </w:pPr>
    </w:p>
    <w:p>
      <w:pPr>
        <w:ind w:right="260" w:firstLine="419"/>
        <w:spacing w:after="0" w:line="282"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5.02 or the method by which such portion shall be determined;</w:t>
      </w:r>
    </w:p>
    <w:p>
      <w:pPr>
        <w:spacing w:after="0" w:line="53" w:lineRule="exact"/>
        <w:rPr>
          <w:rFonts w:ascii="Times New Roman" w:cs="Times New Roman" w:eastAsia="Times New Roman" w:hAnsi="Times New Roman"/>
          <w:sz w:val="18"/>
          <w:szCs w:val="18"/>
          <w:color w:val="auto"/>
        </w:rPr>
      </w:pPr>
    </w:p>
    <w:p>
      <w:pPr>
        <w:ind w:right="320" w:firstLine="419"/>
        <w:spacing w:after="0" w:line="282"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of or additions to the Events of Default set forth in Section 5.01 or the covenants of the Company set forth herein with respect to Securities of the series;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or both of Section 12.02 and Section 12.03 shall be inapplicable to the Securities of the series (provided that if no such inapplicability shall be specified, then both Section 12.02 and Section 12.03 shall be applicable to the Securities of the series);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Registrar and any Paying Agent;</w:t>
      </w:r>
    </w:p>
    <w:p>
      <w:pPr>
        <w:spacing w:after="0" w:line="117" w:lineRule="exact"/>
        <w:rPr>
          <w:rFonts w:ascii="Times New Roman" w:cs="Times New Roman" w:eastAsia="Times New Roman" w:hAnsi="Times New Roman"/>
          <w:sz w:val="18"/>
          <w:szCs w:val="18"/>
          <w:color w:val="auto"/>
        </w:rPr>
      </w:pPr>
    </w:p>
    <w:p>
      <w:pPr>
        <w:ind w:right="20" w:firstLine="419"/>
        <w:spacing w:after="0" w:line="258"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shall be issued in whole or in part in global form, (i) the Depositary for such Global Securities, (ii) the form of any legend in addition to or in lieu of that in Section 3.07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Section 3.08, the circumstances under which any such exchange may occur; and</w:t>
      </w:r>
    </w:p>
    <w:p>
      <w:pPr>
        <w:spacing w:after="0" w:line="75"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 except as permitted by Section 9.01, but which may modify or delete any provision of this Indenture insofar as it applies to such series), including any terms which may be required by or advisable under the laws of the United States of America or regulations thereunder or advisable (as determined by the Company) in connection with the marketing of Securities of the series.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20" w:name="page21"/>
    <w:bookmarkEnd w:id="20"/>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shall be substantially identical except as to denomination and except as may otherwise be provided (i) by a Board Resolution, (ii) by action taken pursuant to a Board Resolution and (subject to Sections 3.02-3.05)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8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Authentication and Delivery of Securities</w:t>
      </w:r>
      <w:r>
        <w:rPr>
          <w:rFonts w:ascii="Times New Roman" w:cs="Times New Roman" w:eastAsia="Times New Roman" w:hAnsi="Times New Roman"/>
          <w:sz w:val="18"/>
          <w:szCs w:val="18"/>
          <w:color w:val="auto"/>
        </w:rPr>
        <w:t>. Upon the execution and delivery of this Indenture, or from time to time thereafter, Securities may be executed by the Company and delivered to the Trustee for 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of Securities</w:t>
      </w:r>
      <w:r>
        <w:rPr>
          <w:rFonts w:ascii="Times New Roman" w:cs="Times New Roman" w:eastAsia="Times New Roman" w:hAnsi="Times New Roman"/>
          <w:sz w:val="18"/>
          <w:szCs w:val="18"/>
          <w:color w:val="auto"/>
        </w:rPr>
        <w:t>. The Securities of each series shall be executed on behalf of the Company by its Chairman of the Board of Directors or any Vice Chairman of the Board of Directors, its President or any Vice President (whether or not designated by a number or numbers or a word or words added before or after the title “Vice President”), its Chief Executive Officer, its Chief Financial Officer, its Treasurer, an Assistant Treasurer, its Controller, an Assistant Controller, its Secretary or an Assistant Secretary. The signatures on any such Securities may be the electronic, manual or facsimile signatures of the present or any future such officers. In case any officer of the Company who shall have signed any of the Securities shall cease to be such officer before the Security so signed shall be authenticated and delivered by the Trustee or disposed of by the Company, such Security nevertheless may be authenticated and delivered or disposed of as though the person who signed such Security had not ceased to be such officer of the Company, as the case may be; and any Security may be signed on behalf of the Company by such persons as, at the actual date of the execution of such Security shall be the proper officers of the Company, as the case may be, although at the date of the execution and delivery of this Indenture any such person was not such officer.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i w:val="1"/>
          <w:iCs w:val="1"/>
          <w:color w:val="auto"/>
        </w:rPr>
        <w:t>Certificate of Authentication</w:t>
      </w:r>
      <w:r>
        <w:rPr>
          <w:rFonts w:ascii="Times New Roman" w:cs="Times New Roman" w:eastAsia="Times New Roman" w:hAnsi="Times New Roman"/>
          <w:sz w:val="18"/>
          <w:szCs w:val="18"/>
          <w:color w:val="auto"/>
        </w:rPr>
        <w:t>. Only such Securities as shall bear thereon a certificate of authentication substantially in the form hereinabove recited, executed by the Trustee by electronic or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Denomination and Date of Securities:</w:t>
      </w:r>
      <w:r>
        <w:rPr>
          <w:rFonts w:ascii="Times New Roman" w:cs="Times New Roman" w:eastAsia="Times New Roman" w:hAnsi="Times New Roman"/>
          <w:sz w:val="18"/>
          <w:szCs w:val="18"/>
          <w:color w:val="auto"/>
        </w:rPr>
        <w:t xml:space="preserve"> Payments of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The Securities shall be issuable in such denominations as shall be specified as contemplated by Section 3.01. In the absence of any such provisions with respect to the Securities, the Securities shall be issuable in denominations of $1,000 and any integral multiple thereof. The Securities shall be numbered, lettered, or otherwise distinguished in such manner or in accordance with such plans as the officers of the Company executing the same may determine with the approval of the Trustee.</w:t>
      </w:r>
    </w:p>
    <w:p>
      <w:pPr>
        <w:spacing w:after="0" w:line="18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of the Securities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Section 3.06, or with the rules of any securities market in which the Securities are admitted to trading, or to conform to general usage.</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Each Security shall be dated the date of its authentication, shall bear interest from the applicable date and shall be payable on the dates specified on the face of the form of Security above. Except as otherwise specified as contemplated by Section 3.01 for Securities of any series, interest on the Securities of each series shall be computed on the basis of a 360-day year of twelve 30-day months.</w:t>
      </w:r>
    </w:p>
    <w:p>
      <w:pPr>
        <w:spacing w:after="0" w:line="68" w:lineRule="exact"/>
        <w:rPr>
          <w:sz w:val="20"/>
          <w:szCs w:val="20"/>
          <w:color w:val="auto"/>
        </w:rPr>
      </w:pPr>
    </w:p>
    <w:p>
      <w:pPr>
        <w:ind w:right="160" w:firstLine="436"/>
        <w:spacing w:after="0" w:line="274" w:lineRule="auto"/>
        <w:tabs>
          <w:tab w:leader="none" w:pos="68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Securities.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spacing w:after="0" w:line="64" w:lineRule="exact"/>
        <w:rPr>
          <w:rFonts w:ascii="Times New Roman" w:cs="Times New Roman" w:eastAsia="Times New Roman" w:hAnsi="Times New Roman"/>
          <w:sz w:val="17"/>
          <w:szCs w:val="17"/>
          <w:color w:val="auto"/>
        </w:rPr>
      </w:pPr>
    </w:p>
    <w:p>
      <w:pPr>
        <w:ind w:right="40" w:firstLine="436"/>
        <w:spacing w:after="0" w:line="261"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shall default in the payment of the interest due on such Interest Payment Date, in which case such defaulted interest, plus (to the extent lawful) any interest payable 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8" w:right="459" w:bottom="1440" w:gutter="0" w:footer="0" w:header="0"/>
        </w:sectPr>
      </w:pPr>
    </w:p>
    <w:bookmarkStart w:id="22" w:name="page23"/>
    <w:bookmarkEnd w:id="2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to the Holders of Securities not less than 15 days preceding such subsequent record date.</w:t>
      </w:r>
    </w:p>
    <w:p>
      <w:pPr>
        <w:spacing w:after="0" w:line="174"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Global Security Legend</w:t>
      </w:r>
      <w:r>
        <w:rPr>
          <w:rFonts w:ascii="Times New Roman" w:cs="Times New Roman" w:eastAsia="Times New Roman" w:hAnsi="Times New Roman"/>
          <w:sz w:val="18"/>
          <w:szCs w:val="18"/>
          <w:color w:val="auto"/>
        </w:rPr>
        <w:t>.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spacing w:after="0" w:line="67" w:lineRule="exact"/>
        <w:rPr>
          <w:sz w:val="20"/>
          <w:szCs w:val="20"/>
          <w:color w:val="auto"/>
        </w:rPr>
      </w:pPr>
    </w:p>
    <w:p>
      <w:pPr>
        <w:ind w:left="440" w:right="240"/>
        <w:spacing w:after="0" w:line="289"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50"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81"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NOMINEES OF THE DEPOSITORY TRUST COMPANY OR TO A SUCCESSOR THEREOF OR SUCH SUCCESSOR’S NOMINEE.</w:t>
      </w:r>
    </w:p>
    <w:p>
      <w:pPr>
        <w:spacing w:after="0" w:line="160"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3.07. </w:t>
      </w:r>
      <w:r>
        <w:rPr>
          <w:rFonts w:ascii="Times New Roman" w:cs="Times New Roman" w:eastAsia="Times New Roman" w:hAnsi="Times New Roman"/>
          <w:sz w:val="17"/>
          <w:szCs w:val="17"/>
          <w:i w:val="1"/>
          <w:iCs w:val="1"/>
          <w:color w:val="auto"/>
        </w:rPr>
        <w:t>Registration. Transfer and Exchange</w:t>
      </w:r>
      <w:r>
        <w:rPr>
          <w:rFonts w:ascii="Times New Roman" w:cs="Times New Roman" w:eastAsia="Times New Roman" w:hAnsi="Times New Roman"/>
          <w:sz w:val="17"/>
          <w:szCs w:val="17"/>
          <w:color w:val="auto"/>
        </w:rPr>
        <w:t>. The Securities are issuable only in registered form. The Company will keep at each office or agency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for each series of Securities a register or registers (the “</w:t>
      </w:r>
      <w:r>
        <w:rPr>
          <w:rFonts w:ascii="Times New Roman" w:cs="Times New Roman" w:eastAsia="Times New Roman" w:hAnsi="Times New Roman"/>
          <w:sz w:val="17"/>
          <w:szCs w:val="17"/>
          <w:b w:val="1"/>
          <w:bCs w:val="1"/>
          <w:color w:val="auto"/>
        </w:rPr>
        <w:t>Security Registers(s</w:t>
      </w:r>
      <w:r>
        <w:rPr>
          <w:rFonts w:ascii="Times New Roman" w:cs="Times New Roman" w:eastAsia="Times New Roman" w:hAnsi="Times New Roman"/>
          <w:sz w:val="17"/>
          <w:szCs w:val="17"/>
          <w:color w:val="auto"/>
        </w:rPr>
        <w:t>)”) in which, subject to such reasonable regulations as it may prescribe, it will register, and will register the transfer of, Securities as in this Article provided.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3" w:name="page24"/>
    <w:bookmarkEnd w:id="23"/>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due presentation for registration of transfer of any Security of any series at each such office or agency, the Company shall execute and the Trustee shall authenticate and make available for delivery in the name of the designated transferee or transferees a new Security or Securities of the same series, in each case, of any authorized denominations and of a like aggregate Principal Amount.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and the Trustee shall authenticate and make available for delivery, the Securities which the Holder making the exchange is entitled to receive.</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Trustee, and any agent of the Company shall treat the person in whose name the Security is registered as the owner thereof for all purposes whether or not the Security shall be overdue, and neither the Company,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Depositary (or its nominee) and that ownership of a beneficial interest in the Security shall be required to be reflected in a book entry. When Securities are presented to the Registrar or a co-Registrar with a 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and the Trustee shall authenticate Securities at the Registrar’s request.</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transfer agent or the security registrar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Section 3.11, 9.05 or 11.03). No service charge to any Holder shall be made for any such transaction.</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not be required to exchange or register a transfer of (a) any Securities of any series for a period of 15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60"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Book-Entry Provisions for Global Securities</w:t>
      </w:r>
      <w:r>
        <w:rPr>
          <w:rFonts w:ascii="Times New Roman" w:cs="Times New Roman" w:eastAsia="Times New Roman" w:hAnsi="Times New Roman"/>
          <w:sz w:val="18"/>
          <w:szCs w:val="18"/>
          <w:color w:val="auto"/>
        </w:rPr>
        <w:t>. (a) Each Global Security initially shall (i) be registered in the name of the Depositary for such Global Securities or the nominee of such Depositary, (ii) be delivered to the Trustee as custodian for such Depositary and (iii) bear legends as set forth in Section 3.06.</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78" w:lineRule="exact"/>
        <w:rPr>
          <w:sz w:val="20"/>
          <w:szCs w:val="20"/>
          <w:color w:val="auto"/>
        </w:rPr>
      </w:pPr>
    </w:p>
    <w:p>
      <w:pPr>
        <w:ind w:right="20" w:firstLine="436"/>
        <w:spacing w:after="0" w:line="253"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and the Trustee, upon receipt of a Company Order for the authentication and delivery of definitive Securities of such series of like tenor, will authenticate and deliver Securities of such series of like tenor and terms in definitive form in an aggregate Principal Amount equal to the Principal Amount of the Global Security or Securities of such series in exchange for such Global Security or Securities. Interests of beneficial owners in a Global Security may be transferred in accordance with the rules and procedures of the Depositary. 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days of such notice, or (B) ceases to be qualified to serve as Depositary and a successor depositary is not appointed by the Company within 90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w:t>
      </w:r>
    </w:p>
    <w:p>
      <w:pPr>
        <w:spacing w:after="0" w:line="79"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5" w:name="page26"/>
    <w:bookmarkEnd w:id="25"/>
    <w:p>
      <w:pPr>
        <w:ind w:right="240" w:firstLine="436"/>
        <w:spacing w:after="0" w:line="261"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transfer of a portion of the beneficial interests in a Global Security to beneficial owners pursuant to paragraph (b) of this Section 3.08,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an entire Global Security to beneficial owners pursuant to paragraph (b) of this Section, such Global Security shall be deemed to be surrendered to the Trustee for cancellation, and the Company shall execute, and the Trustee shall authenticate and deliver, to each beneficial owner identified by the Depositary in exchange for its beneficial interest in such Global Security, an equal Principal Amount of Physical Securities of authorized denominations.</w:t>
      </w:r>
    </w:p>
    <w:p>
      <w:pPr>
        <w:spacing w:after="0" w:line="71" w:lineRule="exact"/>
        <w:rPr>
          <w:rFonts w:ascii="Times New Roman" w:cs="Times New Roman" w:eastAsia="Times New Roman" w:hAnsi="Times New Roman"/>
          <w:sz w:val="18"/>
          <w:szCs w:val="18"/>
          <w:color w:val="auto"/>
        </w:rPr>
      </w:pPr>
    </w:p>
    <w:p>
      <w:pPr>
        <w:ind w:right="160" w:firstLine="436"/>
        <w:spacing w:after="0" w:line="312" w:lineRule="auto"/>
        <w:tabs>
          <w:tab w:leader="none" w:pos="6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38"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Mutilated, Defaced, Destroyed, Lost and Stolen Securities</w:t>
      </w:r>
      <w:r>
        <w:rPr>
          <w:rFonts w:ascii="Times New Roman" w:cs="Times New Roman" w:eastAsia="Times New Roman" w:hAnsi="Times New Roman"/>
          <w:sz w:val="18"/>
          <w:szCs w:val="18"/>
          <w:color w:val="auto"/>
        </w:rPr>
        <w:t>. In case any temporary or definitive Security shall become mutilated, defaced or be apparently destroyed, lost or stolen, the Company in its discretion may execute, and upon the written request of any officer of the Company and delivery to the Trustee of all documents and certificates as required by this Indenture, the Trustee shall authenticate and make available for delivery, a new Security of the same series bearing a number not contemporaneously outstanding, in exchange and substitution for the mutilated or defaced Security, or in lieu of and substitution for the Security so apparently destroyed, lost or stolen. In every case the applicant for a substitute Security shall furnish to the Company and the Trustee and any agent of the Company or the Trustee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and to the Trustee and any agent of the Company or the Trustee such security or indemnity as any of them may require to save each of them harmless from all risks, however remote, and, in every case of apparent destruction, loss or theft, the applicant shall also furnish to the Company and the Trustee and any agent of the Company or the Trustee evidence to their satisfaction of the apparent destruction, loss or theft of such Security and of the ownership thereof.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substitute Security issued pursuant to the provisions of this Section by virtue of the fact that any Security is apparently destroyed, lost or stolen shall constitute an additional contractual obligation of the Company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0"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Cancellation of Securities</w:t>
      </w:r>
      <w:r>
        <w:rPr>
          <w:rFonts w:ascii="Times New Roman" w:cs="Times New Roman" w:eastAsia="Times New Roman" w:hAnsi="Times New Roman"/>
          <w:sz w:val="18"/>
          <w:szCs w:val="18"/>
          <w:color w:val="auto"/>
        </w:rPr>
        <w:t>. All Securities surrendered for payment, redemption, registration of transfer or exchange, if surrendered to the Company or any agent of the Company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in accordance with its customary procedures. If the Company shall acquire any of the Securities, such acquisition shall not operate as a redemption or satisfaction of the indebtedness represented by such Securities unless and until the same are delivered to the Trustee for cancellation.</w:t>
      </w:r>
    </w:p>
    <w:p>
      <w:pPr>
        <w:spacing w:after="0" w:line="18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but with such omissions, insertions and variations as may be appropriate for temporary Securities, all as may be determined by the Company with the concurrence of the Trustee. Temporary Securities may contain such reference to any provisions of this Indenture as may be appropriate. Every temporary Security shall be executed by the Company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Section 4.02, and upon delivery to the Trustee of all documents and certificates as required by this Indenture, the Trustee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authenticate and make available for delivery in exchange for such temporary Securities a like aggregate principal amount of definitive Securities of such series of authorized denominations. Until so exchanged the temporary Securities of such series shall be entitled to the same benefits under this Indenture as definitive Securities of such series.</w:t>
      </w:r>
    </w:p>
    <w:p>
      <w:pPr>
        <w:spacing w:after="0" w:line="174" w:lineRule="exact"/>
        <w:rPr>
          <w:sz w:val="20"/>
          <w:szCs w:val="20"/>
          <w:color w:val="auto"/>
        </w:rPr>
      </w:pPr>
    </w:p>
    <w:p>
      <w:pPr>
        <w:ind w:right="2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CUSIP and ISIN Numbers</w:t>
      </w:r>
      <w:r>
        <w:rPr>
          <w:rFonts w:ascii="Times New Roman" w:cs="Times New Roman" w:eastAsia="Times New Roman" w:hAnsi="Times New Roman"/>
          <w:sz w:val="18"/>
          <w:szCs w:val="18"/>
          <w:color w:val="auto"/>
        </w:rPr>
        <w:t>. The Company in issuing the Securities of any series may use a “CUSIP” and “ISIN” number (if then generally in use), and, if so, the Trustee shall use the CUSIP numbers or ISIN numbers, as the case may be, in notices of redemption or exchange as a convenience to Holders of such series; provided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CERTAIN COVENANTS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w:t>
      </w:r>
      <w:r>
        <w:rPr>
          <w:rFonts w:ascii="Times New Roman" w:cs="Times New Roman" w:eastAsia="Times New Roman" w:hAnsi="Times New Roman"/>
          <w:sz w:val="18"/>
          <w:szCs w:val="18"/>
          <w:color w:val="auto"/>
        </w:rPr>
        <w:t>. Premium and Interest on Securities. The Company, for the benefit of each series of the Securities, will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Eastern Time on the payment date, pay or cause to be paid the principal of and any premium and interest on the Securities of that series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of such Securities and this Indenture. The Company, no later than 10:00 a.m. Eastern Time on the Business Day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each payment date, shall procure that the bank effecting payment for it confirms by authenticated SWIFT message to the Paying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instructions relating to such payment. The Paying Agent shall not be bound to make payment until immediately available and cleared funds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requisite amount have been received from the Company.</w:t>
      </w:r>
    </w:p>
    <w:p>
      <w:pPr>
        <w:spacing w:after="0" w:line="20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 appoints the Trustee at its office or agency as its agent to receive all such presentations, surrenders, notices and demands.</w:t>
      </w:r>
    </w:p>
    <w:p>
      <w:pPr>
        <w:spacing w:after="0" w:line="18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8" w:name="page29"/>
    <w:bookmarkEnd w:id="28"/>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Times New Roman" w:cs="Times New Roman" w:eastAsia="Times New Roman" w:hAnsi="Times New Roman"/>
          <w:sz w:val="17"/>
          <w:szCs w:val="17"/>
          <w:i w:val="1"/>
          <w:iCs w:val="1"/>
          <w:color w:val="auto"/>
        </w:rPr>
        <w:t>Money for Securities Payments to be Held in Trust</w:t>
      </w:r>
      <w:r>
        <w:rPr>
          <w:rFonts w:ascii="Times New Roman" w:cs="Times New Roman" w:eastAsia="Times New Roman" w:hAnsi="Times New Roman"/>
          <w:sz w:val="17"/>
          <w:szCs w:val="17"/>
          <w:color w:val="auto"/>
        </w:rPr>
        <w:t>. (a)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58" w:lineRule="exact"/>
        <w:rPr>
          <w:sz w:val="20"/>
          <w:szCs w:val="20"/>
          <w:color w:val="auto"/>
        </w:rPr>
      </w:pPr>
    </w:p>
    <w:p>
      <w:pPr>
        <w:ind w:right="80" w:firstLine="436"/>
        <w:spacing w:after="0" w:line="261"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71"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will agree with the Trustee, subject to the provisions of this Section 4.03, that such Paying Agent will (i) comply with the provisions of the Trust Indenture Act applicable to it as a Paying Agent; (ii) hold all sums held by it for the payment of the principal of (and premium, if any) or interest, if any, on the Securities of that series for the benefit of the Holders until such sums shall be paid to such Holders or otherwise disposed of as herein provided; (iii) give the Trustee notice of any default by the Company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by such Paying Agent for payment in respect of the Securities of that series.</w:t>
      </w:r>
    </w:p>
    <w:p>
      <w:pPr>
        <w:spacing w:after="0" w:line="80"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8" w:right="459" w:bottom="1440" w:gutter="0" w:footer="0" w:header="0"/>
        </w:sectPr>
      </w:pPr>
    </w:p>
    <w:bookmarkStart w:id="29" w:name="page30"/>
    <w:bookmarkEnd w:id="29"/>
    <w:p>
      <w:pPr>
        <w:ind w:right="80" w:firstLine="436"/>
        <w:spacing w:after="0" w:line="258"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will be paid to the Company upon a Company Request (or, if then held by the Company, will be discharged from such trust); and the Holder of such Security will thereafter, as an unsecured general creditor, look only to the Company for payment thereof, and all liability of the Trustee or such Paying Agent with respect to such trust money, and all liability of the Company as trustee thereof, will thereupon cease.</w:t>
      </w:r>
    </w:p>
    <w:p>
      <w:pPr>
        <w:spacing w:after="0" w:line="18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Subject to Article 10, the Company will do or cause to be done all things necessary to preserve and keep in full force and effect its existence and rights (charter and statutory); provided that the Company will not be required to preserve any such right or franchise if the Board of Directors determines that the preservation thereof is no longer desirable in the conduct of the business of the Company and that the loss thereof will not result in a Material Adverse Effect.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Limitation on Mortgages</w:t>
      </w:r>
      <w:r>
        <w:rPr>
          <w:rFonts w:ascii="Times New Roman" w:cs="Times New Roman" w:eastAsia="Times New Roman" w:hAnsi="Times New Roman"/>
          <w:sz w:val="18"/>
          <w:szCs w:val="18"/>
          <w:color w:val="auto"/>
        </w:rPr>
        <w:t>. The Company covenants and agrees that, so long as any of the Securities shall be outstanding, neither it nor any Subsidiary owning Restricted Property will issue, assume or guarantee any Debt secured by Mortgages upon any Restricted Property, without effectively providing that the outstanding Securities shall be secured equally and ratably with such Debt so long as such Debt shall be so secured, except that the foregoing provisions shall not apply to:</w:t>
      </w:r>
    </w:p>
    <w:p>
      <w:pPr>
        <w:spacing w:after="0" w:line="74" w:lineRule="exact"/>
        <w:rPr>
          <w:sz w:val="20"/>
          <w:szCs w:val="20"/>
          <w:color w:val="auto"/>
        </w:rPr>
      </w:pPr>
    </w:p>
    <w:p>
      <w:pPr>
        <w:ind w:right="80" w:firstLine="436"/>
        <w:spacing w:after="0" w:line="282"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affecting property of the Company in effect as of the date hereof or of a corporation existing at the time it becomes a Subsidiary or at the time it is merged into or consolidated with the Company or a Subsidiary of the Company;</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incurred to secure payment of all or part of the purchase price thereof or to secure Debt incurred prior to, at the time of or within 24 months after acquisition thereof for the purpose of financing all or part of the purchase price thereof;</w:t>
      </w:r>
    </w:p>
    <w:p>
      <w:pPr>
        <w:spacing w:after="0" w:line="67" w:lineRule="exact"/>
        <w:rPr>
          <w:rFonts w:ascii="Times New Roman" w:cs="Times New Roman" w:eastAsia="Times New Roman" w:hAnsi="Times New Roman"/>
          <w:sz w:val="18"/>
          <w:szCs w:val="18"/>
          <w:color w:val="auto"/>
        </w:rPr>
      </w:pPr>
    </w:p>
    <w:p>
      <w:pPr>
        <w:ind w:right="380" w:firstLine="436"/>
        <w:spacing w:after="0" w:line="266"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to secure all or part of the cost of development thereof or (in the case of property which is, in the opinion of the Company’s Board of Directors, substantially unimproved for the use intended by the Company) all or part of the cost of improvement thereof, or to secure Debt incurred to provide funds for any such purpose;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which secure only Debt owing by a Subsidiary of the Company to the Company or a Subsidiary of the Company;</w:t>
      </w:r>
    </w:p>
    <w:p>
      <w:pPr>
        <w:spacing w:after="0" w:line="117"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(1) required by any contract or statute in order to permit the Company or a Subsidiary of the Company to perform any contract or subcontract made by it with or at the request of the United States of America, any State, any foreign country or any department, agency, instrumentality or political subdivision of any such jurisdiction or (2) in favor of any such jurisdiction to secure partial, progress, advance or other payments pursuant to any contract or statute or to secure any indebtedness incurred for the purpose of financing all or any part of the purchase price or cost of constructing or improving the property subject thereto, including, without limitation, Mortgages to secure Debt of the pollution control or industrial revenue bond type; 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0" w:name="page31"/>
    <w:bookmarkEnd w:id="30"/>
    <w:p>
      <w:pPr>
        <w:jc w:val="both"/>
        <w:ind w:right="40" w:firstLine="436"/>
        <w:spacing w:after="0" w:line="281" w:lineRule="auto"/>
        <w:tabs>
          <w:tab w:leader="none" w:pos="66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extension, renewal or replacement (or successive extensions, renewals or replacements), in whole or in part, of any Mortgage referred to in the foregoing clauses (a) to (e) inclusive or of any Debt secured thereby, provided that the principal amount of Debt secured thereby shall not exceed the principal amount of Debt so secured at the time of such extension, renewal or replacement, and that such extension, renewal or replacement Mortgage shall be limited to all or part of the property which secured the Mortgage extended, renewed or replaced (plus improvements on such property).</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the foregoing provisions of this Section 4.05, the Company and any one or more of its Subsidiaries owning Restricted Property may issue, assume or guarantee Debt secured by Mortgages which would otherwise be subject to the foregoing restrictions in an aggregate principal amount which, together with the aggregate outstanding principal amount of all other Debt of the Company and its Subsidiaries owning Restricted Property secured by Mortgages which would otherwise be subject to the foregoing restrictions (not including Debt permitted to be secured under clauses (a) to (e) inclusive above) and the aggregate Value (as defined in Section 4.06) of the Sale and Lease-Back Transactions in existence at such time (not including Sale and Lease-Back Transactions as to which the Company has complied with Section 4.06(b)), does not at any one time exceed 10% of the Consolidated Net Tangible Assets of the Company and its consolidated Subsidiaries.</w:t>
      </w:r>
    </w:p>
    <w:p>
      <w:pPr>
        <w:spacing w:after="0" w:line="187"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Limitation on Sale and Lease-Back</w:t>
      </w:r>
      <w:r>
        <w:rPr>
          <w:rFonts w:ascii="Times New Roman" w:cs="Times New Roman" w:eastAsia="Times New Roman" w:hAnsi="Times New Roman"/>
          <w:sz w:val="18"/>
          <w:szCs w:val="18"/>
          <w:color w:val="auto"/>
        </w:rPr>
        <w:t>. The Company covenants and agrees that neither it nor any of its Subsidiaries owning Restricted Property will enter into any Sale and Lease-Back Transaction unless either:</w:t>
      </w:r>
    </w:p>
    <w:p>
      <w:pPr>
        <w:spacing w:after="0" w:line="52" w:lineRule="exact"/>
        <w:rPr>
          <w:sz w:val="20"/>
          <w:szCs w:val="20"/>
          <w:color w:val="auto"/>
        </w:rPr>
      </w:pPr>
    </w:p>
    <w:p>
      <w:pPr>
        <w:ind w:right="180" w:firstLine="436"/>
        <w:spacing w:after="0" w:line="26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Subsidiary owning Restricted Property would be entitled, pursuant to the provisions of Section 4.05, to incur Debt in a principal amount equal to or exceed the Value of such Sale and Lease-Back Transaction, secured by Mortgages on the property to be leased, without equally and ratably securing the outstanding Securities, or</w:t>
      </w:r>
    </w:p>
    <w:p>
      <w:pPr>
        <w:spacing w:after="0" w:line="67" w:lineRule="exact"/>
        <w:rPr>
          <w:rFonts w:ascii="Times New Roman" w:cs="Times New Roman" w:eastAsia="Times New Roman" w:hAnsi="Times New Roman"/>
          <w:sz w:val="18"/>
          <w:szCs w:val="18"/>
          <w:color w:val="auto"/>
        </w:rPr>
      </w:pPr>
    </w:p>
    <w:p>
      <w:pPr>
        <w:jc w:val="both"/>
        <w:ind w:right="240" w:firstLine="436"/>
        <w:spacing w:after="0" w:line="289" w:lineRule="auto"/>
        <w:tabs>
          <w:tab w:leader="none" w:pos="6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in any such case the Company covenants and agrees that it will do so) during the four months immediately following the effective date of such Sale and Lease-Back Transaction (whether made by the Company or a Subsidiary of the Company owning Restricted Property) applies or causes to be applied to the voluntary retirement of Funded Debt an amount equal to the Value of such Sale and Lease-Back Transaction.</w:t>
      </w:r>
    </w:p>
    <w:p>
      <w:pPr>
        <w:spacing w:after="0" w:line="15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Section 4.05 and this Section 4.06, the term “Value” shall mean, with respect to a Sale and Lease-Back Transaction, as of any particular time, an amount equal to the greater of (1) the net proceeds of the sale or transfer of the property leased pursuant to such Sale and Lease-Back Transaction or (2) the fair value in the opinion of the Company’s Board of Directors of such property at the effective date of such Sale and Lease-Back Transaction, in either case divided by the number of full years of the term of the lease and then multiplied by the number of full years of such term remaining at the time of determination, without regard to any renewal or extension options contained in the lease.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 w:name="page32"/>
    <w:bookmarkEnd w:id="31"/>
    <w:p>
      <w:pPr>
        <w:jc w:val="both"/>
        <w:ind w:right="1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4.07. </w:t>
      </w:r>
      <w:r>
        <w:rPr>
          <w:rFonts w:ascii="Times New Roman" w:cs="Times New Roman" w:eastAsia="Times New Roman" w:hAnsi="Times New Roman"/>
          <w:sz w:val="18"/>
          <w:szCs w:val="18"/>
          <w:i w:val="1"/>
          <w:iCs w:val="1"/>
          <w:color w:val="auto"/>
        </w:rPr>
        <w:t>Statement by Officers as to Default</w:t>
      </w:r>
      <w:r>
        <w:rPr>
          <w:rFonts w:ascii="Times New Roman" w:cs="Times New Roman" w:eastAsia="Times New Roman" w:hAnsi="Times New Roman"/>
          <w:sz w:val="18"/>
          <w:szCs w:val="18"/>
          <w:color w:val="auto"/>
        </w:rPr>
        <w:t>. The Company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principal accounting officer or treasurer of the Company stating whether or not to the knowledge of such person after due inquiry the Company is in default in the performance and observance of any of the terms, provisions, and conditions of this Indenture (without regard to any period of grace or requirement of notice provided hereunder) and, if the Company is in default, specifying all such defaults and the nature and status thereof of which such person may have such knowledge. The Company shall deliver to the Trustee, as soon as possible and in any event within five days after the Company becomes aware of the occurrence of any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8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The Company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Section 7.01, either waive such compliance in such instance or generally waive compliance with such term, provision, or condition, but no such waiver will extend to or affect such term, provision or condition except to the extent so expressly waived, and, until such waiver shall become effective, the obligations of the Company and the duties of the Trustee in respect of any such term, provision, or condition will remain in full force and effect.</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in accordance with Section 4.07) and that to the best of his or her knowledge no event has occurred and remains in existence by reason of which payments on account of the principal of, premium on, if any, or interest, if any, on the Notes is prohibited or if such event has occurred, a description of the event and what action the Company is taking or proposes to take with respect thereto.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REMEDIES OF THE TRUSTEE AND HOLDERS ON EVENT OF DEFAULT</w:t>
      </w:r>
    </w:p>
    <w:p>
      <w:pPr>
        <w:spacing w:after="0" w:line="20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Each of the following events constitutes an “Event of Default” wherever used herein with respect to Securities of any series:</w:t>
      </w:r>
    </w:p>
    <w:p>
      <w:pPr>
        <w:spacing w:after="0" w:line="52" w:lineRule="exact"/>
        <w:rPr>
          <w:sz w:val="20"/>
          <w:szCs w:val="20"/>
          <w:color w:val="auto"/>
        </w:rPr>
      </w:pPr>
    </w:p>
    <w:p>
      <w:pPr>
        <w:ind w:left="680" w:hanging="24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Securities of that series;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premium, if any, on the Securities of that series;</w:t>
      </w:r>
    </w:p>
    <w:p>
      <w:pPr>
        <w:spacing w:after="0" w:line="117"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other covenant or agreement contained in this Indenture which default continues for a period of 90 days after the Company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Section 10.01 of this Indenture, which will constitute an Event of Default with such notice requirement but without such passage of time requirement); provided that the sole remedy of Holders of the Securities for an Event of Default relating to the failure to file any documents or reports that the Company is required to file with the Commission pursuant to Section 13 or 15(d) of the Exchange Act and for any failure to comply with the requirements of Section 314(a)(1) of the Trust Indenture Act or of Section 14.04 of this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On the 61st day after such Event of Default (if such Event of Default is not cured or waived prior to such 61st day), the Securities shall be subject to acceleration as provided herein;</w:t>
      </w:r>
    </w:p>
    <w:p>
      <w:pPr>
        <w:spacing w:after="0" w:line="8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(i) a decree or order for relief in respect of the Company in an involuntary case or proceeding under any applicable federal or state bankruptcy, insolvency, reorganization, or other similar law or (ii)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calendar days;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440" w:top="270" w:right="559" w:bottom="1440" w:gutter="0" w:footer="0" w:header="0"/>
        </w:sectPr>
      </w:pPr>
    </w:p>
    <w:bookmarkStart w:id="33" w:name="page34"/>
    <w:bookmarkEnd w:id="33"/>
    <w:p>
      <w:pPr>
        <w:ind w:right="40" w:firstLine="436"/>
        <w:spacing w:after="0" w:line="254"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commencement by the Company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under any applicable federal or state bankruptcy, insolvency, reorganization, or other similar law, or the consent by it to the filing of such petition or to the appointment of or taking possession by a custodian, receiver, liquidator, assignee, trustee, sequestrator, or other similar official of the Company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Upon receipt by the Trustee of any Notice of Default pursuant to this Section 5.01, a record date shall automatically and without any other action by any Person be set for the purpose of determining the Holders of outstanding Securities of the applicable series entitled to join in such Notice of Default, which record date shall be the close of business on the day the Trustee receives such Notice of Default. The Holders of outstanding Securities of the applicable series on such record date (of their duly appointed agents), and only such Persons, shall be entitled to join in such Notice of Default, whether or not such Holders remain Holders after such record date.</w:t>
      </w:r>
    </w:p>
    <w:p>
      <w:pPr>
        <w:spacing w:after="0" w:line="1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(a) If any Event of Default (other than an Event of Default specified in clause (d) or (e) of Section 5.01 hereof)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Section 5.01 hereof occurs with respect to the Company the unpaid principal of, premium, if any, and any accrued and unpaid interest on all the Securities shall ipso facto become and be immediately due and payable without further action or notice on the part of the Trustee or any Holder.</w:t>
      </w:r>
    </w:p>
    <w:p>
      <w:pPr>
        <w:spacing w:after="0" w:line="79" w:lineRule="exact"/>
        <w:rPr>
          <w:sz w:val="20"/>
          <w:szCs w:val="20"/>
          <w:color w:val="auto"/>
        </w:rPr>
      </w:pPr>
    </w:p>
    <w:p>
      <w:pPr>
        <w:ind w:right="80" w:firstLine="436"/>
        <w:spacing w:after="0" w:line="25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such a declaration of acceleration with respect to the Securities of any series has been made and before a judgment or decree for payment of the money due has been obtained by the Trustee as hereinafter in this Article 5 provided, the Holders of a majority in Principal Amount of the outstanding Securities of such series, by written notice to the Company and the Trustee, may rescind and annul such declaration and its consequences if (i) the Company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such interest is lawful, interest upon overdue interest at the rate or rates prescribed therefor in the Securities of that series, and (D) all sums paid or advanced by the Trustee hereunder and the compensation and properly incurred expenses, disbursements, and advances of the Trustee and its agents and counsel and (ii) all Events of Default with respect to the Securities of that series, other than the non-payment of the principal of the Securities of that series which have become due solely by such declaration of acceleration, have been cured or waived as provided in Section 5.04. No such rescission will affect any subsequent default or impair any right consequent thereon.</w:t>
      </w:r>
    </w:p>
    <w:p>
      <w:pPr>
        <w:spacing w:after="0" w:line="18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Other Remedies</w:t>
      </w:r>
      <w:r>
        <w:rPr>
          <w:rFonts w:ascii="Times New Roman" w:cs="Times New Roman" w:eastAsia="Times New Roman" w:hAnsi="Times New Roman"/>
          <w:sz w:val="18"/>
          <w:szCs w:val="18"/>
          <w:color w:val="auto"/>
        </w:rPr>
        <w:t>. If an Event of Default with respect to Securities of any series occurs and is continuing, the Trustee may and shall upon written request of Holders of at least 25% in aggregate principal amount of outstanding Notes (subject to the Trustee being indemnified and/or secured and/or prefunded to its satisfaction) pursue any available remedy to collect the payment of principal or interest on the Securities of such series or to enforce the performance of any provision of the Securities of such series or this Indenture.</w:t>
      </w:r>
    </w:p>
    <w:p>
      <w:pPr>
        <w:spacing w:after="0" w:line="18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8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of (and premium, if any) or interest, if any, on any Security of such series.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5" w:name="page36"/>
    <w:bookmarkEnd w:id="3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xml:space="preserve">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spacing w:after="0" w:line="18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Upon receipt by the Trustee of any such direction with respect to the Securities of such series, a record date shall automatically and without any other action by any Person be set for determining the Holders of outstanding Securities of such series entitled to join in such direction, which record date shall be the close of business on the day the Trustee receives such direction. The Holders of outstanding Securities of such series on such record date (or their duly appointed agents), and only such Persons, shall be entitled to join in such direction, whether or not such Holders remain Holders after such record date.</w:t>
      </w:r>
    </w:p>
    <w:p>
      <w:pPr>
        <w:spacing w:after="0" w:line="181"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A Holder of any Security of any series may pursue a remedy with respect to this Indenture or the Securities of the applicable series only if:</w:t>
      </w:r>
    </w:p>
    <w:p>
      <w:pPr>
        <w:spacing w:after="0" w:line="160" w:lineRule="exact"/>
        <w:rPr>
          <w:sz w:val="20"/>
          <w:szCs w:val="20"/>
          <w:color w:val="auto"/>
        </w:rPr>
      </w:pPr>
    </w:p>
    <w:p>
      <w:pPr>
        <w:ind w:left="680" w:hanging="24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225"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then outstanding Securities of that series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provide to the Trustee indemnity, security or prefunding satisfactory to the Trustee against any loss, liability or expense in connection with the pursuance of such remedy;</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90-day period specified in (e) below, the Holders of a majority in aggregate Principal Amount of the then outstanding Securities of such series do not give the Trustee a direction inconsistent with the request; and</w:t>
      </w:r>
    </w:p>
    <w:p>
      <w:pPr>
        <w:spacing w:after="0" w:line="161" w:lineRule="exact"/>
        <w:rPr>
          <w:rFonts w:ascii="Times New Roman" w:cs="Times New Roman" w:eastAsia="Times New Roman" w:hAnsi="Times New Roman"/>
          <w:sz w:val="18"/>
          <w:szCs w:val="18"/>
          <w:color w:val="auto"/>
        </w:rPr>
      </w:pPr>
    </w:p>
    <w:p>
      <w:pPr>
        <w:ind w:right="760" w:firstLine="436"/>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90 days after receipt of the notice, request and the offer of indemnity, security or prefunding satisfactory to the Trustee.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Holder may not use this Indenture to prejudice the rights of another Holder of Securities of the same series in case of any Event of Default described in clause (a), (b) or (f) of Section 5.01 or of another Holder of any series of Securities in the case of any Event of Default described in clause (c), (d) or (e) of Section 5.01. A Holder may not use this Indenture to obtain a preference or priority over another Holder of Securities of the same series in case of any Event of Default described in clause (a), (b) or (f) of Section 5.01 or of another Holder of any series of Securities in the case of any Event of Default described in clause (c), (d) or (e) of Section 5.01.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8" w:right="459" w:bottom="1440" w:gutter="0" w:footer="0" w:header="0"/>
        </w:sectPr>
      </w:pPr>
    </w:p>
    <w:bookmarkStart w:id="36" w:name="page37"/>
    <w:bookmarkEnd w:id="36"/>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5.07. </w:t>
      </w:r>
      <w:r>
        <w:rPr>
          <w:rFonts w:ascii="Times New Roman" w:cs="Times New Roman" w:eastAsia="Times New Roman" w:hAnsi="Times New Roman"/>
          <w:sz w:val="17"/>
          <w:szCs w:val="17"/>
          <w:i w:val="1"/>
          <w:iCs w:val="1"/>
          <w:color w:val="auto"/>
        </w:rPr>
        <w:t>Rights of Holders to Receive Payment</w:t>
      </w:r>
      <w:r>
        <w:rPr>
          <w:rFonts w:ascii="Times New Roman" w:cs="Times New Roman" w:eastAsia="Times New Roman" w:hAnsi="Times New Roman"/>
          <w:sz w:val="17"/>
          <w:szCs w:val="17"/>
          <w:color w:val="auto"/>
        </w:rPr>
        <w:t>. Notwithstanding any other provision of this Indenture, the right of any Holder to receive payment of principal of (and premium, if any) and interest, if any, on any Security, on or after the respective due dates expressed in such Security, or to bring suit for the enforcement of any such payment on or after such respective dates, shall not be impaired or affected without the consent of the Holder.</w:t>
      </w:r>
    </w:p>
    <w:p>
      <w:pPr>
        <w:spacing w:after="0" w:line="15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If an Event of Default specified in Section 5.01 hereof occurs and is continuing, the Trustee is authorized to recover judgment in its own name and as trustee of an express trust against the Company or any other obligor for the whole amount of principal (and premium, if any) and interest, if any, remaining unpaid on any Securities of such series and interest on overdue principal and, to the extent lawful, interest and such further amount as shall be sufficient to cover amounts due the Trustee under Section 6.07 hereof, including the costs and expenses of collection, including the reasonable compensation, expenses, disbursements and advances of the Trustee, its agents and counsel.</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and properly incurred expenses, disbursements and advances of the Trustee, its agents and counsel, and any other amounts due the Trustee under Section 6.07 hereof. To the extent that the payment of any such compensation, expenses, disbursements and advances of the Trustee, its agents and counsel,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Priorities</w:t>
      </w:r>
      <w:r>
        <w:rPr>
          <w:rFonts w:ascii="Times New Roman" w:cs="Times New Roman" w:eastAsia="Times New Roman" w:hAnsi="Times New Roman"/>
          <w:sz w:val="18"/>
          <w:szCs w:val="18"/>
          <w:color w:val="auto"/>
        </w:rPr>
        <w:t>. If the Trustee collects any money pursuant to this Article, it shall pay out the money in the following order:</w:t>
      </w:r>
    </w:p>
    <w:p>
      <w:pPr>
        <w:spacing w:after="0" w:line="22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First: to the Trustee, the Agents, its agents and attorneys for amounts due under Section 6.07, including payment of all compensation, expense and liabilities incurred, and all advances made, by the Trustee and the costs and expenses of collection;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8" w:right="479" w:bottom="1440" w:gutter="0" w:footer="0" w:header="0"/>
        </w:sectPr>
      </w:pPr>
    </w:p>
    <w:bookmarkStart w:id="37" w:name="page38"/>
    <w:bookmarkEnd w:id="37"/>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Third: to the Company or to such party as a court of competent jurisdiction shall direct. The Trustee may fix a record date and payment date for any payment to Holders pursuant to this Section 5.10 upon five Business Days prior notice to the Company.</w:t>
      </w:r>
    </w:p>
    <w:p>
      <w:pPr>
        <w:spacing w:after="0" w:line="16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Securities of the affected series pursuant to Section 5.07 hereof, a suit by Holders of more than 10% in aggregate Principal Amount of the then outstanding Securities of any series in the case of any suit relating to or arising under clause (a), (b), (c) or (f) of Section 5.01, or a suit by Holders of more than 10% in aggregate Principal Amount of the then all outstanding Securities in the case of any suit relating to or arising under clause (d) or (e) of Section 5.01.</w:t>
      </w:r>
    </w:p>
    <w:p>
      <w:pPr>
        <w:spacing w:after="0" w:line="18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in the last paragraph of Section 3.09,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CONCERNING THE TRUSTEE</w:t>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Duties and Responsibilities of the Trustee</w:t>
      </w:r>
      <w:r>
        <w:rPr>
          <w:rFonts w:ascii="Times New Roman" w:cs="Times New Roman" w:eastAsia="Times New Roman" w:hAnsi="Times New Roman"/>
          <w:sz w:val="18"/>
          <w:szCs w:val="18"/>
          <w:color w:val="auto"/>
        </w:rPr>
        <w:t>: During Default: Prior to Default.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 (and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spacing w:after="0" w:line="18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provided that:</w:t>
      </w:r>
    </w:p>
    <w:p>
      <w:pPr>
        <w:spacing w:after="0" w:line="162" w:lineRule="exact"/>
        <w:rPr>
          <w:sz w:val="20"/>
          <w:szCs w:val="20"/>
          <w:color w:val="auto"/>
        </w:rPr>
      </w:pPr>
    </w:p>
    <w:p>
      <w:pPr>
        <w:ind w:right="240" w:firstLine="436"/>
        <w:spacing w:after="0" w:line="266"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given as provided in Section 5.05 or otherwise exercising any trust or power conferred upon the Trustee, under this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9" w:name="page40"/>
    <w:bookmarkEnd w:id="39"/>
    <w:p>
      <w:pPr>
        <w:ind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reasonably assured to it. This Section 6.01 is in furtherance of and subject to Sections 315 and 316 of the Trust Indenture Act.</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Article 6.</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Certain Rights of the Trustee</w:t>
      </w:r>
      <w:r>
        <w:rPr>
          <w:rFonts w:ascii="Times New Roman" w:cs="Times New Roman" w:eastAsia="Times New Roman" w:hAnsi="Times New Roman"/>
          <w:sz w:val="18"/>
          <w:szCs w:val="18"/>
          <w:color w:val="auto"/>
        </w:rPr>
        <w:t>. In furtherance of and subject to the Trust Indenture Act, and subject to Section 6.01:</w:t>
      </w:r>
    </w:p>
    <w:p>
      <w:pPr>
        <w:spacing w:after="0" w:line="227" w:lineRule="exact"/>
        <w:rPr>
          <w:sz w:val="20"/>
          <w:szCs w:val="20"/>
          <w:color w:val="auto"/>
        </w:rPr>
      </w:pPr>
    </w:p>
    <w:p>
      <w:pPr>
        <w:ind w:right="6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Holders of the Securities of any series pursuant to the provisions of this Indenture, unless the requisite majority of Holders shall have instructed the Trustee in writing and offered and provided to the Trustee reasonable security, prefunding and/or indemnity satisfactory to it against the costs, expenses and liabilities which might be incurred therein or thereby;</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all the Securities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prefunding and/or security satisfactory to it against such expenses or liabilities as a condition to proceeding; the reasonable expenses of every such examination shall be paid by the Company;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40" w:name="page41"/>
    <w:bookmarkEnd w:id="40"/>
    <w:p>
      <w:pPr>
        <w:ind w:right="18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execute any of the trusts or powers hereunder or perform any duties hereunder either directly or by or through agents or attorneys not regularly in its employ and the Trustee shall not be responsible for supervising or monitoring or for any misconduct or negligence on the part of any such agent or attorney appointed with due care by it hereunder;</w:t>
      </w:r>
    </w:p>
    <w:p>
      <w:pPr>
        <w:spacing w:after="0" w:line="175"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under this Indenture, including, without limitation, its right to be indemnified, are extended to, and shall be enforceable by, Deutsche Bank Trust Company Americas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right="320" w:firstLine="436"/>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Trustee Not Responsible for Recitals, Disposition of Securities or Application of Proceeds Thereof</w:t>
      </w:r>
      <w:r>
        <w:rPr>
          <w:rFonts w:ascii="Times New Roman" w:cs="Times New Roman" w:eastAsia="Times New Roman" w:hAnsi="Times New Roman"/>
          <w:sz w:val="18"/>
          <w:szCs w:val="18"/>
          <w:color w:val="auto"/>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T-l supplied to the Company, are true and accurate, subject to the qualifications set forth therein. The Trustee shall not be liable or accountable in any manner for the use or application by the Company of any of the Securities or of the proceeds thereof</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Trustee and Agents May Hold Securities: Collections, etc</w:t>
      </w:r>
      <w:r>
        <w:rPr>
          <w:rFonts w:ascii="Times New Roman" w:cs="Times New Roman" w:eastAsia="Times New Roman" w:hAnsi="Times New Roman"/>
          <w:sz w:val="18"/>
          <w:szCs w:val="18"/>
          <w:color w:val="auto"/>
        </w:rPr>
        <w:t>. The Trustee or any of its affiliates or any agent of the Company or the Trustee, in its individual or any other capacity, may become the owner or pledgee of Securities, subject to Sections 6.10 and 6.13 with the same rights it would have if it were not the Trustee or such agent and may otherwise deal with the Company and receive, collect, hold and retain collections from the Company with the same rights it would have if it were not the Trustee or such agent.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1" w:name="page42"/>
    <w:bookmarkEnd w:id="41"/>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i w:val="1"/>
          <w:iCs w:val="1"/>
          <w:color w:val="auto"/>
        </w:rPr>
        <w:t>Moneys Held by Trustee</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finds except to the extent required by mandatory provisions of law. Neither the Trustee nor any agent of the Company or the Trustee shall be under any liability for interest on any moneys received by it hereunder, except as otherwise agreed with the Company.</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Notice of Default</w:t>
      </w:r>
      <w:r>
        <w:rPr>
          <w:rFonts w:ascii="Times New Roman" w:cs="Times New Roman" w:eastAsia="Times New Roman" w:hAnsi="Times New Roman"/>
          <w:sz w:val="18"/>
          <w:szCs w:val="18"/>
          <w:color w:val="auto"/>
        </w:rPr>
        <w:t>.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Section 313(c) notice of the Default or Event of Default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within 90 days after it occurs, unless such Default or Event of Default has been cured; provided that, except in the case of a default in the payment of the principal of or interest or premium, if any,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w:t>
      </w:r>
    </w:p>
    <w:p>
      <w:pPr>
        <w:spacing w:after="0" w:line="18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Compensation and Indemnification of Trustee and Its Prior Claim</w:t>
      </w:r>
      <w:r>
        <w:rPr>
          <w:rFonts w:ascii="Times New Roman" w:cs="Times New Roman" w:eastAsia="Times New Roman" w:hAnsi="Times New Roman"/>
          <w:sz w:val="18"/>
          <w:szCs w:val="18"/>
          <w:color w:val="auto"/>
        </w:rPr>
        <w:t>.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properly incurred expenses, disbursements and advances incurred or made by or on behalf of it in accordance with any of the provisions of this Indenture (including the compensation and properly incurred expenses and disbursements of its counsel and of all agents and other persons not regularly in its employ) except any such expense, disbursement or advance as may arise from its negligence or bad faith.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6.07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repayment of the Securities and the resignation or removal of the Trustee. Such financial obligations of the Company identified in this Section shall be a senior claim to that of the Securities of each series upon all property and funds held or collected by the Trustee as such, except funds held in trust for the benefit of the holders of particular Securities, and the Securities of each series are hereby subordinated to such senior claim.</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42" w:name="page43"/>
    <w:bookmarkEnd w:id="42"/>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the Trustee incurs expenses or renders services in connection with an Event of Default specified in Section 5.01(d) or Section 5.01(e),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Right of Trustee to Rely on Officers’ Certificate, etc</w:t>
      </w:r>
      <w:r>
        <w:rPr>
          <w:rFonts w:ascii="Times New Roman" w:cs="Times New Roman" w:eastAsia="Times New Roman" w:hAnsi="Times New Roman"/>
          <w:sz w:val="18"/>
          <w:szCs w:val="18"/>
          <w:color w:val="auto"/>
        </w:rPr>
        <w:t xml:space="preserve"> .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wilful misconduct on the part of the Trustee, shall be full warrant to the Trustee for any action taken, suffered or omitted by it under the provisions of this Indenture upon the faith thereof.</w:t>
      </w:r>
    </w:p>
    <w:p>
      <w:pPr>
        <w:spacing w:after="0" w:line="182"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Persons Eligible for Appointment as Trustee</w:t>
      </w:r>
      <w:r>
        <w:rPr>
          <w:rFonts w:ascii="Times New Roman" w:cs="Times New Roman" w:eastAsia="Times New Roman" w:hAnsi="Times New Roman"/>
          <w:sz w:val="18"/>
          <w:szCs w:val="18"/>
          <w:color w:val="auto"/>
        </w:rPr>
        <w:t>. The Trustee hereunder shall at all times be a corporation, national association or other appropriate entity having a combined capital and surplus of at least $50,000,000, and which is eligible in accordance with the provisions of</w:t>
      </w: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310(a) of the Trust Indenture Act.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and Removal: Appointment of Successor Trustee.</w:t>
      </w:r>
      <w:r>
        <w:rPr>
          <w:rFonts w:ascii="Times New Roman" w:cs="Times New Roman" w:eastAsia="Times New Roman" w:hAnsi="Times New Roman"/>
          <w:sz w:val="18"/>
          <w:szCs w:val="18"/>
          <w:color w:val="auto"/>
        </w:rPr>
        <w:t xml:space="preserve"> (a)The Trustee may at any time resign by giving 30 days advance notice with respect to the Securities of one or more series by giving written notice of resignation to the Company. Upon receiving such notice of resignation, the Company shall promptly appoint a successor trustee by written instrument in duplicate, executed by authority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or, as the case may be, notice of removal, the retiring trustee may (on behalf of and at the expense of the Company) appoint its own successor or petition, at the expense of the Company, any court of competent jurisdiction for the appointment of a successor trustee, or any Securityholder of the affected series who has been a bona fide holder of a Security or Securities of the affected series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43" w:name="page44"/>
    <w:bookmarkEnd w:id="43"/>
    <w:p>
      <w:pPr>
        <w:ind w:left="1240" w:hanging="253"/>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at any time any of the following shall occur:</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310(b) of the Trust Indenture Act,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6.09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then, in any such case, the Company may remove the Trustee and appoint a successor trustee by written instrument, in duplicate, executed by order of the Board of Directors of the Company, one copy of which instrument shall be delivered to the Trustee so removed and one copy to the successor trustee, or, subject to Section 315(e) of the Trust Indenture Act, any Securityholder who has been a bona fide holder of a Security, or Securities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ind w:right="80" w:firstLine="436"/>
        <w:spacing w:after="0" w:line="266"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the evidence provided for in Section 7.01 of the action in that regard taken by the Securityholders.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no successor trustee shall have been so appointed and have accepted appointment 60 days after the mailing of such notice of removal, the trustee being removed may (on behalf of and at the expense of the Company) appoint its own successor or petition, at the expense of the Company, any court of competent jurisdiction for the appointment of a successor trustee. Such court may thereupon, after such notice, if any, as it may deem proper and prescribe, appoint a successor trustee.</w:t>
      </w:r>
    </w:p>
    <w:p>
      <w:pPr>
        <w:spacing w:after="0" w:line="180" w:lineRule="exact"/>
        <w:rPr>
          <w:sz w:val="20"/>
          <w:szCs w:val="20"/>
          <w:color w:val="auto"/>
        </w:rPr>
      </w:pPr>
    </w:p>
    <w:p>
      <w:pPr>
        <w:ind w:right="32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any appointment of a successor trustee pursuant to any of the provisions of this Section 6.10 shall become effective upon acceptance of appointment by the successor trustee as provided in Section 6.11.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4" w:name="page45"/>
    <w:bookmarkEnd w:id="44"/>
    <w:p>
      <w:pPr>
        <w:ind w:left="4" w:right="200" w:firstLine="436"/>
        <w:spacing w:after="0" w:line="261" w:lineRule="auto"/>
        <w:tabs>
          <w:tab w:leader="none" w:pos="6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give notice of each resignation and each removal or resignation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78"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Acceptance of Appointment by Successor.</w:t>
      </w:r>
      <w:r>
        <w:rPr>
          <w:rFonts w:ascii="Times New Roman" w:cs="Times New Roman" w:eastAsia="Times New Roman" w:hAnsi="Times New Roman"/>
          <w:sz w:val="18"/>
          <w:szCs w:val="18"/>
          <w:color w:val="auto"/>
        </w:rPr>
        <w:t xml:space="preserve"> (a)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(including any indemnity payments) and charges incurred pursuant to this Indenture,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5" w:lineRule="exact"/>
        <w:rPr>
          <w:sz w:val="20"/>
          <w:szCs w:val="20"/>
          <w:color w:val="auto"/>
        </w:rPr>
      </w:pPr>
    </w:p>
    <w:p>
      <w:pPr>
        <w:ind w:left="4" w:right="20" w:firstLine="436"/>
        <w:spacing w:after="0" w:line="268"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45" w:name="page46"/>
    <w:bookmarkEnd w:id="45"/>
    <w:p>
      <w:pPr>
        <w:ind w:right="300"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the Trust Indenture Act.</w:t>
      </w:r>
    </w:p>
    <w:p>
      <w:pPr>
        <w:spacing w:after="0" w:line="16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Merger. Conversion, Consolidation or Succession to Business of Trustee</w:t>
      </w:r>
      <w:r>
        <w:rPr>
          <w:rFonts w:ascii="Times New Roman" w:cs="Times New Roman" w:eastAsia="Times New Roman" w:hAnsi="Times New Roman"/>
          <w:sz w:val="18"/>
          <w:szCs w:val="18"/>
          <w:color w:val="auto"/>
        </w:rPr>
        <w:t>.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provided that such entity shall be eligible under the provisions of Section 6.09, without the execution or filing of any paper or any further act on the part of any of the parties hereto, anything herein to the contrary notwithstanding.</w:t>
      </w:r>
    </w:p>
    <w:p>
      <w:pPr>
        <w:spacing w:after="0" w:line="18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provided that the certificate of the Trustee shall have provided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Preferential Collection of Claims</w:t>
      </w:r>
      <w:r>
        <w:rPr>
          <w:rFonts w:ascii="Times New Roman" w:cs="Times New Roman" w:eastAsia="Times New Roman" w:hAnsi="Times New Roman"/>
          <w:sz w:val="18"/>
          <w:szCs w:val="18"/>
          <w:color w:val="auto"/>
        </w:rPr>
        <w:t>. If the Trustee shall be or shall become a creditor, directly or indirectly, secured or unsecured, of the Company (or any other obligor on the Securities), the Trustee shall be subject to the provisions of Section 311 of the Trust Indenture Act regarding the collection of claims against the Company (or any such other obligor). For purposes of Section 311(b) (4) and (6) of such Act, the following terms shall mean:</w:t>
      </w:r>
    </w:p>
    <w:p>
      <w:pPr>
        <w:spacing w:after="0" w:line="182" w:lineRule="exact"/>
        <w:rPr>
          <w:sz w:val="20"/>
          <w:szCs w:val="20"/>
          <w:color w:val="auto"/>
        </w:rPr>
      </w:pPr>
    </w:p>
    <w:p>
      <w:pPr>
        <w:ind w:right="32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transaction” means any transaction in which full payment for goods or securities sold is made within seven days after delivery of the goods or securities in currency or in checks or other orders drawn upon banks or bankers and payable upon demand;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6" w:name="page47"/>
    <w:bookmarkEnd w:id="46"/>
    <w:p>
      <w:pPr>
        <w:ind w:right="40" w:firstLine="436"/>
        <w:spacing w:after="0" w:line="256"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8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Communications with the Trustee</w:t>
      </w:r>
      <w:r>
        <w:rPr>
          <w:rFonts w:ascii="Times New Roman" w:cs="Times New Roman" w:eastAsia="Times New Roman" w:hAnsi="Times New Roman"/>
          <w:sz w:val="18"/>
          <w:szCs w:val="18"/>
          <w:color w:val="auto"/>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Not Responsible for the Depository Records</w:t>
      </w:r>
      <w:r>
        <w:rPr>
          <w:rFonts w:ascii="Times New Roman" w:cs="Times New Roman" w:eastAsia="Times New Roman" w:hAnsi="Times New Roman"/>
          <w:sz w:val="18"/>
          <w:szCs w:val="18"/>
          <w:color w:val="auto"/>
        </w:rPr>
        <w:t>. So long as the Depositary, or its nominee, is the registered owner of any Global Security, the Depositary, or its nominee, shall be considered by the Issuer, the Trustee and any agent as the sole owner or holder of the Securities represented by such Global Security for all purposes whatsoever under this Indenture. None of the Issuer, the Trustee or any agent will have any responsibility or liability for any aspect of the records relating to or payment made on account of beneficial ownership interests of a Global Security or for maintaining, supervising or reviewing any records relating to such beneficial ownership interests. Neither the Trustee nor any agent shall have any responsibility or liability for any actions taken or not taken by the Depositary. The Trustee and agents shall be fully protected in relying upon information furnished by the Depositary with respect to its agent members and other members, participants and any beneficial owners. 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 Neither the Trustee nor the Agents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indirect participants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CONCERNING THE HOLDERS</w:t>
      </w:r>
    </w:p>
    <w:p>
      <w:pPr>
        <w:spacing w:after="0" w:line="20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Evidence of Action Taken by Holders</w:t>
      </w:r>
      <w:r>
        <w:rPr>
          <w:rFonts w:ascii="Times New Roman" w:cs="Times New Roman" w:eastAsia="Times New Roman" w:hAnsi="Times New Roman"/>
          <w:sz w:val="18"/>
          <w:szCs w:val="18"/>
          <w:color w:val="auto"/>
        </w:rPr>
        <w:t>. Any request, demand, authorization, direction, notice, consent, waiver or other action provided by this Indenture to be given or taken by Securityholders of any series may be embodied in and evidenced (a) by one or more instruments of substantially similar tenor signed by such Securityholders in person or by agent duly appointed in writing, (b) by the record of .the Holders of Securities of such series voting in favor thereof at any meeting of Securityholders duly called, and held in accordance with the provisions of Article 8, or (c) by a combination of such instrument or instruments and any such record of such a meeting of Securityholders;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Company, if made in the manner provided in this Article.</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Proof of Execution of Instruments and of Holding of Securities: Record Date</w:t>
      </w:r>
      <w:r>
        <w:rPr>
          <w:rFonts w:ascii="Times New Roman" w:cs="Times New Roman" w:eastAsia="Times New Roman" w:hAnsi="Times New Roman"/>
          <w:sz w:val="18"/>
          <w:szCs w:val="18"/>
          <w:color w:val="auto"/>
        </w:rPr>
        <w:t>. Subject to Sections 6.01 and 6.02,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Section 7.01, which record date may be set at any time or from time to time by notice to the Trustee, for any date or dates (in the case of any adjournment or resolicitation) not more than 90 days nor less than 20 days prior to the proposed date of such vote or consent, and’ thereafter, notwithstanding any other provisions hereof, only holders of Securities of record on such record date shall be entitled to so vote or give such consent or to withdraw such vote or consent.</w:t>
      </w:r>
    </w:p>
    <w:p>
      <w:pPr>
        <w:spacing w:after="0" w:line="18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Who May Be Deemed Owners of Securities</w:t>
      </w:r>
      <w:r>
        <w:rPr>
          <w:rFonts w:ascii="Times New Roman" w:cs="Times New Roman" w:eastAsia="Times New Roman" w:hAnsi="Times New Roman"/>
          <w:sz w:val="18"/>
          <w:szCs w:val="18"/>
          <w:color w:val="auto"/>
        </w:rPr>
        <w:t>. The Company,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neither the Company nor the Trustee nor any Paying Agent nor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8" w:name="page49"/>
    <w:bookmarkEnd w:id="48"/>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8"/>
          <w:szCs w:val="18"/>
          <w:i w:val="1"/>
          <w:iCs w:val="1"/>
          <w:color w:val="auto"/>
        </w:rPr>
        <w:t>Securities Owned by Company Deemed Not Outstanding</w:t>
      </w:r>
      <w:r>
        <w:rPr>
          <w:rFonts w:ascii="Times New Roman" w:cs="Times New Roman" w:eastAsia="Times New Roman" w:hAnsi="Times New Roman"/>
          <w:sz w:val="18"/>
          <w:szCs w:val="18"/>
          <w:color w:val="auto"/>
        </w:rPr>
        <w:t>. In determining whether the Holders of the requisite aggregate Principal Amount of Securities of any series have concurred in any direction, consent or waiver under this Indenture, Securities of such series which are owned by the Company or any other obligor on the Securities of such series or by any person directly or indirectly controlling or controlled by or under direct or indirect common control with the Company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person directly or indirectly controlling or controlled by or under direct or indirect common control with the Company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Sections 6.01 and 6.02, the Trustee shall be entitled to accept such Officers’ Certificate as conclusive evidence of the facts therein set forth and of the fact that all Securities of such series not listed therein are outstanding for the purpose of any such determination.</w:t>
      </w:r>
    </w:p>
    <w:p>
      <w:pPr>
        <w:spacing w:after="0" w:line="18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Record Date for Action by Securityholders</w:t>
      </w:r>
      <w:r>
        <w:rPr>
          <w:rFonts w:ascii="Times New Roman" w:cs="Times New Roman" w:eastAsia="Times New Roman" w:hAnsi="Times New Roman"/>
          <w:sz w:val="18"/>
          <w:szCs w:val="18"/>
          <w:color w:val="auto"/>
        </w:rPr>
        <w:t>.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Securityholders of such series called pursuant to Article 8, the Company, pursuant to a resolution of its Board of Directors, or the Holders of at least ten percent in aggregate principal amount of the Securities of such series then outstanding, may request the Trustee to fix a record date for determining Securityholders entitled to notice of and to take any such action. In case the Company or the Holders of Securities of such series in the amount above specified shall desire to request Securityholders of such series to take any action and shall request the Trustee to fix a record date with respect thereto by written notice setting forth in reasonable detail the Securityholder action to be requested, the Trustee shall promptly (but in any event within five days of receipt of such request) fix a record date that shall be a business day not less than 15 nor more than 20 days after the date on which the Trustee receives such request. If the Trustee shall fail to fix a record date as hereinabove provided, then the Company or the Holders of Securities of such series in the amount above specified may fix the same by mailing written notice thereof (the record date so fixed to be a business day not less than 15 nor more than 20 days after the date on which such written notice shall be given) to the Trustee. If a record date is fixed according to this Section 7.05, only persons shown as Securityholders of such series on the registration books for the Company at the close of business on the record date so fixed shall be entitled to take the requested action and the taking of such action by the Holders of Securities- of such series on the record date of the required percentage of the aggregate Principal Amount of the Securities shall be binding on all Securityholders of such series, provided that the taking of the requested action by the Holders of Securities of such series on the record date of the percentage in aggregate Principal Amount of the Securities in connection with such action shall have been evidenced to the Trustee, as provided in Section 7.01, not later than 180 days after such record date.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8" w:right="439" w:bottom="1440" w:gutter="0" w:footer="0" w:header="0"/>
        </w:sectPr>
      </w:pPr>
    </w:p>
    <w:bookmarkStart w:id="49" w:name="page50"/>
    <w:bookmarkEnd w:id="4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7.06. </w:t>
      </w:r>
      <w:r>
        <w:rPr>
          <w:rFonts w:ascii="Times New Roman" w:cs="Times New Roman" w:eastAsia="Times New Roman" w:hAnsi="Times New Roman"/>
          <w:sz w:val="18"/>
          <w:szCs w:val="18"/>
          <w:i w:val="1"/>
          <w:iCs w:val="1"/>
          <w:color w:val="auto"/>
        </w:rPr>
        <w:t>Right of Revocation of Action Taken</w:t>
      </w:r>
      <w:r>
        <w:rPr>
          <w:rFonts w:ascii="Times New Roman" w:cs="Times New Roman" w:eastAsia="Times New Roman" w:hAnsi="Times New Roman"/>
          <w:sz w:val="18"/>
          <w:szCs w:val="18"/>
          <w:color w:val="auto"/>
        </w:rPr>
        <w:t>. At any time prior to (but not after) the evidencing to the Trustee, as provided in Section 7.01,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the Trustee and the holders of all the Securities of such series.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SECURITYHOLDERS’ MEETINGS</w:t>
      </w:r>
    </w:p>
    <w:p>
      <w:pPr>
        <w:spacing w:after="0" w:line="20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Purposes for Which Meeting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the provisions of this Article 8 for any of the following purposes:</w:t>
      </w:r>
    </w:p>
    <w:p>
      <w:pPr>
        <w:spacing w:after="0" w:line="160" w:lineRule="exact"/>
        <w:rPr>
          <w:sz w:val="20"/>
          <w:szCs w:val="20"/>
          <w:color w:val="auto"/>
        </w:rPr>
      </w:pPr>
    </w:p>
    <w:p>
      <w:pPr>
        <w:ind w:right="440"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or to consent to the waiving of any default or Event of Default with respect to the Securities of such series hereunder and its consequences, or take any other action authorized to be taken by Securityholders of such series pursuant to any of the provisions of Article 5;</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appoint a successor trustee with respect to the Securities of such series pursuant to the provisions of Article 6;</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9.02; or</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the percentage in aggregate Principal Amount of the Securities of such series under any other provisions of this Indenture or under applicable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8" w:right="439" w:bottom="1440" w:gutter="0" w:footer="0" w:header="0"/>
        </w:sectPr>
      </w:pPr>
    </w:p>
    <w:bookmarkStart w:id="50" w:name="page51"/>
    <w:bookmarkEnd w:id="50"/>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Times New Roman" w:cs="Times New Roman" w:eastAsia="Times New Roman" w:hAnsi="Times New Roman"/>
          <w:sz w:val="18"/>
          <w:szCs w:val="18"/>
          <w:i w:val="1"/>
          <w:iCs w:val="1"/>
          <w:color w:val="auto"/>
        </w:rPr>
        <w:t>Manner of Calling Meetings: Record Date</w:t>
      </w:r>
      <w:r>
        <w:rPr>
          <w:rFonts w:ascii="Times New Roman" w:cs="Times New Roman" w:eastAsia="Times New Roman" w:hAnsi="Times New Roman"/>
          <w:sz w:val="18"/>
          <w:szCs w:val="18"/>
          <w:color w:val="auto"/>
        </w:rPr>
        <w:t>. The Trustee may at any time call a meeting of Securityholders of any series to take any action specified in Section 8.01, to be held at such time and at such place in The City of New York, New York, or as the Trustee shall determine. Notice of every meeting of Securityholders of any series setting forth the time and the place of such meeting and in general terms the action proposed to be taken at such meeting, shall be mailed not less than 10 nor more than 60 days prior to the date fixed for the meeting to such Securityholders at their registered addresses. For the purpose of determining Securityholders entitled to notice of any meeting of Securityholders, the Trustee shall fix in advance a date as the record date for such determination, such date to be a business day not more than 10 days prior to the date of the mailing of such notice as hereinabove provided. Only persons in whose name a Security of such series is registered upon the books of the Company on a record date fixed by the Trustee as aforesaid, or by the Company or the Securityholders as in Section 8.03 provided, shall be entitled to notice of the meeting of Securityholders with respect to which such record date was so fixed.</w:t>
      </w:r>
    </w:p>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Call of Meeting by Company or Securityholders</w:t>
      </w:r>
      <w:r>
        <w:rPr>
          <w:rFonts w:ascii="Times New Roman" w:cs="Times New Roman" w:eastAsia="Times New Roman" w:hAnsi="Times New Roman"/>
          <w:sz w:val="18"/>
          <w:szCs w:val="18"/>
          <w:color w:val="auto"/>
        </w:rPr>
        <w:t>. In case at any time the Company, pursuant to a resolution of its Board of Directors, or the Holders of at least 10 percent in aggregate principal amount of the Securities of any series then outstanding, shall have requested the Trustee to call a meeting of the Securityholders of such series.to take any action authorized in Section 8.01 by written request setting forth in reasonable detail the action proposed to be taken at the meeting, and the Trustee shall not have mailed notice of such meeting within 20 days after receipt of such request, then the Company or the Holders of Securities of such series in the amount above specified may fix the record date with respect to, and determine the time and the place for, such meeting and may call such meeting to take any action authorized in Section 8.01, by mailing notice thereof as provided in Section 8.02. The record date fixed as provided in the preceding sentence shall be set forth in a written notice to the Trustee and shall be a business day not less than 15 nor more than 20 days after the date on which such notice is sent to the Trustee.</w:t>
      </w:r>
    </w:p>
    <w:p>
      <w:pPr>
        <w:spacing w:after="0" w:line="185"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Who May Attend and Vote at Meeting</w:t>
      </w:r>
      <w:r>
        <w:rPr>
          <w:rFonts w:ascii="Times New Roman" w:cs="Times New Roman" w:eastAsia="Times New Roman" w:hAnsi="Times New Roman"/>
          <w:sz w:val="18"/>
          <w:szCs w:val="18"/>
          <w:color w:val="auto"/>
        </w:rPr>
        <w:t>. To be entitled to vote at any meeting of Securityholders of any series, a person shall be a Holder of one or more Securities of such series. The only persons who shall be entitled to be present or to speak at any meeting of Securityholders of any series shall be the persons entitled to vote at such meeting and their counsel and any representatives of the Trustee and its counsel and any representatives of the Company and its counsel. When a determination of Securityholders entitled to vote at any meeting of Securityholders has been made as provided in this Section 8.04, such determination shall apply to any adjournment thereof.</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Notwithstanding any other provisions of this Indenture, the Trustee may make such reasonable regulations as it may deem advisable for any meeting of Securityholders of any series, in regard to proof of the holding of the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Section 8.06.</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68" w:right="479" w:bottom="1440" w:gutter="0" w:footer="0" w:header="0"/>
        </w:sectPr>
      </w:pPr>
    </w:p>
    <w:bookmarkStart w:id="51" w:name="page52"/>
    <w:bookmarkEnd w:id="51"/>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by an instrument in writing, appoint a temporary chairman of the meeting, unless the meeting shall have been called by the Company or by Securityholders as provided in Section 8.03, in which case the Company or the Securityholders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the provisions of Section 7.04, at any meeting each Securityholder or proxy entitled to vote thereat shall be entitled to one vote for each $1,000 principal amount of Securities of such series held or represented by him; provided that no vote shall be cast or counted at any meeting in respect of any Security challenged as not outstanding and ruled by the chairman of the meeting to be not outstanding. The chairman of the meeting shall have no right to vote other than by virtue of Securities held by him or instruments in writing as aforesaid duly designating him as the person to vote on behalf of other Securityholders. Any meeting of Securityholders duly called pursuant to the provisions of Section 8.02 or 8.03 may be adjourned from time to time, and the meeting may be held as so adjourned without further notice.</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At any meeting of Securityholders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spacing w:after="0" w:line="18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Manner of Voting at Meetings and Record to be Kept</w:t>
      </w:r>
      <w:r>
        <w:rPr>
          <w:rFonts w:ascii="Times New Roman" w:cs="Times New Roman" w:eastAsia="Times New Roman" w:hAnsi="Times New Roman"/>
          <w:sz w:val="18"/>
          <w:szCs w:val="18"/>
          <w:color w:val="auto"/>
        </w:rPr>
        <w:t>. The vote upon any resolution submitted to any meeting of Securityholders of any series shall be by written ballots on each of which shall be subscribed the signature of the Securityholder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8.02.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2" w:name="page53"/>
    <w:bookmarkEnd w:id="52"/>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counterpart record so signed and verified shall be conclusive evidence of the matters therein stated and shall be the record referred to in clause (b) of Section 7.01.</w:t>
      </w:r>
    </w:p>
    <w:p>
      <w:pPr>
        <w:spacing w:after="0" w:line="160" w:lineRule="exact"/>
        <w:rPr>
          <w:sz w:val="20"/>
          <w:szCs w:val="20"/>
          <w:color w:val="auto"/>
        </w:rPr>
      </w:pPr>
    </w:p>
    <w:p>
      <w:pPr>
        <w:ind w:right="5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Exercise of Rights of Trustee and Securityholders Not to be Hindered or Delayed</w:t>
      </w:r>
      <w:r>
        <w:rPr>
          <w:rFonts w:ascii="Times New Roman" w:cs="Times New Roman" w:eastAsia="Times New Roman" w:hAnsi="Times New Roman"/>
          <w:sz w:val="18"/>
          <w:szCs w:val="18"/>
          <w:color w:val="auto"/>
        </w:rPr>
        <w:t>. Nothing in this Article 8 contained shall be deemed or construed to authorize or permit, by reason of any call of a meeting of Securityholders or any rights expressly or impliedly conferred hereunder to make such call, any hindrance or delay in the exercise of any right or rights conferred upon or reserved to the Trustee or to the Securityholders of any series under any of the provisions of this Indenture or of the Securities of such series.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9.01. </w:t>
      </w:r>
      <w:r>
        <w:rPr>
          <w:rFonts w:ascii="Times New Roman" w:cs="Times New Roman" w:eastAsia="Times New Roman" w:hAnsi="Times New Roman"/>
          <w:sz w:val="17"/>
          <w:szCs w:val="17"/>
          <w:i w:val="1"/>
          <w:iCs w:val="1"/>
          <w:color w:val="auto"/>
        </w:rPr>
        <w:t>Supplemental Indentures Without Consent of Holders</w:t>
      </w:r>
      <w:r>
        <w:rPr>
          <w:rFonts w:ascii="Times New Roman" w:cs="Times New Roman" w:eastAsia="Times New Roman" w:hAnsi="Times New Roman"/>
          <w:sz w:val="17"/>
          <w:szCs w:val="17"/>
          <w:color w:val="auto"/>
        </w:rPr>
        <w:t>. The Company and the Trustee may amend or supplement this Indenture or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any series without the consent of any Holder:</w:t>
      </w:r>
    </w:p>
    <w:p>
      <w:pPr>
        <w:spacing w:after="0" w:line="207" w:lineRule="exact"/>
        <w:rPr>
          <w:sz w:val="20"/>
          <w:szCs w:val="20"/>
          <w:color w:val="auto"/>
        </w:rPr>
      </w:pPr>
    </w:p>
    <w:p>
      <w:pPr>
        <w:ind w:left="680" w:hanging="24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assumption of the Company’s obligations to the Holders of the Securities in the case of any transaction pursuant to Article 10</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7"/>
          <w:szCs w:val="17"/>
          <w:color w:val="auto"/>
        </w:rPr>
      </w:pPr>
    </w:p>
    <w:p>
      <w:pPr>
        <w:ind w:right="24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61" w:lineRule="exact"/>
        <w:rPr>
          <w:rFonts w:ascii="Times New Roman" w:cs="Times New Roman" w:eastAsia="Times New Roman" w:hAnsi="Times New Roman"/>
          <w:sz w:val="18"/>
          <w:szCs w:val="18"/>
          <w:color w:val="auto"/>
        </w:rPr>
      </w:pPr>
    </w:p>
    <w:p>
      <w:pPr>
        <w:ind w:right="600" w:firstLine="436"/>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all or any series of Securities or that does not adversely affect the legal rights hereunder of any such Holder;</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this Indenture under the Trust Indenture 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or successive successions, and the assumption by the successor person of the covenants, agreements and obligations of the Company.</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supplemental indenture, and upon receipt by the Trustee of the documents described in Section 9.04 hereof, the Trustee shall join with the Company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Times New Roman" w:cs="Times New Roman" w:eastAsia="Times New Roman" w:hAnsi="Times New Roman"/>
          <w:sz w:val="18"/>
          <w:szCs w:val="18"/>
          <w:i w:val="1"/>
          <w:iCs w:val="1"/>
          <w:color w:val="auto"/>
        </w:rPr>
        <w:t>With Consent of Holders</w:t>
      </w:r>
      <w:r>
        <w:rPr>
          <w:rFonts w:ascii="Times New Roman" w:cs="Times New Roman" w:eastAsia="Times New Roman" w:hAnsi="Times New Roman"/>
          <w:sz w:val="18"/>
          <w:szCs w:val="18"/>
          <w:color w:val="auto"/>
        </w:rPr>
        <w:t>. Except as provided in the next succeeding paragraphs, this Indenture or the Securities may be amended or supplemented with the consent of the Holders of at least a majority in aggregate Principal Amount of the Securities then outstanding affected by such supplemental indenture, and any existing default or compliance with any provision of this Indenture or the Securities of any series may be waived with the consent of the Holders of a majority in aggregate Principal Amount of the then outstanding Securities affected by such default or compliance.</w:t>
      </w:r>
    </w:p>
    <w:p>
      <w:pPr>
        <w:spacing w:after="0" w:line="18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Section 9.04 hereof,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6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Sections 5.04 and 5.07 hereof, the Holders of a majority in aggregate Principal Amount of the Securities then outstanding affected may waive compliance in a particular instance by the Company with any provision of this Indenture or such Securities. Without the consent of each Holder affected hereby, however, an amendment or waiver may not:</w:t>
      </w:r>
    </w:p>
    <w:p>
      <w:pPr>
        <w:spacing w:after="0" w:line="168" w:lineRule="exact"/>
        <w:rPr>
          <w:sz w:val="20"/>
          <w:szCs w:val="20"/>
          <w:color w:val="auto"/>
        </w:rPr>
      </w:pPr>
    </w:p>
    <w:p>
      <w:pPr>
        <w:ind w:left="680" w:hanging="244"/>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of any series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440" w:top="268" w:right="519" w:bottom="1440" w:gutter="0" w:footer="0" w:header="0"/>
        </w:sectPr>
      </w:pPr>
    </w:p>
    <w:bookmarkStart w:id="54" w:name="page55"/>
    <w:bookmarkEnd w:id="54"/>
    <w:p>
      <w:pPr>
        <w:ind w:right="80" w:firstLine="436"/>
        <w:spacing w:after="0" w:line="258"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modify any of the provisions of this Section 9.02, Section 5.04 or Section 4.08, except to increase the percentage in Principal Amount of Holders required under any such Section or to provide that certain other provisions of this Indenture cannot be modified or waived without the consent of the Holder of each outstanding Security affected thereby, provided that this clause (c) will not be deemed to require the consent of any Holder with respect to changes in the references to “the Trustee” and concomitant changes in this Section 9.02, Section 5.04 and Section 4.08, or the deletion of this proviso, in accordance with the requirements of Section 6.11; or</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sentence of this Section 9.02.</w:t>
      </w:r>
    </w:p>
    <w:p>
      <w:pPr>
        <w:spacing w:after="0" w:line="22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Effect of Supplemental Indenture</w:t>
      </w:r>
      <w:r>
        <w:rPr>
          <w:rFonts w:ascii="Times New Roman" w:cs="Times New Roman" w:eastAsia="Times New Roman" w:hAnsi="Times New Roman"/>
          <w:sz w:val="18"/>
          <w:szCs w:val="18"/>
          <w:color w:val="auto"/>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Documents to Be Given to Trustee; Compliance with TIA</w:t>
      </w:r>
      <w:r>
        <w:rPr>
          <w:rFonts w:ascii="Times New Roman" w:cs="Times New Roman" w:eastAsia="Times New Roman" w:hAnsi="Times New Roman"/>
          <w:sz w:val="18"/>
          <w:szCs w:val="18"/>
          <w:color w:val="auto"/>
        </w:rPr>
        <w:t>. The Trustee, subject to the provisions of Sections 6.01 and 6.02, may receive an Officers’ Certificate and an Opinion of Counsel as conclusive evidence that any such supplemental indenture complies with the applicable provisions of this Indenture. Every such supplemental indenture shall comply with the TIA.</w:t>
      </w:r>
    </w:p>
    <w:p>
      <w:pPr>
        <w:spacing w:after="0" w:line="17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Notation on Securities in Respect of Supplemental Indentures</w:t>
      </w:r>
      <w:r>
        <w:rPr>
          <w:rFonts w:ascii="Times New Roman" w:cs="Times New Roman" w:eastAsia="Times New Roman" w:hAnsi="Times New Roman"/>
          <w:sz w:val="18"/>
          <w:szCs w:val="18"/>
          <w:color w:val="auto"/>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or the Trustee shall so determine, new Securities of any series so modified as to conform, in the opinion of the Trustee and the Board of Directors of the Company, to any modification of this Indenture contained in any such supplemental indenture may be prepared by the Company, authenticated by the Trustee and delivered in exchange for the Securities of such series then outstanding.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CONSOLIDATION, MERGER OR SALE OF ASSETS</w:t>
      </w:r>
    </w:p>
    <w:p>
      <w:pPr>
        <w:spacing w:after="0" w:line="20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When the Company May Merge. Etc</w:t>
      </w:r>
      <w:r>
        <w:rPr>
          <w:rFonts w:ascii="Times New Roman" w:cs="Times New Roman" w:eastAsia="Times New Roman" w:hAnsi="Times New Roman"/>
          <w:sz w:val="18"/>
          <w:szCs w:val="18"/>
          <w:color w:val="auto"/>
        </w:rPr>
        <w:t>. The Company shall not consolidate with or merge into any other Person or convey or transfer its properties and assets substantially as an entirety to any Person, unless: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5" w:name="page56"/>
    <w:bookmarkEnd w:id="55"/>
    <w:p>
      <w:pPr>
        <w:ind w:left="4" w:firstLine="436"/>
        <w:spacing w:after="0" w:line="258"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formed by such consolidation or into which the Company is merged or the Person which acquires by conveyance or transfer the properties and assets of the Company substantially as an entirety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spacing w:after="0" w:line="183" w:lineRule="exact"/>
        <w:rPr>
          <w:rFonts w:ascii="Times New Roman" w:cs="Times New Roman" w:eastAsia="Times New Roman" w:hAnsi="Times New Roman"/>
          <w:sz w:val="18"/>
          <w:szCs w:val="18"/>
          <w:color w:val="auto"/>
        </w:rPr>
      </w:pPr>
    </w:p>
    <w:p>
      <w:pPr>
        <w:ind w:left="4" w:right="460" w:firstLine="436"/>
        <w:spacing w:after="0" w:line="282"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61"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4"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Successor Corporation Substituted</w:t>
      </w:r>
      <w:r>
        <w:rPr>
          <w:rFonts w:ascii="Times New Roman" w:cs="Times New Roman" w:eastAsia="Times New Roman" w:hAnsi="Times New Roman"/>
          <w:sz w:val="18"/>
          <w:szCs w:val="18"/>
          <w:color w:val="auto"/>
        </w:rPr>
        <w:t>. Upon any consolidation or merger, or any sale, assignment, transfer, lease, conveyance or other disposition of all or substantially all of the assets of the Company in accordance with Section 10.01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corporation), and may exercise every right and power of, the Company under this Indenture with the same effect as if such successor Person had been named as the Company herein.</w:t>
      </w:r>
    </w:p>
    <w:p>
      <w:pPr>
        <w:spacing w:after="0" w:line="184" w:lineRule="exact"/>
        <w:rPr>
          <w:sz w:val="20"/>
          <w:szCs w:val="20"/>
          <w:color w:val="auto"/>
        </w:rPr>
      </w:pPr>
    </w:p>
    <w:p>
      <w:pPr>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In case of any such consolidation, merger, sale or conveyance such changes in phraseology and form (but not in substance) may be made in the Securities thereafter to be issued as may be appropriate. Notwithstanding the foregoing, (i) a consolidation or merger by the Company with or into, or</w:t>
      </w:r>
    </w:p>
    <w:p>
      <w:pPr>
        <w:spacing w:after="0" w:line="1" w:lineRule="exact"/>
        <w:rPr>
          <w:sz w:val="20"/>
          <w:szCs w:val="20"/>
          <w:color w:val="auto"/>
        </w:rPr>
      </w:pPr>
    </w:p>
    <w:p>
      <w:pPr>
        <w:ind w:left="4" w:right="340" w:hanging="4"/>
        <w:spacing w:after="0" w:line="260"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assignment, transfer, lease, conveyance or other disposition by the Company of all or substantially all of its property or assets to, one or more of its Subsidiaries shall not relieve the Company from its obligations under this Indenture and the Securities.</w:t>
      </w:r>
    </w:p>
    <w:p>
      <w:pPr>
        <w:spacing w:after="0" w:line="179" w:lineRule="exact"/>
        <w:rPr>
          <w:sz w:val="20"/>
          <w:szCs w:val="20"/>
          <w:color w:val="auto"/>
        </w:rPr>
      </w:pPr>
    </w:p>
    <w:p>
      <w:pPr>
        <w:jc w:val="both"/>
        <w:ind w:left="4"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Opinion of Counsel to Trustee</w:t>
      </w:r>
      <w:r>
        <w:rPr>
          <w:rFonts w:ascii="Times New Roman" w:cs="Times New Roman" w:eastAsia="Times New Roman" w:hAnsi="Times New Roman"/>
          <w:sz w:val="18"/>
          <w:szCs w:val="18"/>
          <w:color w:val="auto"/>
        </w:rPr>
        <w:t>. The Trustee, subject to the provisions of Sections 6.01 and 6.02, may receive an Opinion of Counsel as conclusive evidence that any such consolidation, merger, conveyance, sale, transfer, lease, exchange or other disposition complies with the applicable provisions of this Indenture.</w:t>
      </w:r>
    </w:p>
    <w:p>
      <w:pPr>
        <w:spacing w:after="0" w:line="1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205" w:lineRule="exact"/>
        <w:rPr>
          <w:sz w:val="20"/>
          <w:szCs w:val="20"/>
          <w:color w:val="auto"/>
        </w:rPr>
      </w:pPr>
    </w:p>
    <w:p>
      <w:pPr>
        <w:ind w:left="4" w:right="3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6" w:name="page57"/>
    <w:bookmarkEnd w:id="56"/>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11.02. </w:t>
      </w:r>
      <w:r>
        <w:rPr>
          <w:rFonts w:ascii="Times New Roman" w:cs="Times New Roman" w:eastAsia="Times New Roman" w:hAnsi="Times New Roman"/>
          <w:sz w:val="18"/>
          <w:szCs w:val="18"/>
          <w:i w:val="1"/>
          <w:iCs w:val="1"/>
          <w:color w:val="auto"/>
        </w:rPr>
        <w:t>Notice of Redemption; Partial Redemptions</w:t>
      </w:r>
      <w:r>
        <w:rPr>
          <w:rFonts w:ascii="Times New Roman" w:cs="Times New Roman" w:eastAsia="Times New Roman" w:hAnsi="Times New Roman"/>
          <w:sz w:val="18"/>
          <w:szCs w:val="18"/>
          <w:color w:val="auto"/>
        </w:rPr>
        <w:t>. Notice of redemption to the Holders of Securities of any series to be redeemed as a whole or in part shall be given by mailing notice of such redemption by first class mail, postage prepaid, at least 10 days and not more than 60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18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89"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 with accrued interest to the date fixed for redemption. The Company will deliver to the Trustee at least 10 days prior to the date fixed for redemption an Officers’ Certificate stating the aggregate Principal Amount of Securities of such series to be redeemed. The Company will calculate the redemption price and neither the Trustee nor the Paying Agent will be responsible for verifying or calculating the redemption price.</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less than all the Securities of a series are to be redeemed, the Trustee shall select, either pro rata, by lot or by any other method it shall deem fair and reasonable, Securities to be redeemed in whole or in part. Securities may be redeemed in part only in denominations equal to the minimum authorized denomination for Securities of that series or any integral multiple thereof. The Trustee shall promptly notify the Company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8" w:right="459" w:bottom="1440" w:gutter="0" w:footer="0" w:header="0"/>
        </w:sectPr>
      </w:pPr>
    </w:p>
    <w:bookmarkStart w:id="57" w:name="page58"/>
    <w:bookmarkEnd w:id="5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7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Payment of Securities Called for Redemption</w:t>
      </w:r>
      <w:r>
        <w:rPr>
          <w:rFonts w:ascii="Times New Roman" w:cs="Times New Roman" w:eastAsia="Times New Roman" w:hAnsi="Times New Roman"/>
          <w:sz w:val="18"/>
          <w:szCs w:val="18"/>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Company shall default in the payment of such Securities at the redemption price, together with interest accrued to said date) interest on the Securities or portions of Securities so called for redemption shall cease to accrue and, except as provided in Sections 6.05 and 12.06,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 price, together with interest accrued thereon to the date fixed for redemption; provided that any payment of interest becoming due on the date fixed for redemption shall be payable to the holders of such Securities registered as such on the relevant Regular Record Date subject to the terms and provisions of Section 3.05 hereof.</w:t>
      </w:r>
    </w:p>
    <w:p>
      <w:pPr>
        <w:spacing w:after="0" w:line="194"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shall, until paid or duly provided for, bear interest from the date fixed for redemption at the rate borne by the Security.</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Upon presentation of any Security redeemed in part only, the Company shall execute and the Trustee shall authenticate and make available for delivery to or on the order of the Holder thereof, at the expense of the Company, a new Security or Securities of authorized denominations, in Principal Amount equal to the unredeemed portion of the Security so presented.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DEFEASANCE AND COVENANT DEFEASANCE</w:t>
      </w:r>
    </w:p>
    <w:p>
      <w:pPr>
        <w:spacing w:after="0" w:line="20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the Article: Company’s Option to Effect Defeasance or Covenant Defeasance</w:t>
      </w:r>
      <w:r>
        <w:rPr>
          <w:rFonts w:ascii="Times New Roman" w:cs="Times New Roman" w:eastAsia="Times New Roman" w:hAnsi="Times New Roman"/>
          <w:sz w:val="18"/>
          <w:szCs w:val="18"/>
          <w:color w:val="auto"/>
        </w:rPr>
        <w:t>. Unless pursuant to Section 3.01 provision is made for the inapplicability of either or both of (a) defeasance of the Securities of a series under Section 12.02 or (b) covenant defeasance of the Securities of a series under Section 12.03, then the provisions of such Section or Sections, as the case may be, together with the other provisions of this Article, shall be applicable to the Securities of such series, and the Company may, at its option, by resolution of its Board of Directors, at any time, elect to have either Section 12.02 or Section 12.03 applied to the outstanding Securities of a series upon compliance with the conditions set forth below in this Article 12.</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40" w:top="270" w:right="499" w:bottom="1440" w:gutter="0" w:footer="0" w:header="0"/>
        </w:sectPr>
      </w:pPr>
    </w:p>
    <w:bookmarkStart w:id="58" w:name="page59"/>
    <w:bookmarkEnd w:id="5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12.02. Legal Defeasance and Discharge. Upon the Company’s exercise of the option provided under Section 12.01 hereof to defease the outstanding Securities of a particular series under this Section -12.02, the Company shall be deemed to have been discharged from its obligations with respect to such outstanding Securities on the date the conditions set forth below are satisfied (hereinafter,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such Legal Defeasance means that the Company shall be deemed to have paid and discharged the entire indebtedness represented by the outstanding Securities of such series, which shall thereafter be deemed to be “outstanding” only for the purposes of Section 12.05 hereof and the other Sections of this Indenture referred to in clauses (i) and (ii) of this Section 12.02,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Section 12.04 hereof, and as more fully set forth in such Section, payments in respect of the principal of (and premium, if any) and interest, if any, on such Securities when such payments are due, (ii) the Company’s obligations with respect to such Securities under Sections 3.06, 3.07, 3.08(a), 3.09, 3.11, and 12.05 hereof, (iii) the rights, powers, trusts, duties and immunities of the Trustee hereunder, including, without limitation, the Trustee’s rights under Section 6.07 hereof, and the Company’s obligations in connection therewith and with this Article 12. Subject to compliance with this Article 12, the Company may exercise its option under this Section 12.02 notwithstanding the prior exercise of its option under Section 12.03 hereof with respect to the Securities of such series.</w:t>
      </w:r>
    </w:p>
    <w:p>
      <w:pPr>
        <w:spacing w:after="0" w:line="19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Upon the Company’s exercise of the option provided under Section 12.01 hereof to obtain a covenant defeasance with respect to the outstanding Securities of a particular series under this Section 12.03, the Company shall be released from its obligations under the covenants contained in Article 4 and Section 10.01 hereof and the covenants contained in any supplemental indenture applicable to such series, with respect to the outstanding Securities of such series on and after the date the conditions set forth below are satisfied (hereinafter, “</w:t>
      </w:r>
      <w:r>
        <w:rPr>
          <w:rFonts w:ascii="Times New Roman" w:cs="Times New Roman" w:eastAsia="Times New Roman" w:hAnsi="Times New Roman"/>
          <w:sz w:val="18"/>
          <w:szCs w:val="18"/>
          <w:b w:val="1"/>
          <w:bCs w:val="1"/>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and the Securities of such series shall thereafter be deemed not outstanding for the purposes of any direction, waiver, consent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5.01(c) with respect to outstanding Securities of such series, but, except as specified above, the remainder of this Indenture and of the Securities of such series shall be unaffected thereby.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70" w:right="499" w:bottom="1440" w:gutter="0" w:footer="0" w:header="0"/>
        </w:sectPr>
      </w:pPr>
    </w:p>
    <w:bookmarkStart w:id="59" w:name="page60"/>
    <w:bookmarkEnd w:id="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12.04. </w:t>
      </w:r>
      <w:r>
        <w:rPr>
          <w:rFonts w:ascii="Times New Roman" w:cs="Times New Roman" w:eastAsia="Times New Roman" w:hAnsi="Times New Roman"/>
          <w:sz w:val="18"/>
          <w:szCs w:val="18"/>
          <w:i w:val="1"/>
          <w:iCs w:val="1"/>
          <w:color w:val="auto"/>
        </w:rPr>
        <w:t>Conditions to Legal or Covenant Defeasance</w:t>
      </w:r>
      <w:r>
        <w:rPr>
          <w:rFonts w:ascii="Times New Roman" w:cs="Times New Roman" w:eastAsia="Times New Roman" w:hAnsi="Times New Roman"/>
          <w:sz w:val="18"/>
          <w:szCs w:val="18"/>
          <w:color w:val="auto"/>
        </w:rPr>
        <w:t>. The following shall be the conditions to the application of either Section 12.02 or</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12.03 hereof to the outstanding Securities of a particular series:</w:t>
      </w:r>
    </w:p>
    <w:p>
      <w:pPr>
        <w:spacing w:after="0" w:line="207" w:lineRule="exact"/>
        <w:rPr>
          <w:sz w:val="20"/>
          <w:szCs w:val="20"/>
          <w:color w:val="auto"/>
        </w:rPr>
      </w:pPr>
    </w:p>
    <w:p>
      <w:pPr>
        <w:ind w:left="4" w:right="20" w:firstLine="436"/>
        <w:spacing w:after="0" w:line="255"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6.10 who shall agree to comply with the provisions of this Article 12 applicable to it) as trust funds in trust for the purpose of making the following payments, specifically pledged as security for, and dedicated solely to, the benefit of the Holders of such Securities cash or Government Securities, or a combination thereof, in such amounts as will be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12.02 hereof, the Company shall have delivered to the Trustee an Opinion of Counsel confirming that</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 (ii) since the date hereof, there has been a change in the applicable U.S. federal income tax law, in either case to the effect that, and based thereon such Opinion of Counsel shall confirm that, the beneficial owners of the outstanding Securities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6"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12.03 hereof, the Company shall have delivered to the Trustee an Opinion of Counsel confirming that the beneficial owners of the outstanding Securities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(or event that, with the giving of notice or lapse of time or both would become an Event of Default) with respect to the Securities of such series shall have occurred and be continuing on the date of such deposit or, insofar as Section 5.01(d) or 5.01(e) hereof is concerned, at any time in the period ending on the 124th day after the date of such deposit (it being understood that this condition shall not be deemed satisfied until the expiration of such period).</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4"/>
          </w:cols>
          <w:pgMar w:left="436" w:top="268" w:right="499" w:bottom="1440" w:gutter="0" w:footer="0" w:header="0"/>
        </w:sectPr>
      </w:pPr>
    </w:p>
    <w:bookmarkStart w:id="60" w:name="page61"/>
    <w:bookmarkEnd w:id="60"/>
    <w:p>
      <w:pPr>
        <w:ind w:right="16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Legal Defeasance or Covenant Defeasance shall not result in a breach or violation of, or constitute a default under any material agreement or instrument (other than this Indenture) to which the Company is a party or by which the Company is bound (other than a breach, violation or default resulting from the borrowing of funds to be applied to such deposit).</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made by the Company pursuant to its election under Section 12.02 or 12.03 hereof was not made by the Company with the intent of preferring the Holders of the affected Securities over the other creditors of the Company with the intent of defeating, hindering, delaying or defrauding creditors of the Company, or others.</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be effected in compliance with any additional terms, conditions or limitations which may be imposed on the Company in connection therewith pursuant to Section 3.01.</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either the Legal Defeasance under Section 12.02 hereof or the Covenant Defeasance under Section 12.03 hereof (as the case may be) have been complied with as contemplated by this Section 12.04.</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Deposited Money and Government Securities to be Held in Trust; Other Miscellaneous Provisions</w:t>
      </w:r>
      <w:r>
        <w:rPr>
          <w:rFonts w:ascii="Times New Roman" w:cs="Times New Roman" w:eastAsia="Times New Roman" w:hAnsi="Times New Roman"/>
          <w:sz w:val="18"/>
          <w:szCs w:val="18"/>
          <w:color w:val="auto"/>
        </w:rPr>
        <w:t>. Subject to Section 12.06 hereof, all money and non-callable Government Securities (including the proceeds thereof) deposited with the Trustee pursuant to Section 12.04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8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12.04 hereof or the principal and interest received in respect thereof other than any such tax, fee or other charge that by law is for the account of the Holders of the outstanding Securities of such series.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Anything in this Article 12 to the contrary notwithstanding, the Trustee shall deliver or pay to the Company from time to time upon the Company’s request any money or non-callable Government Securities held by it as provided in Section 12.04 hereof with respect to the Securities of any series which, in the opinion of a nationally recognized firm of independent public accountants expressed in a written certification thereof delivered to the Trustee (which may be the opinion delivered under Section 12.04(a) hereof), are in excess of the amount thereof which would then be required to be deposited to effect an equivalent Legal Defeasance or Covenant Defeasance.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1" w:name="page62"/>
    <w:bookmarkEnd w:id="61"/>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12.06 </w:t>
      </w:r>
      <w:r>
        <w:rPr>
          <w:rFonts w:ascii="Times New Roman" w:cs="Times New Roman" w:eastAsia="Times New Roman" w:hAnsi="Times New Roman"/>
          <w:sz w:val="18"/>
          <w:szCs w:val="18"/>
          <w:i w:val="1"/>
          <w:iCs w:val="1"/>
          <w:color w:val="auto"/>
        </w:rPr>
        <w:t>Repayment to the Company</w:t>
      </w:r>
      <w:r>
        <w:rPr>
          <w:rFonts w:ascii="Times New Roman" w:cs="Times New Roman" w:eastAsia="Times New Roman" w:hAnsi="Times New Roman"/>
          <w:sz w:val="18"/>
          <w:szCs w:val="18"/>
          <w:color w:val="auto"/>
        </w:rPr>
        <w:t>. Any money deposited with the Trustee or any paying agent, or then held by the Company, in trust for the payment of the principal of (and premium, if any) and interest, if any, on any Security and remaining unclaimed for two years after such principal, or interest or premium, if any, has become due and payable shall be paid to the Company on its written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If the Trustee or paying agent is unable to apply any U.S. Dollars or non- callable Government Securities in accordance with Section 12.02 or 12.03 hereof, as the case may be,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 12.02 or 12.03 hereof until such time as the Trustee or paying agent is permitted to apply all such money in accordance with Section 12.02 or 12.03 hereof, as the case may be; provided that, if the Company makes any payment of principal of, or interest or premium, if any, on any Security following the reinstatement of its obligations, the Company shall be subrogated to the rights of the Holders of such Security to receive such payment from the money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spacing w:after="0" w:line="182" w:lineRule="exact"/>
        <w:rPr>
          <w:sz w:val="20"/>
          <w:szCs w:val="20"/>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0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(A) Securities which have been destroyed, lost or stolen and which have been replaced or paid as provided in Section 3.09, and (B) Securities for whose payment money has theretofore been (x) deposited in trust or segregated and held in trust by the Company and thereafter repaid to the Company or discharged from such trust, as provided in Section 4.03(c) or (y) paid to any State or the District of Columbia pursuant to its unclaimed property or similar laws) have been delivered to the security register for cancellation; or</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security register for cancellation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8" w:right="459" w:bottom="1440" w:gutter="0" w:footer="0" w:header="0"/>
        </w:sectPr>
      </w:pPr>
    </w:p>
    <w:bookmarkStart w:id="62" w:name="page63"/>
    <w:bookmarkEnd w:id="62"/>
    <w:p>
      <w:pPr>
        <w:ind w:left="1680" w:hanging="292"/>
        <w:spacing w:after="0"/>
        <w:tabs>
          <w:tab w:leader="none" w:pos="1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become due and payable,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980" w:firstLine="408"/>
        <w:spacing w:after="0" w:line="256" w:lineRule="auto"/>
        <w:tabs>
          <w:tab w:leader="none" w:pos="166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and the Company, in the case of (A), (B) or (C) above, has deposited or caused to be deposited with the Trustee, as trust funds in trust for the purpose, cash or Government Securities, or a combination thereof, in such amounts as will be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with respect to such Securities; and</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6.07 and, if money shall have been deposited with the Trustee pursuant to subclause (ii) of clause (a) of this Section, the obligations of the Trustee under Section 13.02 and the last paragraph of Section 4.03 shall survive.</w:t>
      </w:r>
    </w:p>
    <w:p>
      <w:pPr>
        <w:spacing w:after="0" w:line="17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Subject to the provisions of the last paragraph of Section 4.03, all money deposited with the Trustee pursuant to Section 13.01 shall be held in trust and applied by it, in accordance with the provisions of the Securities and this Indenture, to the payment, either directly or through any Paying Agent, as the Trustee may determine, to the Persons entitled thereto, of the principal (and premium, if any) and interest, if any, for whose payment such money has been deposited with the Trustee.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HOLDERS’ LISTS AND REPORTS BY TRUSTEE AND COMPANY</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227" w:lineRule="exact"/>
        <w:rPr>
          <w:sz w:val="20"/>
          <w:szCs w:val="20"/>
          <w:color w:val="auto"/>
        </w:rPr>
      </w:pPr>
    </w:p>
    <w:p>
      <w:pPr>
        <w:ind w:firstLine="436"/>
        <w:spacing w:after="0" w:line="261"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3" w:name="page64"/>
    <w:bookmarkEnd w:id="63"/>
    <w:p>
      <w:pPr>
        <w:ind w:right="6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provided that so long as the Trustee is the Registrar, no such list shall be required to be furnished.</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Preservation of Information: Communications to 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66"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the names and addresses of Holders contained in the most recent list furnished to the Trustee as provided in Section 14.01 and the names and addresses of Holders received by the Trustee in its capacity as the Registrar. The Trustee may destroy any list furnished to it as provided in Section 14.01 upon receipt of a new list so furnished.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Reports by the Trustee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2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15th following the date of this Indenture (commencing May 15, 2026) deliver to Holders a brief report dated as of such May 15th, which complies with the provisions of such Section 313(a).</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securities exchange upon which Securities of any series are listed, with the Commission and with the Company. The Company will promptly notify the Trustee when any Securities are listed on any securities exchange and of any delisting thereof.</w:t>
      </w:r>
    </w:p>
    <w:p>
      <w:pPr>
        <w:spacing w:after="0" w:line="174"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14.04. </w:t>
      </w:r>
      <w:r>
        <w:rPr>
          <w:rFonts w:ascii="Times New Roman" w:cs="Times New Roman" w:eastAsia="Times New Roman" w:hAnsi="Times New Roman"/>
          <w:sz w:val="17"/>
          <w:szCs w:val="17"/>
          <w:i w:val="1"/>
          <w:iCs w:val="1"/>
          <w:color w:val="auto"/>
        </w:rPr>
        <w:t>Reports by the Company</w:t>
      </w:r>
      <w:r>
        <w:rPr>
          <w:rFonts w:ascii="Times New Roman" w:cs="Times New Roman" w:eastAsia="Times New Roman" w:hAnsi="Times New Roman"/>
          <w:sz w:val="17"/>
          <w:szCs w:val="17"/>
          <w:color w:val="auto"/>
        </w:rPr>
        <w:t>. The Company shall file with the Trustee, within 30 days after it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which the Company is required to file with the Commission pursuant to Section 13 or 15(d) of the Exchange Act; provided that any such annual and quarterly reports, information, documents and other reports and information filed with the Commission may be provided by the Company to the Trustee electronically. The Company shall comply with the other provisions of TIA Section 314(a). Delivery of such information, documents and reports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exclusively on Officers’ Certificates). At any time when the Company is not subject to Section 13 or 15(d) of the Exchange Act, upon request of Holders and prospective purchasers of Securities thereof, the Company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The Trustee shall have no obligation to determine whether or not such information, documents or reports have been filed pursuant to the EDGAR system (or its successor).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Incorporators. Stockholders. Officers and Directors of Company Exempt from Individual Liability</w:t>
      </w:r>
      <w:r>
        <w:rPr>
          <w:rFonts w:ascii="Times New Roman" w:cs="Times New Roman" w:eastAsia="Times New Roman" w:hAnsi="Times New Roman"/>
          <w:sz w:val="18"/>
          <w:szCs w:val="18"/>
          <w:color w:val="auto"/>
        </w:rPr>
        <w:t>. No recourse under or upon any obligation, covenant or agreement contained in this Indenture, or in any Security of any series, or because of any indebtedness evidenced thereby, shall be had against any incorporator, as such or against any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Provisions of Indenture for the Sole Benefit of Parties and Holders</w:t>
      </w:r>
      <w:r>
        <w:rPr>
          <w:rFonts w:ascii="Times New Roman" w:cs="Times New Roman" w:eastAsia="Times New Roman" w:hAnsi="Times New Roman"/>
          <w:sz w:val="18"/>
          <w:szCs w:val="18"/>
          <w:color w:val="auto"/>
        </w:rPr>
        <w:t>. Except as set forth in Section 15.09,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83"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Successors and Assigns of Company Bound by Indenture</w:t>
      </w:r>
      <w:r>
        <w:rPr>
          <w:rFonts w:ascii="Times New Roman" w:cs="Times New Roman" w:eastAsia="Times New Roman" w:hAnsi="Times New Roman"/>
          <w:sz w:val="18"/>
          <w:szCs w:val="18"/>
          <w:color w:val="auto"/>
        </w:rPr>
        <w:t>. All the covenants, stipulations, promises and agreements in this Indenture contained by or on behalf of the Company shall bind their successors and assigns, whether so expressed or not.</w:t>
      </w:r>
    </w:p>
    <w:p>
      <w:pPr>
        <w:spacing w:after="0" w:line="158"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5" w:name="page66"/>
    <w:bookmarkEnd w:id="6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event, and such waiver shall be the equivalent of such notice. The Trustee may waive notice to it of any provision herein, and such waiver shall be deemed to be for its convenience and discretion. Waivers of notice by Holders shall be filed with the Trustee, but such filing shall not be a condition precedent to the validity of any action taken in reliance upon such waiver. Where this Indenture provides for notice to the Trustee, such notice shall be sufficiently given (unless otherwise herein expressly provided) if in writing and mailed, first-class postage prepaid, via facsimile, or by .pdf attachment to electronic transmission to: 1 Columbus Circle, Trust and Securities Services, 4th Floor, Mail stop: NYC01-0417, New York, NY 10019, USA, facsimile: +1-732-578-4635 , Attention: Corporates Team, AA8810. Each party may, in its discretion, agree to accept notices and other communications delivered or furnished to it hereunder by electronic communication pursuant to procedures approved by them, respectively, provided that approval of such procedures may be limited to particular notices or communications. Any such notices and other communications furnished by electronic communication shall be in the form of attachments in pdf format.</w:t>
      </w:r>
    </w:p>
    <w:p>
      <w:pPr>
        <w:spacing w:after="0" w:line="188"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it shall be impracticable to mail notice to the Company and Securityholders when such notice is required to be given pursuant to any provision of this Indenture, then any manner of giving such notice as shall be satisfactory to the Trustee shall be deemed to be a sufficient giving of such notice. While Securities are in global form, notice provided via clearing systems shall be deemed to be a sufficient giving of notice.</w:t>
      </w:r>
    </w:p>
    <w:p>
      <w:pPr>
        <w:spacing w:after="0" w:line="17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Officers’ Certificates and Opinions of Counsel: Statements to Be Contained Therein</w:t>
      </w:r>
      <w:r>
        <w:rPr>
          <w:rFonts w:ascii="Times New Roman" w:cs="Times New Roman" w:eastAsia="Times New Roman" w:hAnsi="Times New Roman"/>
          <w:sz w:val="18"/>
          <w:szCs w:val="18"/>
          <w:color w:val="auto"/>
        </w:rPr>
        <w:t>.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4"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6" w:name="page67"/>
    <w:bookmarkEnd w:id="6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certificate, statement or opinion of an officer of the Company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89"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Any certificate, statement or opinion of an officer of the Company or of counsel may be based, insofar as it relates to accounting matters, upon a certificate or opinion of or representations by an accountant or firm of accountants in the employ of the Company unless such officer or counsel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80"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Any certificate or opinion of any independent firm of public accountants filed with the Trustee shall contain a statement that such firm is independent within the meaning of the Securities Act and the rules and regulations promulgated thereunder.</w:t>
      </w:r>
    </w:p>
    <w:p>
      <w:pPr>
        <w:spacing w:after="0" w:line="16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i w:val="1"/>
          <w:iCs w:val="1"/>
          <w:color w:val="auto"/>
        </w:rPr>
        <w:t>Payments Due on Saturdays, Sundays and Holidays</w:t>
      </w:r>
      <w:r>
        <w:rPr>
          <w:rFonts w:ascii="Times New Roman" w:cs="Times New Roman" w:eastAsia="Times New Roman" w:hAnsi="Times New Roman"/>
          <w:sz w:val="18"/>
          <w:szCs w:val="18"/>
          <w:color w:val="auto"/>
        </w:rPr>
        <w:t>. If the date of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80"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15.07. </w:t>
      </w:r>
      <w:r>
        <w:rPr>
          <w:rFonts w:ascii="Times New Roman" w:cs="Times New Roman" w:eastAsia="Times New Roman" w:hAnsi="Times New Roman"/>
          <w:sz w:val="18"/>
          <w:szCs w:val="18"/>
          <w:i w:val="1"/>
          <w:iCs w:val="1"/>
          <w:color w:val="auto"/>
        </w:rPr>
        <w:t>Conflict of Any Provision of Indenture with Trust Indenture Act</w:t>
      </w:r>
      <w:r>
        <w:rPr>
          <w:rFonts w:ascii="Times New Roman" w:cs="Times New Roman" w:eastAsia="Times New Roman" w:hAnsi="Times New Roman"/>
          <w:sz w:val="18"/>
          <w:szCs w:val="18"/>
          <w:color w:val="auto"/>
        </w:rPr>
        <w:t>. If and to the extent that any provision of this Indenture limits, qualifies or conflicts with another provision included in this Indenture by operation of Sections 310 to 317, inclusive, of the Trust Indenture Act (an “</w:t>
      </w:r>
      <w:r>
        <w:rPr>
          <w:rFonts w:ascii="Times New Roman" w:cs="Times New Roman" w:eastAsia="Times New Roman" w:hAnsi="Times New Roman"/>
          <w:sz w:val="18"/>
          <w:szCs w:val="18"/>
          <w:b w:val="1"/>
          <w:bCs w:val="1"/>
          <w:color w:val="auto"/>
        </w:rPr>
        <w:t>incorporated provision</w:t>
      </w:r>
      <w:r>
        <w:rPr>
          <w:rFonts w:ascii="Times New Roman" w:cs="Times New Roman" w:eastAsia="Times New Roman" w:hAnsi="Times New Roman"/>
          <w:sz w:val="18"/>
          <w:szCs w:val="18"/>
          <w:color w:val="auto"/>
        </w:rPr>
        <w:t>”), such incorporated provision shall control.</w:t>
      </w:r>
    </w:p>
    <w:p>
      <w:pPr>
        <w:spacing w:after="0" w:line="173"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i w:val="1"/>
          <w:iCs w:val="1"/>
          <w:color w:val="auto"/>
        </w:rPr>
        <w:t>New York Law to Govern</w:t>
      </w:r>
      <w:r>
        <w:rPr>
          <w:rFonts w:ascii="Times New Roman" w:cs="Times New Roman" w:eastAsia="Times New Roman" w:hAnsi="Times New Roman"/>
          <w:sz w:val="18"/>
          <w:szCs w:val="18"/>
          <w:color w:val="auto"/>
        </w:rPr>
        <w:t>. This Indenture and the Securities of any series shall each be deemed to be a contract under the laws of the State of New York, and for all purposes shall be construed in accordance with the laws of the State of New York, but without giving effect to applicable principles of conflicts of law to the extent that the application of the law of another jurisdiction would be required thereby.</w:t>
      </w:r>
    </w:p>
    <w:p>
      <w:pPr>
        <w:spacing w:after="0" w:line="173"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15.09.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15.10.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15.11. Counterparts. This Indenture may be executed in any number of counterparts, each of which shall be an original; but such counterparts shall together constitute but one and the same instrument. Facsimile, documents executed, scanned and transmitted electronically and electronic signatures, including those created or transmitted through a software platform or application, shall be deemed original signatures for purposes of this Indenture and all Securities and all matters and agreements related thereto, with such facsimile, scanned and electronic signatures having the same legal effect as original signatures. The parties agree that this Indenture or any Security or any instrument, agreement or document necessary for the consummation of the transactions contemplated by this Indenture or the Securities or related hereto or thereto (including, without limitation, addendums, amendments, notices, instructions, communications with respect to the delivery of securities or the wire transfer of funds or other communications) (“</w:t>
      </w:r>
      <w:r>
        <w:rPr>
          <w:rFonts w:ascii="Times New Roman" w:cs="Times New Roman" w:eastAsia="Times New Roman" w:hAnsi="Times New Roman"/>
          <w:sz w:val="18"/>
          <w:szCs w:val="18"/>
          <w:b w:val="1"/>
          <w:bCs w:val="1"/>
          <w:color w:val="auto"/>
        </w:rPr>
        <w:t>Executed Documentation</w:t>
      </w:r>
      <w:r>
        <w:rPr>
          <w:rFonts w:ascii="Times New Roman" w:cs="Times New Roman" w:eastAsia="Times New Roman" w:hAnsi="Times New Roman"/>
          <w:sz w:val="18"/>
          <w:szCs w:val="18"/>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 Agent acts on any Executed Documentation sent by electronic transmission, the Trustee or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and each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 Agent acting on unauthorized instructions and the risk of interception and misuse by third parties.</w:t>
      </w:r>
    </w:p>
    <w:p>
      <w:pPr>
        <w:spacing w:after="0" w:line="187"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15.12. </w:t>
      </w:r>
      <w:r>
        <w:rPr>
          <w:rFonts w:ascii="Times New Roman" w:cs="Times New Roman" w:eastAsia="Times New Roman" w:hAnsi="Times New Roman"/>
          <w:sz w:val="18"/>
          <w:szCs w:val="18"/>
          <w:i w:val="1"/>
          <w:iCs w:val="1"/>
          <w:color w:val="auto"/>
        </w:rPr>
        <w:t>Effect of Headings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5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8" w:right="459" w:bottom="1440" w:gutter="0" w:footer="0" w:header="0"/>
        </w:sectPr>
      </w:pPr>
    </w:p>
    <w:bookmarkStart w:id="68" w:name="page69"/>
    <w:bookmarkEnd w:id="6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15.14. </w:t>
      </w:r>
      <w:r>
        <w:rPr>
          <w:rFonts w:ascii="Times New Roman" w:cs="Times New Roman" w:eastAsia="Times New Roman" w:hAnsi="Times New Roman"/>
          <w:sz w:val="18"/>
          <w:szCs w:val="18"/>
          <w:i w:val="1"/>
          <w:iCs w:val="1"/>
          <w:color w:val="auto"/>
        </w:rPr>
        <w:t>Patriot Act Compliance</w:t>
      </w:r>
      <w:r>
        <w:rPr>
          <w:rFonts w:ascii="Times New Roman" w:cs="Times New Roman" w:eastAsia="Times New Roman" w:hAnsi="Times New Roman"/>
          <w:sz w:val="18"/>
          <w:szCs w:val="18"/>
          <w:color w:val="auto"/>
        </w:rPr>
        <w:t>. The parties hereto acknowledge that in accordance with Section 326 of the USA Patriot Act the Trustee and the Agents, like all financial institutions, are required to obtain, verify, and record information that identifies each person or legal entity that establishes a relationship or opens account with the Trustee or the Agents. The parties to this Indenture agree that they will provide the Trustee with such information as it may request in order for the Trustee and the Agents to satisfy the requirements of the USA Patriot Act.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15.15. </w:t>
      </w:r>
      <w:r>
        <w:rPr>
          <w:rFonts w:ascii="Times New Roman" w:cs="Times New Roman" w:eastAsia="Times New Roman" w:hAnsi="Times New Roman"/>
          <w:sz w:val="18"/>
          <w:szCs w:val="18"/>
          <w:i w:val="1"/>
          <w:iCs w:val="1"/>
          <w:color w:val="auto"/>
        </w:rPr>
        <w:t>Sanctions.</w:t>
      </w:r>
    </w:p>
    <w:p>
      <w:pPr>
        <w:spacing w:after="0" w:line="227" w:lineRule="exact"/>
        <w:rPr>
          <w:sz w:val="20"/>
          <w:szCs w:val="20"/>
          <w:color w:val="auto"/>
        </w:rPr>
      </w:pPr>
    </w:p>
    <w:p>
      <w:pPr>
        <w:ind w:firstLine="436"/>
        <w:spacing w:after="0" w:line="255"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shall use, and the Company shall use commercially reasonable efforts to procure that it and its Subsidiaries’ respective directors, officers and employees, in each case when acting on behalf of the Company or its Subsidiaries shall not use, the proceeds of any Notes (i) in furtherance of a corrupt offer, payment, promise to pay, or authorization of the payment or giving of money, or anything else of material value, to any Person in a manner which constitutes (x) a violation of the Bribery Act, (y) a violation of the FCPA or (z) a material violation of any other Anti-Corruption Laws, (ii) for the purpose of funding or financing any activities, business or transaction of or with any Sanctioned Person, or in any Sanctioned Country (unless such activity, business or transaction would not result in a violation of applicable Sanctions by any party hereto), or (iii) in any manner that would result in the violation of any Sanctions applicable to any party hereto.</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and its Subsidiaries with applicable Sanctions, and the Company and its Subsidiaries are in compliance with applicable Sanctions in all material respects. None of the Company, its Subsidiaries, or any of their respective officers or directors are Sanctioned Persons.</w:t>
      </w:r>
    </w:p>
    <w:p>
      <w:pPr>
        <w:spacing w:after="0" w:line="17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13,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the target of any comprehensive (but not list based) Sanctions that broadly prohibit dealings with such country, region or territory (as of the date of this Agreement, Cuba, Iran, North Korea, the Crimea, the so-called Donetsk People’s Republic, the so-called Luhansk People’s Republic regions of Ukraine and non-government controlled areas of the Zaporizhzhia and Kherson regions of Ukraine).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or by the United Nations Security Council, His Majesty’s Treasury of the United Kingdom, Canada, the European Union or any EU member state, (b) any Person located, organized or resident in a Sanctioned Country to the extent such Person is subject to Sanctions or (c) any Person controlled or more than</w:t>
      </w: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percent owned by any such Person.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8" w:right="45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Department of the Treasury or the U.S. Department of State, or (b) the United Nations Security Council, Canada, the European Union or His Majesty’s Treasury of the United Kingdom. “</w:t>
      </w:r>
      <w:r>
        <w:rPr>
          <w:rFonts w:ascii="Times New Roman" w:cs="Times New Roman" w:eastAsia="Times New Roman" w:hAnsi="Times New Roman"/>
          <w:sz w:val="18"/>
          <w:szCs w:val="18"/>
          <w:b w:val="1"/>
          <w:bCs w:val="1"/>
          <w:color w:val="auto"/>
        </w:rPr>
        <w:t>Bribery Act</w:t>
      </w:r>
      <w:r>
        <w:rPr>
          <w:rFonts w:ascii="Times New Roman" w:cs="Times New Roman" w:eastAsia="Times New Roman" w:hAnsi="Times New Roman"/>
          <w:sz w:val="18"/>
          <w:szCs w:val="18"/>
          <w:color w:val="auto"/>
        </w:rPr>
        <w:t>” means the United Kingdom Bribery Act of 2010.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United States Foreign Corrupt Practices Act of 1977.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anti-bribery or anti-corruption laws and government rules and regulations of any jurisdiction applicable to the Company or its Subsidiaries.</w:t>
      </w:r>
    </w:p>
    <w:p>
      <w:pPr>
        <w:spacing w:after="0" w:line="17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15.16.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Neither the Trustee nor the Agents shall incur any liability for not performing any act or fulfilling any duty, obligation or responsibility hereunder by reason of any occurrence beyond the control of the Trustee or the Agents (including but not limited to any act or provision of any present or future law or regulation or governmental authority, any act of God or war, civil unrest, local or national disturbance or disaster, pandemic, epidemic, any act of terrorism, or the unavailability of the Federal Reserve Bank wire or facsimile or other wire or communication facility); it being understood that the Trustee and the Agents, as applicable, shall use reasonable efforts which are consistent with accepted practices in the banking industry to resume performance as soon as practicable under the circumstances.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80"/>
          </w:cols>
          <w:pgMar w:left="440" w:top="270" w:right="579" w:bottom="1440" w:gutter="0" w:footer="0" w:header="0"/>
        </w:sectPr>
      </w:pPr>
    </w:p>
    <w:bookmarkStart w:id="70" w:name="page71"/>
    <w:bookmarkEnd w:id="70"/>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Company</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Treasurer and Director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Denise Kellerk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Denise Kellerk</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0420"/>
          </w:cols>
          <w:pgMar w:left="880" w:top="266" w:right="5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HONEYWELL AEROSPACE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FIRST SUPPLEMENTAL 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March 16,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March 16,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$1,250,000,000 3.900% Senior Notes due 2028</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$1,250,000,000 4.000% Senior Notes due 2029</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$500,000,000 Floating Rate Senior Notes due 2029</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$2,000,000,000 4.300% Senior Notes due 2031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$1,750,000,000 4.600% Senior Notes due 2033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$3,250,000,000 4.950% Senior Notes due 2036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$1,000,000,000 5.622% Senior Notes due 2046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$3,500,000,000 5.732% Senior Notes due 2056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$1,500,000,000 5.852% Senior Notes due 2066</w:t>
      </w:r>
    </w:p>
    <w:p>
      <w:pPr>
        <w:sectPr>
          <w:pgSz w:w="11900" w:h="16838" w:orient="portrait"/>
          <w:cols w:equalWidth="0" w:num="1">
            <w:col w:w="10020"/>
          </w:cols>
          <w:pgMar w:left="1440" w:top="117" w:right="4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9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DEFINITIONS AND OTHER PROVISIONS OF GENERAL APPLICATION</w:t>
            </w:r>
          </w:p>
        </w:tc>
        <w:tc>
          <w:tcPr>
            <w:tcW w:w="280" w:type="dxa"/>
            <w:vAlign w:val="bottom"/>
          </w:tcPr>
          <w:p>
            <w:pPr>
              <w:spacing w:after="0"/>
              <w:rPr>
                <w:sz w:val="24"/>
                <w:szCs w:val="24"/>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GENERAL TERMS AND CONDITIONS OF THE NOTES</w:t>
            </w:r>
          </w:p>
        </w:tc>
        <w:tc>
          <w:tcPr>
            <w:tcW w:w="280" w:type="dxa"/>
            <w:vAlign w:val="bottom"/>
          </w:tcPr>
          <w:p>
            <w:pPr>
              <w:spacing w:after="0"/>
              <w:rPr>
                <w:sz w:val="24"/>
                <w:szCs w:val="24"/>
                <w:color w:val="auto"/>
              </w:rPr>
            </w:pP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Designation and Principal 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Form and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Other Terms and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REDEMPTION</w:t>
            </w:r>
          </w:p>
        </w:tc>
        <w:tc>
          <w:tcPr>
            <w:tcW w:w="280" w:type="dxa"/>
            <w:vAlign w:val="bottom"/>
          </w:tcPr>
          <w:p>
            <w:pPr>
              <w:spacing w:after="0"/>
              <w:rPr>
                <w:sz w:val="24"/>
                <w:szCs w:val="24"/>
                <w:color w:val="auto"/>
              </w:rPr>
            </w:pP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Optional Redemption of the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Special Mandatory Redemption of the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ADDITIONAL COVENANTS</w:t>
            </w:r>
          </w:p>
        </w:tc>
        <w:tc>
          <w:tcPr>
            <w:tcW w:w="280" w:type="dxa"/>
            <w:vAlign w:val="bottom"/>
          </w:tcPr>
          <w:p>
            <w:pPr>
              <w:spacing w:after="0"/>
              <w:rPr>
                <w:sz w:val="24"/>
                <w:szCs w:val="24"/>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Contribution of Assets and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ADDITIONAL EVENTS OF DEFAULT</w:t>
            </w:r>
          </w:p>
        </w:tc>
        <w:tc>
          <w:tcPr>
            <w:tcW w:w="280" w:type="dxa"/>
            <w:vAlign w:val="bottom"/>
          </w:tcPr>
          <w:p>
            <w:pPr>
              <w:spacing w:after="0"/>
              <w:rPr>
                <w:sz w:val="24"/>
                <w:szCs w:val="24"/>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Additional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9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ADDITIONAL SUPPLEMENTAL INDENTURES WITHOUT THE CONSENT OF HOLDERS</w:t>
            </w:r>
          </w:p>
        </w:tc>
        <w:tc>
          <w:tcPr>
            <w:tcW w:w="280" w:type="dxa"/>
            <w:vAlign w:val="bottom"/>
          </w:tcPr>
          <w:p>
            <w:pPr>
              <w:spacing w:after="0"/>
              <w:rPr>
                <w:sz w:val="24"/>
                <w:szCs w:val="24"/>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Additional Supplemental Indentures Without the Consent of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5"/>
        </w:trPr>
        <w:tc>
          <w:tcPr>
            <w:tcW w:w="980" w:type="dxa"/>
            <w:vAlign w:val="bottom"/>
          </w:tcPr>
          <w:p>
            <w:pPr>
              <w:spacing w:after="0"/>
              <w:rPr>
                <w:sz w:val="24"/>
                <w:szCs w:val="24"/>
                <w:color w:val="auto"/>
              </w:rPr>
            </w:pPr>
          </w:p>
        </w:tc>
        <w:tc>
          <w:tcPr>
            <w:tcW w:w="97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78"/>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3" w:name="page74"/>
    <w:bookmarkEnd w:id="7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460" w:type="dxa"/>
            <w:vAlign w:val="bottom"/>
          </w:tcPr>
          <w:p>
            <w:pPr>
              <w:jc w:val="right"/>
              <w:ind w:right="4710"/>
              <w:spacing w:after="0"/>
              <w:rPr>
                <w:sz w:val="20"/>
                <w:szCs w:val="20"/>
                <w:color w:val="auto"/>
              </w:rPr>
            </w:pPr>
            <w:r>
              <w:rPr>
                <w:rFonts w:ascii="Times New Roman" w:cs="Times New Roman" w:eastAsia="Times New Roman" w:hAnsi="Times New Roman"/>
                <w:sz w:val="18"/>
                <w:szCs w:val="18"/>
                <w:color w:val="auto"/>
              </w:rPr>
              <w:t>ARTICLE SEVEN</w:t>
            </w:r>
          </w:p>
        </w:tc>
      </w:tr>
      <w:tr>
        <w:trPr>
          <w:trHeight w:val="324"/>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6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MISCELLANEOUS</w:t>
            </w:r>
          </w:p>
        </w:tc>
      </w:tr>
      <w:tr>
        <w:trPr>
          <w:trHeight w:val="30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Application of First Supplemental Indenture</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Trust Indenture Act</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Conflict with Base Indenture</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Disclaimer</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2028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2029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2029 Floating Rate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Form of 2031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Form of 2033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 – Form of 2036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 – Form of 2046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 – Form of 2056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 – Form of 2066 Note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SUPPLEMENTAL INDENTURE</w:t>
      </w:r>
    </w:p>
    <w:p>
      <w:pPr>
        <w:spacing w:after="0" w:line="225"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dated as of March 16, 2026 (this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between Honeywell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limited liability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Calculation Agent (as defined herein).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heretofore executed and delivered to the Trustee an Indenture, dated as of March 16, 2026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together with this First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from time to time of its notes and other evidences of senior debt securities, to be issued in one or more series as therein provided;</w:t>
      </w:r>
    </w:p>
    <w:p>
      <w:pPr>
        <w:spacing w:after="0" w:line="171" w:lineRule="exact"/>
        <w:rPr>
          <w:sz w:val="20"/>
          <w:szCs w:val="20"/>
          <w:color w:val="auto"/>
        </w:rPr>
      </w:pPr>
    </w:p>
    <w:p>
      <w:pPr>
        <w:jc w:val="both"/>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 Calculation Agency Agreement, dated as of the date hereof (the “</w:t>
      </w:r>
      <w:r>
        <w:rPr>
          <w:rFonts w:ascii="Times New Roman" w:cs="Times New Roman" w:eastAsia="Times New Roman" w:hAnsi="Times New Roman"/>
          <w:sz w:val="18"/>
          <w:szCs w:val="18"/>
          <w:u w:val="single" w:color="auto"/>
          <w:color w:val="auto"/>
        </w:rPr>
        <w:t>Calculation Agency Agreement</w:t>
      </w:r>
      <w:r>
        <w:rPr>
          <w:rFonts w:ascii="Times New Roman" w:cs="Times New Roman" w:eastAsia="Times New Roman" w:hAnsi="Times New Roman"/>
          <w:sz w:val="18"/>
          <w:szCs w:val="18"/>
          <w:color w:val="auto"/>
        </w:rPr>
        <w: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Trustee, the Trustee will serve as Calculation Agent for the Floating Rate Senior Notes due 2029 issued under the Base Indenture and Indenture;</w:t>
      </w:r>
    </w:p>
    <w:p>
      <w:pPr>
        <w:spacing w:after="0" w:line="17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Base Indenture, on the date hereof, the Company desires to provide for the establishment of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notes to be known respectively as its 3.900%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4.000% Senior Notes due 2029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Floating Rate Senior Notes due 2029 (the “</w:t>
      </w:r>
      <w:r>
        <w:rPr>
          <w:rFonts w:ascii="Times New Roman" w:cs="Times New Roman" w:eastAsia="Times New Roman" w:hAnsi="Times New Roman"/>
          <w:sz w:val="18"/>
          <w:szCs w:val="18"/>
          <w:u w:val="single" w:color="auto"/>
          <w:color w:val="auto"/>
        </w:rPr>
        <w:t>2029 Floating Rate Notes</w:t>
      </w:r>
      <w:r>
        <w:rPr>
          <w:rFonts w:ascii="Times New Roman" w:cs="Times New Roman" w:eastAsia="Times New Roman" w:hAnsi="Times New Roman"/>
          <w:sz w:val="18"/>
          <w:szCs w:val="18"/>
          <w:color w:val="auto"/>
        </w:rPr>
        <w:t>”), 4.300%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4.600% Senior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4.950%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5.622% Senior Notes due 2046 (the “</w:t>
      </w:r>
      <w:r>
        <w:rPr>
          <w:rFonts w:ascii="Times New Roman" w:cs="Times New Roman" w:eastAsia="Times New Roman" w:hAnsi="Times New Roman"/>
          <w:sz w:val="18"/>
          <w:szCs w:val="18"/>
          <w:u w:val="single" w:color="auto"/>
          <w:color w:val="auto"/>
        </w:rPr>
        <w:t>2046 Notes</w:t>
      </w:r>
      <w:r>
        <w:rPr>
          <w:rFonts w:ascii="Times New Roman" w:cs="Times New Roman" w:eastAsia="Times New Roman" w:hAnsi="Times New Roman"/>
          <w:sz w:val="18"/>
          <w:szCs w:val="18"/>
          <w:color w:val="auto"/>
        </w:rPr>
        <w:t>”), 5.732% Senior Notes due 2056 (the “</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and 5.852% Senior Notes due 2066 (the “</w:t>
      </w:r>
      <w:r>
        <w:rPr>
          <w:rFonts w:ascii="Times New Roman" w:cs="Times New Roman" w:eastAsia="Times New Roman" w:hAnsi="Times New Roman"/>
          <w:sz w:val="18"/>
          <w:szCs w:val="18"/>
          <w:u w:val="single" w:color="auto"/>
          <w:color w:val="auto"/>
        </w:rPr>
        <w:t>2066 Notes</w:t>
      </w:r>
      <w:r>
        <w:rPr>
          <w:rFonts w:ascii="Times New Roman" w:cs="Times New Roman" w:eastAsia="Times New Roman" w:hAnsi="Times New Roman"/>
          <w:sz w:val="18"/>
          <w:szCs w:val="18"/>
          <w:color w:val="auto"/>
        </w:rPr>
        <w:t>” and, together with the 2028 Notes, the 2029 Notes, the 2029 Floating Rate Notes, the 2031 Notes, the 2033 Notes, the 2036 Notes, the 2046 Notes and the 2056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form and substance of such notes and the terms, provisions and conditions thereof to be set forth as provided in the Base Indenture and herein;</w:t>
      </w:r>
    </w:p>
    <w:p>
      <w:pPr>
        <w:spacing w:after="0" w:line="183"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Notes initially will be fully and unconditionally guaranteed as to payment of principal, premium, if any, and interest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unsecured basis by Honeywell International Inc., a Delaware corporation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Honeywell</w:t>
      </w:r>
      <w:r>
        <w:rPr>
          <w:rFonts w:ascii="Times New Roman" w:cs="Times New Roman" w:eastAsia="Times New Roman" w:hAnsi="Times New Roman"/>
          <w:sz w:val="18"/>
          <w:szCs w:val="18"/>
          <w:color w:val="auto"/>
        </w:rPr>
        <w:t>”), pursuant to a Guarantee Agreement, dated as of the date hereof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by the Guarantor in favor of the Holders, the Company and the Trustee;</w:t>
      </w:r>
    </w:p>
    <w:p>
      <w:pPr>
        <w:spacing w:after="0" w:line="171" w:lineRule="exact"/>
        <w:rPr>
          <w:sz w:val="20"/>
          <w:szCs w:val="20"/>
          <w:color w:val="auto"/>
        </w:rPr>
      </w:pPr>
    </w:p>
    <w:p>
      <w:pPr>
        <w:ind w:right="2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Guarantor shall be automatically and unconditionally released and discharged from all obligations under its guarantee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any action required on the part of the Trustee or any Holder at such time as the Spin-Off (as defined in Section 1.01) has been completed;</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conditions set forth in the Base Indenture for the execution and delivery of this First Supplemental Indenture have been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 and</w:t>
      </w:r>
    </w:p>
    <w:p>
      <w:pPr>
        <w:sectPr>
          <w:pgSz w:w="11900" w:h="16838" w:orient="portrait"/>
          <w:cols w:equalWidth="0" w:num="1">
            <w:col w:w="10960"/>
          </w:cols>
          <w:pgMar w:left="440" w:top="266" w:right="499" w:bottom="1440" w:gutter="0" w:footer="0" w:header="0"/>
        </w:sectPr>
      </w:pPr>
    </w:p>
    <w:bookmarkStart w:id="75" w:name="page76"/>
    <w:bookmarkEnd w:id="75"/>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the Company has requested and hereby requests that the Trustee join with it in the execution and delivery of this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and all acts and requirements necessary to make this First Supplemental Indenture a legal, valid and binding agreement of the parties, in accordance with its terms, and a valid supplement to, the Base Indenture with respect to the Notes have been done and performed.</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premises contained herein, each party agrees for the benefit of each other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equal and ratable benefit of the Holders of the Notes, as follows:</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Other Provisions of General Application</w:t>
      </w:r>
    </w:p>
    <w:p>
      <w:pPr>
        <w:spacing w:after="0" w:line="229"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Capitalized terms used but not defined in this First Supplemental Indenture shall have the meanings ascribed to them in the Base Indenture. References in this First Supplemental Indenture to article and section numbers shall be deemed to be references to article and section numbers of this First Supplemental Indenture unless otherwise specified. All references to any amount of interest or any other amount payable on or with respect to any of the Notes shall be deemed to include payment of any Additional Interest pursuant to the Registration Rights Agreement, if applicable.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First Supplemental Indenture, the following terms have the meanings ascribed to them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Term Loan</w:t>
      </w:r>
      <w:r>
        <w:rPr>
          <w:rFonts w:ascii="Times New Roman" w:cs="Times New Roman" w:eastAsia="Times New Roman" w:hAnsi="Times New Roman"/>
          <w:sz w:val="18"/>
          <w:szCs w:val="18"/>
          <w:color w:val="auto"/>
        </w:rPr>
        <w:t>” means the loans in an aggregate principal amount of $6.0 billion made under the 2026 Term Loan Agreement.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Term Loan Agreement</w:t>
      </w:r>
      <w:r>
        <w:rPr>
          <w:rFonts w:ascii="Times New Roman" w:cs="Times New Roman" w:eastAsia="Times New Roman" w:hAnsi="Times New Roman"/>
          <w:sz w:val="18"/>
          <w:szCs w:val="18"/>
          <w:color w:val="auto"/>
        </w:rPr>
        <w:t>” means that certain term loan credit agreement with Bank of America, N.A., as administrative agent, and Bank of America, N.A., Goldman Sachs Bank USA and Morgan Stanley Senior Funding, Inc., as lenders party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2029 Floating Rate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76" w:name="page77"/>
    <w:bookmarkEnd w:id="7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2046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2066 Notes</w:t>
      </w:r>
      <w:r>
        <w:rPr>
          <w:rFonts w:ascii="Times New Roman" w:cs="Times New Roman" w:eastAsia="Times New Roman" w:hAnsi="Times New Roman"/>
          <w:sz w:val="18"/>
          <w:szCs w:val="18"/>
          <w:color w:val="auto"/>
        </w:rPr>
        <w:t>” has the meaning specified in the recitals of this First Supplemental Indenture.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means all interest payable as a consequence of the occurrence and continuation of a “Registration Default” as defined in the Registration Rights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means any additional Notes that may be issued from time to time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Spread</w:t>
      </w:r>
      <w:r>
        <w:rPr>
          <w:rFonts w:ascii="Times New Roman" w:cs="Times New Roman" w:eastAsia="Times New Roman" w:hAnsi="Times New Roman"/>
          <w:sz w:val="18"/>
          <w:szCs w:val="18"/>
          <w:color w:val="auto"/>
        </w:rPr>
        <w:t>” means (i) 10 basis points, in the case of the 2028 Notes, (ii) 10 basis points, in the case of the 2029 Notes, (iii) 10 basis points, in the case of the 2031 Notes, (iv) 15 basis points, in the case of the 2033 Notes, (v) 15 basis points, in the case of the 2036 Notes, (vi) 15 basis points, in the case of the 2046 Notes, (vii) 15 basis points, in the case of the 2056 Notes, or (viii) 20 basis points, in the case of the 2066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Compounded SOFR;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the first alternative set forth in the order below that can be determined by the Company (or its designee)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Benchmark Replacement Date:</w:t>
      </w:r>
    </w:p>
    <w:p>
      <w:pPr>
        <w:spacing w:after="0" w:line="99" w:lineRule="exact"/>
        <w:rPr>
          <w:sz w:val="20"/>
          <w:szCs w:val="20"/>
          <w:color w:val="auto"/>
        </w:rPr>
      </w:pPr>
    </w:p>
    <w:p>
      <w:pPr>
        <w:ind w:right="280" w:firstLine="1428"/>
        <w:spacing w:after="0" w:line="282"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or recommended by the Relevant Governmental Body as the replacement for the then-current Benchmark for the applicable Corresponding Tenor and (b) the Benchmark Replacement Adjustment;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and</w:t>
      </w:r>
    </w:p>
    <w:p>
      <w:pPr>
        <w:spacing w:after="0" w:line="117" w:lineRule="exact"/>
        <w:rPr>
          <w:rFonts w:ascii="Times New Roman" w:cs="Times New Roman" w:eastAsia="Times New Roman" w:hAnsi="Times New Roman"/>
          <w:sz w:val="18"/>
          <w:szCs w:val="18"/>
          <w:color w:val="auto"/>
        </w:rPr>
      </w:pPr>
    </w:p>
    <w:p>
      <w:pPr>
        <w:ind w:right="60" w:firstLine="1428"/>
        <w:spacing w:after="0" w:line="266"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Company or its designee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7" w:name="page78"/>
    <w:bookmarkEnd w:id="77"/>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4" w:lineRule="exact"/>
        <w:rPr>
          <w:sz w:val="20"/>
          <w:szCs w:val="20"/>
          <w:color w:val="auto"/>
        </w:rPr>
      </w:pPr>
    </w:p>
    <w:p>
      <w:pPr>
        <w:jc w:val="both"/>
        <w:ind w:right="280" w:firstLine="1428"/>
        <w:spacing w:after="0" w:line="312" w:lineRule="auto"/>
        <w:tabs>
          <w:tab w:leader="none" w:pos="16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31"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then the ISDA Fallback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and</w:t>
      </w:r>
    </w:p>
    <w:p>
      <w:pPr>
        <w:spacing w:after="0" w:line="98"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“Interest Period,” timing and frequency of determining rates and making payments of interest, rounding of amounts or tenors, changes to the definition of “Corresponding Tenor” solely when such tenor is longer than the Interest Period and other administrative matters) that the Company or its designee decide may be appropriate to reflect the adoption of such Benchmark Replacement in a manner substantially consistent with market practice (or, if the Company or its designee decide that adoption of any portion of such market practice is not administratively feasible or if the Company or its designee determine that no market practice for use of the Benchmark Replacement exists, in such other manner as the Company or its designee determine is reasonably necessary).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17" w:lineRule="exact"/>
        <w:rPr>
          <w:sz w:val="20"/>
          <w:szCs w:val="20"/>
          <w:color w:val="auto"/>
        </w:rPr>
      </w:pPr>
    </w:p>
    <w:p>
      <w:pPr>
        <w:ind w:right="60" w:firstLine="1428"/>
        <w:spacing w:after="0" w:line="266"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and</w:t>
      </w:r>
    </w:p>
    <w:p>
      <w:pPr>
        <w:spacing w:after="0" w:line="67" w:lineRule="exact"/>
        <w:rPr>
          <w:rFonts w:ascii="Times New Roman" w:cs="Times New Roman" w:eastAsia="Times New Roman" w:hAnsi="Times New Roman"/>
          <w:sz w:val="18"/>
          <w:szCs w:val="18"/>
          <w:color w:val="auto"/>
        </w:rPr>
      </w:pPr>
    </w:p>
    <w:p>
      <w:pPr>
        <w:ind w:right="320" w:firstLine="1428"/>
        <w:spacing w:after="0" w:line="282"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8" w:name="page79"/>
    <w:bookmarkEnd w:id="78"/>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7" w:lineRule="exact"/>
        <w:rPr>
          <w:sz w:val="20"/>
          <w:szCs w:val="20"/>
          <w:color w:val="auto"/>
        </w:rPr>
      </w:pPr>
    </w:p>
    <w:p>
      <w:pPr>
        <w:ind w:firstLine="1428"/>
        <w:spacing w:after="0" w:line="266"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67"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75" w:lineRule="exact"/>
        <w:rPr>
          <w:rFonts w:ascii="Times New Roman" w:cs="Times New Roman" w:eastAsia="Times New Roman" w:hAnsi="Times New Roman"/>
          <w:sz w:val="18"/>
          <w:szCs w:val="18"/>
          <w:color w:val="auto"/>
        </w:rPr>
      </w:pPr>
    </w:p>
    <w:p>
      <w:pPr>
        <w:ind w:right="60" w:firstLine="1428"/>
        <w:spacing w:after="0" w:line="282"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Provisions</w:t>
      </w:r>
      <w:r>
        <w:rPr>
          <w:rFonts w:ascii="Times New Roman" w:cs="Times New Roman" w:eastAsia="Times New Roman" w:hAnsi="Times New Roman"/>
          <w:sz w:val="18"/>
          <w:szCs w:val="18"/>
          <w:color w:val="auto"/>
        </w:rPr>
        <w:t>” has the meaning provided in Section 2.04(c)(ii).</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Deutsche Bank Trust Company Americas, until a successor replaces it pursuant to the applicable provisions of the Indenture and, thereafter, shall mean such successor.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provided in the Preamble.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9" w:name="page80"/>
    <w:bookmarkEnd w:id="7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Compounded SOFR</w:t>
      </w:r>
      <w:r>
        <w:rPr>
          <w:rFonts w:ascii="Times New Roman" w:cs="Times New Roman" w:eastAsia="Times New Roman" w:hAnsi="Times New Roman"/>
          <w:sz w:val="18"/>
          <w:szCs w:val="18"/>
          <w:color w:val="auto"/>
        </w:rPr>
        <w:t>” will be determined by the Calculation Agent in accordance with the following formula (and the resulting percentage will be rounded, if necessary, to the nearest one hundred-thousandth of a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53975</wp:posOffset>
            </wp:positionV>
            <wp:extent cx="161988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198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40" w:right="11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IndexStart</w:t>
      </w:r>
      <w:r>
        <w:rPr>
          <w:rFonts w:ascii="Times New Roman" w:cs="Times New Roman" w:eastAsia="Times New Roman" w:hAnsi="Times New Roman"/>
          <w:sz w:val="18"/>
          <w:szCs w:val="18"/>
          <w:color w:val="auto"/>
        </w:rPr>
        <w:t>” = For periods other than the initial Interest Period, the SOFR Index value on the preceding Interest Determination Date, and, for the initial Interest Period, the SOFR Index value on March 12, 2026;</w:t>
      </w:r>
    </w:p>
    <w:p>
      <w:pPr>
        <w:spacing w:after="0" w:line="54" w:lineRule="exact"/>
        <w:rPr>
          <w:sz w:val="20"/>
          <w:szCs w:val="20"/>
          <w:color w:val="auto"/>
        </w:rPr>
      </w:pPr>
    </w:p>
    <w:p>
      <w:pPr>
        <w:ind w:left="440" w:right="12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IndexEnd</w:t>
      </w:r>
      <w:r>
        <w:rPr>
          <w:rFonts w:ascii="Times New Roman" w:cs="Times New Roman" w:eastAsia="Times New Roman" w:hAnsi="Times New Roman"/>
          <w:sz w:val="18"/>
          <w:szCs w:val="18"/>
          <w:color w:val="auto"/>
        </w:rPr>
        <w:t>” = The SOFR Index value on the Interest Determination Date relating to the applicable Interest Payment Date (or, in the final Interest Period, relating to the maturity date, or in the case of a redemption or repayment of the notes, relating to the applicable redemption or repayment date); and</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w:t>
      </w:r>
      <w:r>
        <w:rPr>
          <w:rFonts w:ascii="Times New Roman" w:cs="Times New Roman" w:eastAsia="Times New Roman" w:hAnsi="Times New Roman"/>
          <w:sz w:val="18"/>
          <w:szCs w:val="18"/>
          <w:color w:val="auto"/>
        </w:rPr>
        <w:t>” is the number of calendar days in the relevant Observation Period.</w:t>
      </w:r>
    </w:p>
    <w:p>
      <w:pPr>
        <w:spacing w:after="0" w:line="117" w:lineRule="exact"/>
        <w:rPr>
          <w:sz w:val="20"/>
          <w:szCs w:val="20"/>
          <w:color w:val="auto"/>
        </w:rPr>
      </w:pPr>
    </w:p>
    <w:p>
      <w:pPr>
        <w:ind w:left="440" w:right="60" w:firstLine="952"/>
        <w:spacing w:after="0" w:line="254" w:lineRule="auto"/>
        <w:rPr>
          <w:sz w:val="20"/>
          <w:szCs w:val="20"/>
          <w:color w:val="auto"/>
        </w:rPr>
      </w:pPr>
      <w:r>
        <w:rPr>
          <w:rFonts w:ascii="Times New Roman" w:cs="Times New Roman" w:eastAsia="Times New Roman" w:hAnsi="Times New Roman"/>
          <w:sz w:val="18"/>
          <w:szCs w:val="18"/>
          <w:color w:val="auto"/>
        </w:rPr>
        <w:t>If a SOFR IndexStart or SOFR IndexEnd is not published on the associated Interest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U.S. Government Securities Business Day for which SOFR was published on the SOFR Administrator’s Website.</w:t>
      </w:r>
    </w:p>
    <w:p>
      <w:pPr>
        <w:spacing w:after="0" w:line="80" w:lineRule="exact"/>
        <w:rPr>
          <w:sz w:val="20"/>
          <w:szCs w:val="20"/>
          <w:color w:val="auto"/>
        </w:rPr>
      </w:pPr>
    </w:p>
    <w:p>
      <w:pPr>
        <w:ind w:left="440" w:right="140" w:firstLine="952"/>
        <w:spacing w:after="0" w:line="266" w:lineRule="auto"/>
        <w:rPr>
          <w:sz w:val="20"/>
          <w:szCs w:val="20"/>
          <w:color w:val="auto"/>
        </w:rPr>
      </w:pPr>
      <w:r>
        <w:rPr>
          <w:rFonts w:ascii="Times New Roman" w:cs="Times New Roman" w:eastAsia="Times New Roman" w:hAnsi="Times New Roman"/>
          <w:sz w:val="18"/>
          <w:szCs w:val="18"/>
          <w:color w:val="auto"/>
        </w:rPr>
        <w:t>If the Company (or its designee) determines on or prior to the relevant Reference Time that a Benchmark Transition Event and its related Benchmark Replacement Date have occurred with respect to determining Compounded SOFR, then the Benchmark Transition Provisions will thereafter apply to all determinations of the rate of interest payable on the 2029 Floating Rate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means Notes issued in a registered exchange offer pursuant to the Registration Rights Agreement.</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Call Date</w:t>
      </w:r>
      <w:r>
        <w:rPr>
          <w:rFonts w:ascii="Times New Roman" w:cs="Times New Roman" w:eastAsia="Times New Roman" w:hAnsi="Times New Roman"/>
          <w:sz w:val="18"/>
          <w:szCs w:val="18"/>
          <w:color w:val="auto"/>
        </w:rPr>
        <w:t>” means, with respect to the SpinCo Debt Securities, the earlier of (i) March 16, 2031 and (ii) the date on which the Company notifies the Trustee and the Holders that the Guarantor will not pursue the consummation of the Spin-Off.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has the meaning provided in the Preamble.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80" w:name="page81"/>
    <w:bookmarkEnd w:id="80"/>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Fixed Rate Notes</w:t>
      </w:r>
      <w:r>
        <w:rPr>
          <w:rFonts w:ascii="Times New Roman" w:cs="Times New Roman" w:eastAsia="Times New Roman" w:hAnsi="Times New Roman"/>
          <w:sz w:val="18"/>
          <w:szCs w:val="18"/>
          <w:color w:val="auto"/>
        </w:rPr>
        <w:t>” means the 2028 Notes, the 2029 Notes, the 2031 Notes, the 2033 Notes, the 2036 Notes, the 2046 Notes, the 2056 Notes and the 2066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Honeywell Tender Offers</w:t>
      </w:r>
      <w:r>
        <w:rPr>
          <w:rFonts w:ascii="Times New Roman" w:cs="Times New Roman" w:eastAsia="Times New Roman" w:hAnsi="Times New Roman"/>
          <w:sz w:val="18"/>
          <w:szCs w:val="18"/>
          <w:color w:val="auto"/>
        </w:rPr>
        <w:t>” means Honeywell’s offer to purchase for cash certain of its outstanding senior notes in aggregate principal amounts of $3.75 billion and €1.25 billion pursuant to the Offer to Purchase, dated March 6, 2026.</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the aggregate principal amount of each series of Notes issued on the date hereof, as specified in clause (a)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means the date that is two U.S. Government Securities Business Days before each interest payment date (or, in the final interest period, before the maturity date or, in the case of a redemption or repayment of the notes, before the applicable redemption or repayment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for the 2029 Floating Rate Notes the period commencing on the applicable Interest Payment Date (or, in the case of the initial Interest Period, commencing on March 16, 2026) and ending on the day preceding the next Interest Payment Date. The initial Interest Period for the 2029 Floating Rate Notes is March 16, 2026 through June 15, 2026.</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2021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76"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Fallback Adjustment</w:t>
      </w:r>
      <w:r>
        <w:rPr>
          <w:rFonts w:ascii="Times New Roman" w:cs="Times New Roman" w:eastAsia="Times New Roman" w:hAnsi="Times New Roman"/>
          <w:sz w:val="18"/>
          <w:szCs w:val="18"/>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76" w:lineRule="exact"/>
        <w:rPr>
          <w:sz w:val="20"/>
          <w:szCs w:val="20"/>
          <w:color w:val="auto"/>
        </w:rPr>
      </w:pPr>
    </w:p>
    <w:p>
      <w:pPr>
        <w:jc w:val="both"/>
        <w:ind w:right="1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Money Notes</w:t>
      </w:r>
      <w:r>
        <w:rPr>
          <w:rFonts w:ascii="Times New Roman" w:cs="Times New Roman" w:eastAsia="Times New Roman" w:hAnsi="Times New Roman"/>
          <w:sz w:val="18"/>
          <w:szCs w:val="18"/>
          <w:color w:val="auto"/>
        </w:rPr>
        <w:t>” means, collectively, the 2028 Notes, the 2029 Notes, the 2029 Floating Rate Notes, the 2031 Notes, the 2033 Notes and the 2036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81" w:name="page82"/>
    <w:bookmarkEnd w:id="8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provided in the Recitals. For the avoidance of doubt, “Notes” shall include any Additional Notes.</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Observation Period</w:t>
      </w:r>
      <w:r>
        <w:rPr>
          <w:rFonts w:ascii="Times New Roman" w:cs="Times New Roman" w:eastAsia="Times New Roman" w:hAnsi="Times New Roman"/>
          <w:sz w:val="18"/>
          <w:szCs w:val="18"/>
          <w:color w:val="auto"/>
        </w:rPr>
        <w:t>” means, in respect of each Interest Period, the period from and including the date that is two U.S. Government Securities Business Days preceding the first date in such Interest Period to but excluding the date that is two U.S. Government Securities Business Days preceding the interest payment date for such Interest Period (or, in the final Interest Period, preceding the maturity date or, in the case of a redemption or repayment of the notes, preceding the applicable redemption or repayment date).</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Offering Memorandum, dated March 10, 2026, relating to the issuance of the New Money Notes and the SpinCo Debt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the date set forth under the heading ‘‘Par Call Date’’ below across from the name of such series of notes: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Series of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 Call Date</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2029 Notes</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16, 2029</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2031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2031</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2033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16, 2033</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2036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2035</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2046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2045</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2056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2055</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2066 Notes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2065</w:t>
            </w:r>
          </w:p>
        </w:tc>
      </w:tr>
    </w:tbl>
    <w:p>
      <w:pPr>
        <w:spacing w:after="0" w:line="198"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as of March 16, 2026, among the Company and the representatives of the initial purchasers with respect to the Initial Notes party thereto.</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means, with respect to any determination of the Benchmark (1) if the Benchmark is Compounded SOFR, the SOFR Index Determination Time, as such time is defined herein, and (2) if the Benchmark is not Compounded SOFR, the time determined by the Company (or its designee) in accordance with the Benchmark Replacement Conforming Changes.</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Scheduled Payments</w:t>
      </w:r>
      <w:r>
        <w:rPr>
          <w:rFonts w:ascii="Times New Roman" w:cs="Times New Roman" w:eastAsia="Times New Roman" w:hAnsi="Times New Roman"/>
          <w:sz w:val="18"/>
          <w:szCs w:val="18"/>
          <w:color w:val="auto"/>
        </w:rPr>
        <w:t xml:space="preserve">” means, with respect to any Note of any series to be redeemed, the remaining scheduled payments of the principal thereof and interest thereon that would be due after the related redemption date but for such redemption if such Note matures on the applicable Par Call Date (or, in the case of the 2028 Notes, on March 16, 2028);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redemption date is not an Interest Payment Date with respect to such Note, the amount of the next succeeding scheduled interest payment thereon will be deemed to be reduced (solely for the purposes of this calculation) by the amount of interest accrued thereon to such redemption date.</w:t>
      </w:r>
    </w:p>
    <w:p>
      <w:pPr>
        <w:spacing w:after="0" w:line="183"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82" w:name="page83"/>
    <w:bookmarkEnd w:id="82"/>
    <w:p>
      <w:pPr>
        <w:ind w:left="4" w:right="20" w:firstLine="991"/>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Index</w:t>
      </w:r>
      <w:r>
        <w:rPr>
          <w:rFonts w:ascii="Times New Roman" w:cs="Times New Roman" w:eastAsia="Times New Roman" w:hAnsi="Times New Roman"/>
          <w:sz w:val="18"/>
          <w:szCs w:val="18"/>
          <w:color w:val="auto"/>
        </w:rPr>
        <w:t>” means, with respect to any U.S. Government Securities Business Day, the SOFR Index value as published by the SOFR Administrator (as defined herein) as such index appears on the SOFR Administrator’s Website at 3:00 p.m. (New York time) on such U.S. Government Securities Business Day (the “</w:t>
      </w:r>
      <w:r>
        <w:rPr>
          <w:rFonts w:ascii="Times New Roman" w:cs="Times New Roman" w:eastAsia="Times New Roman" w:hAnsi="Times New Roman"/>
          <w:sz w:val="18"/>
          <w:szCs w:val="18"/>
          <w:u w:val="single" w:color="auto"/>
          <w:color w:val="auto"/>
        </w:rPr>
        <w:t>SOFR Index Determination Time</w:t>
      </w:r>
      <w:r>
        <w:rPr>
          <w:rFonts w:ascii="Times New Roman" w:cs="Times New Roman" w:eastAsia="Times New Roman" w:hAnsi="Times New Roman"/>
          <w:sz w:val="18"/>
          <w:szCs w:val="18"/>
          <w:color w:val="auto"/>
        </w:rPr>
        <w:t>”); provided that if a SOFR Index value does not so appear as specified herein at the SOFR Index Determination Time, then: (i) if a Benchmark Transition Event and its related Benchmark Replacement Date have not 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“Effect of Benchmark Transition Event” provisions described below.</w:t>
      </w:r>
      <w:r>
        <w:rPr>
          <w:rFonts w:ascii="Times New Roman" w:cs="Times New Roman" w:eastAsia="Times New Roman" w:hAnsi="Times New Roman"/>
          <w:sz w:val="26"/>
          <w:szCs w:val="26"/>
          <w:color w:val="auto"/>
          <w:vertAlign w:val="superscript"/>
        </w:rPr>
        <w:t>1</w:t>
      </w:r>
    </w:p>
    <w:p>
      <w:pPr>
        <w:spacing w:after="0" w:line="5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daily secured overnight financing rate as provided by the SOFR Administrator on the SOFR Administrator’s Website.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SOFR).</w:t>
      </w:r>
    </w:p>
    <w:p>
      <w:pPr>
        <w:spacing w:after="0" w:line="225"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means the tenth Business Day following the date of the applicable Special Mandatory Redemption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Event.</w:t>
      </w:r>
    </w:p>
    <w:p>
      <w:pPr>
        <w:spacing w:after="0" w:line="207"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Mandatory Redemption Event</w:t>
      </w:r>
      <w:r>
        <w:rPr>
          <w:rFonts w:ascii="Times New Roman" w:cs="Times New Roman" w:eastAsia="Times New Roman" w:hAnsi="Times New Roman"/>
          <w:sz w:val="18"/>
          <w:szCs w:val="18"/>
          <w:color w:val="auto"/>
        </w:rPr>
        <w:t>” means the earlier of (i) April 1, 2027 and (ii) the date on which the Company notifies the Trustee and the holders of the Notes that the Guarantor will not pursue the consummation of the Spin-Off.</w:t>
      </w:r>
    </w:p>
    <w:p>
      <w:pPr>
        <w:spacing w:after="0" w:line="162"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Mandatory Redemption Price</w:t>
      </w:r>
      <w:r>
        <w:rPr>
          <w:rFonts w:ascii="Times New Roman" w:cs="Times New Roman" w:eastAsia="Times New Roman" w:hAnsi="Times New Roman"/>
          <w:sz w:val="18"/>
          <w:szCs w:val="18"/>
          <w:color w:val="auto"/>
        </w:rPr>
        <w:t>” means, in respect of the aggregate principal amount of the Notes outstanding on the Special Mandatory Redemption Date and subject to special mandatory redemption, a redemption price equal to 101% of the principal amount of the Notes, plus accrued and unpaid interest to, but excluding, the Special Mandatory Redemption Date (subject to the right of Holders of record on the relevant record date to receive interest due on the relevant Interest Payment Date).</w:t>
      </w:r>
    </w:p>
    <w:p>
      <w:pPr>
        <w:spacing w:after="0" w:line="18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transaction in which the Guarantor will distribute to its stockholders all of the outstanding shares of the Company’s common stock.</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Debt Securities</w:t>
      </w:r>
      <w:r>
        <w:rPr>
          <w:rFonts w:ascii="Times New Roman" w:cs="Times New Roman" w:eastAsia="Times New Roman" w:hAnsi="Times New Roman"/>
          <w:sz w:val="18"/>
          <w:szCs w:val="18"/>
          <w:color w:val="auto"/>
        </w:rPr>
        <w:t>” means, collectively, the 2046 Notes, the 2056 Notes and the 2066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64" w:right="920" w:hanging="5464"/>
        <w:spacing w:after="0" w:line="334" w:lineRule="auto"/>
        <w:tabs>
          <w:tab w:leader="none" w:pos="433"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MB NTD – Please include the “SOFR Index Unavailable Provisions” as referenced here and as are included in the DON and the OM. 9</w:t>
      </w:r>
    </w:p>
    <w:p>
      <w:pPr>
        <w:sectPr>
          <w:pgSz w:w="11900" w:h="16838" w:orient="portrait"/>
          <w:cols w:equalWidth="0" w:num="1">
            <w:col w:w="10964"/>
          </w:cols>
          <w:pgMar w:left="436" w:top="270" w:right="499" w:bottom="1440" w:gutter="0" w:footer="0" w:header="0"/>
        </w:sectPr>
      </w:pPr>
    </w:p>
    <w:bookmarkStart w:id="83" w:name="page84"/>
    <w:bookmarkEnd w:id="8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w:t>
      </w:r>
    </w:p>
    <w:p>
      <w:pPr>
        <w:spacing w:after="0" w:line="99" w:lineRule="exact"/>
        <w:rPr>
          <w:sz w:val="20"/>
          <w:szCs w:val="20"/>
          <w:color w:val="auto"/>
        </w:rPr>
      </w:pPr>
    </w:p>
    <w:p>
      <w:pPr>
        <w:ind w:left="440" w:right="20" w:firstLine="948"/>
        <w:spacing w:after="0" w:line="252" w:lineRule="auto"/>
        <w:tabs>
          <w:tab w:leader="none" w:pos="16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applicable Par Call Date (or, in the case of the 2028 Notes, to March 16, 2028)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(or, in the case of the 2028 Notes, to March 16, 2028),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clause (a), the applicable Treasury constant maturity or maturities on H.15 shall be deemed to have a maturity date equal to the relevant number of months or years, as applicable, of such Treasury constant maturity from the redemption date;</w:t>
      </w:r>
    </w:p>
    <w:p>
      <w:pPr>
        <w:spacing w:after="0" w:line="87" w:lineRule="exact"/>
        <w:rPr>
          <w:rFonts w:ascii="Times New Roman" w:cs="Times New Roman" w:eastAsia="Times New Roman" w:hAnsi="Times New Roman"/>
          <w:sz w:val="18"/>
          <w:szCs w:val="18"/>
          <w:color w:val="auto"/>
        </w:rPr>
      </w:pPr>
    </w:p>
    <w:p>
      <w:pPr>
        <w:ind w:left="440" w:firstLine="948"/>
        <w:spacing w:after="0" w:line="253" w:lineRule="auto"/>
        <w:tabs>
          <w:tab w:leader="none" w:pos="16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(or, in the case of the 2028 Notes, to March 16, 2028). If there is no United States Treasury security maturing on such Par Call Date (or, in the case of the 2028 Notes, on March 16, 2028), but there are two or more United States Treasury securities with a maturity date equally distant from such Par Call Date (or, in the case of the 2028 Notes, from March 16, 2028), one with a maturity date preceding such Par Call Date (or, in the case of the 2028 Notes, preceding March 16, 2028), and one with a maturity date following such Par Call Date (or, in the case of the 2028 Notes, following March 16, 2028), the Company shall select the United States Treasury security with a maturity date preceding such Par Call Date (or, in the case of the 2028 Notes, preceding March 16, 2028). If there are two or more United States Treasury securities maturing on such Par Call Date (or, in the case of the 2028 Notes, on March 16, 2028) for such series of notes, or two or more United States Treasury securities meeting the criteria of the preceding sentence, the Company shall select from among these two or more United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84" w:name="page85"/>
    <w:bookmarkEnd w:id="84"/>
    <w:p>
      <w:pPr>
        <w:ind w:left="4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clause (b),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provided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of the Notes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Principal Amount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2"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hereby authorized and designated nine series of Notes: the 3.900% Senior Notes due 2028, 4.000% Senior Notes due 2029, Floating Rate Senior Notes due 2029, 4.300% Senior Notes due 2031, 4.600% Senior Notes due 2033, 4.950% Senior Notes due 2036, 5.622% Senior Notes due 2046, 5.732% Senior Notes due 2056 and 5.852% Senior Notes due 2066. Each series of the Notes may be authenticated and delivered under the Indenture in an unlimited aggregate principal amount. The 2028 Notes issued on the date hereof pursuant to the terms of the Indenture shall be in an aggregate principal amount of $1,250,000,000. The 2029 Notes issued on the date hereof pursuant to the terms of the Indenture shall be in an aggregate principal amount of $1,250,000,000. The Floating Rate Senior Notes due 2029 issued on the date hereof pursuant to the terms of the Indenture shall be in an aggregate principal amount of $500,000,000. The 2031 Notes issued on the date hereof pursuant to the terms of the Indenture shall be in an aggregate principal amount of $2,000,000,000. The 2033 Notes issued on the date hereof pursuant to the terms of the Indenture shall be in an aggregate principal amount of $1,750,000,000. The 2036 Notes issued on the date hereof pursuant to the terms of the Indenture shall be in an aggregate principal amount of $3,250,000,000. The 2046 Notes issued on the date hereof pursuant to the terms of the Indenture shall be in an aggregate principal amount of $1,000,000,000. The 2056 Notes issued on the date hereof pursuant to the terms of the Indenture shall be in an aggregate principal amount of</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$3,500,000,000. The 2066 Notes issued on the date hereof pursuant to the terms of the Indenture shall be in an aggregate principal amount of</w:t>
      </w:r>
    </w:p>
    <w:p>
      <w:pPr>
        <w:spacing w:after="0" w:line="9"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In the case of each series of Notes, the amount shall be set forth in the written order of the Company for the authentication and delivery of the Notes pursuant to Section 3.02 of the Base Indenture. The Notes will be senior unsecured obligations of the Company and will rank on the same basis with all of the Company’s other senior unsecured indebtedness from time to time outstanding.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85" w:name="page86"/>
    <w:bookmarkEnd w:id="85"/>
    <w:p>
      <w:pPr>
        <w:ind w:right="20" w:firstLine="987"/>
        <w:spacing w:after="0" w:line="254"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without the consent of the Holders of any series of the Notes, the Company may from time to time, without notice to or the consent of the Holders of any series of the Notes, create and issue Additional Notes of any series having the same terms as, and ranking equally and ratably with, the applicable series of Notes (except for the issue date, the public offering price and, if applicable, the payment of interest accruing prior to the issue date of such Additional Notes and the first payment of interest following the issue date of such Additional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Additional Notes are not fungible with the Notes of the applicable series offered hereby for U.S. federal securities laws or U.S. federal income tax purposes, such Additional Notes will have one or more separate CUSIP, ISIN and/or any other identifying number. Such Additional Notes may be consolidated and form a single series with, and will have the same terms as to ranking, redemption, waivers, amendments or otherwise, as the applicable series of Notes, and will vote together as one class on all matters with respect to such series of Notes.</w:t>
      </w:r>
    </w:p>
    <w:p>
      <w:pPr>
        <w:spacing w:after="0" w:line="192"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Maturity</w:t>
      </w:r>
      <w:r>
        <w:rPr>
          <w:rFonts w:ascii="Times New Roman" w:cs="Times New Roman" w:eastAsia="Times New Roman" w:hAnsi="Times New Roman"/>
          <w:sz w:val="17"/>
          <w:szCs w:val="17"/>
          <w:color w:val="auto"/>
        </w:rPr>
        <w:t>. Unless an earlier redemption has occurred, the principal amount of the 2028 Notes shall mature and be due and payable, together with any accrued interest thereon, on March 16, 2028, the principal amount of the 2029 Notes shall mature and be due and payable, together with any accrued interest thereon, on March 16, 2029, the principal amount of the 2029 Floating Rate Senior Notes shall mature and be due and payable, together with any accrued interest thereon, on March 16, 2029, the principal amount of the 2031 Notes shall mature and be due and payable, together with any accrued interest thereon, on March 16, 2031, the principal amount of the 2033 Notes shall mature and be due and payable, together with any accrued interest thereon, on March 16, 2033, the principal amount of the 2036 Notes shall mature and be due and payable, together with any accrued interest thereon, on March 16, 2036, the principal amount of the 2046 Notes shall mature and be due and payable, together with any accrued interest thereon, on March 16, 2046, the principal amount of the 2056 Notes shall mature and be due and payable, together with any accrued interest thereon, on March 16, 2056 and the principal amount of the 2066 Notes shall mature and be due and payable, together with any accrued interest thereon, on March 16, 2066. If the maturity date of any series of the Notes falls on a day that is not a Business Day, payment of principal, premium, if any, and interest for such Notes then due will be paid on the next Business Day. No interest on that payment will accrue from and after the maturity date.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and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987"/>
        <w:spacing w:after="0" w:line="282"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each series shall be issued as global notes in fully registered book-entry form without coupons in denominations of $2,000 and integral multiples of $1,000 in excess thereof.</w:t>
      </w:r>
    </w:p>
    <w:p>
      <w:pPr>
        <w:spacing w:after="0" w:line="5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and the Trustee’s certificates of authentication to be endorsed thereon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which forms are hereby incorporated in and made a part of this First Supplemental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86" w:name="page87"/>
    <w:bookmarkEnd w:id="86"/>
    <w:p>
      <w:pPr>
        <w:ind w:right="34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and provisions contained in the Notes shall constitute, and are hereby expressly made, a part of this First Supplemental Indenture, and the Company and the Trustee, by their execution and delivery of this First Supplemental Indenture, expressly agree to such terms and provisions and to be bound thereby.</w:t>
      </w:r>
    </w:p>
    <w:p>
      <w:pPr>
        <w:spacing w:after="0" w:line="67"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premium, if any, and/or interest, if any, on the global notes representing each series of the Notes shall be made to The Depository Trust Company (together with any successor thereto,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notes representing each series of the Notes shall be deposited with, or on behalf of, the Depositary and shall be registered in the name of the Depositary or a nominee of the Depositary. No global note may be transferred except as a whole by a nominee of the Depositary to the Depositary or to another nominee of the Depositary, or by the Depositary or such nominee to a successor of the Depositary or a nominee of such successor.</w:t>
      </w:r>
    </w:p>
    <w:p>
      <w:pPr>
        <w:spacing w:after="0" w:line="71" w:lineRule="exact"/>
        <w:rPr>
          <w:rFonts w:ascii="Times New Roman" w:cs="Times New Roman" w:eastAsia="Times New Roman" w:hAnsi="Times New Roman"/>
          <w:sz w:val="18"/>
          <w:szCs w:val="18"/>
          <w:color w:val="auto"/>
        </w:rPr>
      </w:pPr>
    </w:p>
    <w:p>
      <w:pPr>
        <w:ind w:right="560" w:firstLine="987"/>
        <w:spacing w:after="0" w:line="282"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provisions relating to the Initial Notes, Additional Notes, Exchange Notes and any other Notes issued under this First Supplemental Indenture are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which is hereby incorporated in and made a part of this First Supplemental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920" w:firstLine="987"/>
        <w:spacing w:after="0" w:line="282"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2028 Notes shall accrue at the rate of 3.900%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right="92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2029 Notes shall accrue at the rate of 4.000%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Interest on the 2029 Floating Rate Notes shall accrue at a variable rate. The interest rate for the 2029 Floating Rate Notes for a particular Interest Period will be a per annum rate equal to Compounded SOFR as determined on the applicable Interest Determination Date as determined by the Calculation Agent, plus 0.630%. The interest rate on the 2029 Floating Rate Notes will be reset on the first day of each Interest Period other than the initial Interest Period. Interest on the 2029 Floating Rate Notes will be payable quarterly in arrears on March 16, June 16, September 16 and December 16 of each year, beginning on June 16, 2026.</w:t>
      </w:r>
    </w:p>
    <w:p>
      <w:pPr>
        <w:spacing w:after="0" w:line="75" w:lineRule="exact"/>
        <w:rPr>
          <w:rFonts w:ascii="Times New Roman" w:cs="Times New Roman" w:eastAsia="Times New Roman" w:hAnsi="Times New Roman"/>
          <w:sz w:val="18"/>
          <w:szCs w:val="18"/>
          <w:color w:val="auto"/>
        </w:rPr>
      </w:pPr>
    </w:p>
    <w:p>
      <w:pPr>
        <w:ind w:firstLine="1428"/>
        <w:spacing w:after="0" w:line="258" w:lineRule="auto"/>
        <w:tabs>
          <w:tab w:leader="none" w:pos="169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(i) in this Section 2.04(ii), if the Company or its designee determine on or prior to the relevant Interest Determination Date that a Benchmark Transition Event and its related Benchmark Replacement Date have occurred with respect to the then-current Benchmark, then (x) the Company shall promptly provide written notice of such determination to the Calculation Agent and (y) the provisions set forth below under Section 2.04(c)(iii) (the “</w:t>
      </w:r>
      <w:r>
        <w:rPr>
          <w:rFonts w:ascii="Times New Roman" w:cs="Times New Roman" w:eastAsia="Times New Roman" w:hAnsi="Times New Roman"/>
          <w:sz w:val="18"/>
          <w:szCs w:val="18"/>
          <w:u w:val="single" w:color="auto"/>
          <w:color w:val="auto"/>
        </w:rPr>
        <w:t>Benchmark Transition Provisions</w:t>
      </w:r>
      <w:r>
        <w:rPr>
          <w:rFonts w:ascii="Times New Roman" w:cs="Times New Roman" w:eastAsia="Times New Roman" w:hAnsi="Times New Roman"/>
          <w:sz w:val="18"/>
          <w:szCs w:val="18"/>
          <w:color w:val="auto"/>
        </w:rPr>
        <w:t>”) will thereafter apply to all determinations, calculations and quotations made or obtained for the purposes of calculating the rate and amount of interest payable on the 2029 Floating Rate Notes during a relevant Interest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87" w:name="page88"/>
    <w:bookmarkEnd w:id="8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In accordance with the Benchmark Transition Provisions, after a Benchmark Transition Event and its related Benchmark Replacement Date have occurred, the amount of interest that will be payable for each Interest Period on the 2029 Floating Rate Notes will be a rate per annum equal to the sum of the Benchmark Replacement and the margin of 0.630% for the 2029 Floating Rate Notes, as determined by the Company or its designee provided, however, that the minimum interest rate on the 2029 Floating Rate Notes shall not be less than 0.000%.</w:t>
      </w:r>
    </w:p>
    <w:p>
      <w:pPr>
        <w:spacing w:after="0" w:line="72" w:lineRule="exact"/>
        <w:rPr>
          <w:sz w:val="20"/>
          <w:szCs w:val="20"/>
          <w:color w:val="auto"/>
        </w:rPr>
      </w:pPr>
    </w:p>
    <w:p>
      <w:pPr>
        <w:ind w:left="440" w:right="40" w:firstLine="952"/>
        <w:spacing w:after="0" w:line="261" w:lineRule="auto"/>
        <w:rPr>
          <w:sz w:val="20"/>
          <w:szCs w:val="20"/>
          <w:color w:val="auto"/>
        </w:rPr>
      </w:pPr>
      <w:r>
        <w:rPr>
          <w:rFonts w:ascii="Times New Roman" w:cs="Times New Roman" w:eastAsia="Times New Roman" w:hAnsi="Times New Roman"/>
          <w:sz w:val="18"/>
          <w:szCs w:val="18"/>
          <w:color w:val="auto"/>
        </w:rPr>
        <w:t>However, if the Company or its designee determine that a Benchmark Transition Event and its related Benchmark Replacement Date have occurred with respect to the then-current Benchmark, but for any reason the Benchmark Replacement has not been determined as of the relevant Interest Determination Date, the interest rate for the applicable Interest Period will be equal to the interest rate on the last Interest Determination Date for the 2029 Floating Rate Notes, as determined by the Company or its designee.</w:t>
      </w:r>
    </w:p>
    <w:p>
      <w:pPr>
        <w:spacing w:after="0" w:line="72" w:lineRule="exact"/>
        <w:rPr>
          <w:sz w:val="20"/>
          <w:szCs w:val="20"/>
          <w:color w:val="auto"/>
        </w:rPr>
      </w:pPr>
    </w:p>
    <w:p>
      <w:pPr>
        <w:ind w:left="440" w:right="40" w:firstLine="952"/>
        <w:spacing w:after="0" w:line="261" w:lineRule="auto"/>
        <w:rPr>
          <w:sz w:val="20"/>
          <w:szCs w:val="20"/>
          <w:color w:val="auto"/>
        </w:rPr>
      </w:pPr>
      <w:r>
        <w:rPr>
          <w:rFonts w:ascii="Times New Roman" w:cs="Times New Roman" w:eastAsia="Times New Roman" w:hAnsi="Times New Roman"/>
          <w:sz w:val="18"/>
          <w:szCs w:val="18"/>
          <w:color w:val="auto"/>
        </w:rPr>
        <w:t>All percentages resulting from any calculation of any interest rate for the 2029 Floating Rate Notes will be rounded, if necessary, to the nearest one-hundred thousandth of a percentage point, with five one-millionths of a percentage point being rounded upwards (e.g., 8.986865% (or 0.08986865) being rounded to 8.98687% (or 0.0898687)) and all dollar amounts used in or resulting from such calculations will be rounded to the nearest cent (with one-half cent being rounded upwards).</w:t>
      </w:r>
    </w:p>
    <w:p>
      <w:pPr>
        <w:spacing w:after="0" w:line="72" w:lineRule="exact"/>
        <w:rPr>
          <w:sz w:val="20"/>
          <w:szCs w:val="20"/>
          <w:color w:val="auto"/>
        </w:rPr>
      </w:pPr>
    </w:p>
    <w:p>
      <w:pPr>
        <w:ind w:left="440" w:right="20" w:firstLine="952"/>
        <w:spacing w:after="0" w:line="261" w:lineRule="auto"/>
        <w:rPr>
          <w:sz w:val="20"/>
          <w:szCs w:val="20"/>
          <w:color w:val="auto"/>
        </w:rPr>
      </w:pPr>
      <w:r>
        <w:rPr>
          <w:rFonts w:ascii="Times New Roman" w:cs="Times New Roman" w:eastAsia="Times New Roman" w:hAnsi="Times New Roman"/>
          <w:sz w:val="18"/>
          <w:szCs w:val="18"/>
          <w:color w:val="auto"/>
        </w:rPr>
        <w:t>The interest rate on the 2029 Floating Rate Notes will in no event be higher than the maximum rate permitted by New York law as the same may be modified by United States laws of general application. The Calculation Agent will, upon the request of any holder of the 2029 Floating Rate Notes, provide the interest rate then in effect with respect to the 2029 Floating Rate Notes and, if it has been determined, the interest rate to be in effect for the next Interest Period.</w:t>
      </w:r>
    </w:p>
    <w:p>
      <w:pPr>
        <w:spacing w:after="0" w:line="72" w:lineRule="exact"/>
        <w:rPr>
          <w:sz w:val="20"/>
          <w:szCs w:val="20"/>
          <w:color w:val="auto"/>
        </w:rPr>
      </w:pPr>
    </w:p>
    <w:p>
      <w:pPr>
        <w:ind w:left="440" w:firstLine="952"/>
        <w:spacing w:after="0" w:line="261" w:lineRule="auto"/>
        <w:rPr>
          <w:sz w:val="20"/>
          <w:szCs w:val="20"/>
          <w:color w:val="auto"/>
        </w:rPr>
      </w:pPr>
      <w:r>
        <w:rPr>
          <w:rFonts w:ascii="Times New Roman" w:cs="Times New Roman" w:eastAsia="Times New Roman" w:hAnsi="Times New Roman"/>
          <w:sz w:val="18"/>
          <w:szCs w:val="18"/>
          <w:color w:val="auto"/>
        </w:rPr>
        <w:t>The Calculation Agent shall calculate the interest rate in accordance with this clause (ii) and shall notify the Trustee or paying agent of such interest rate. All calculations of the Calculation Agent, in the absence of manifest error, shall be conclusive for all purposes and binding on the Company and holders of the 2029 Floating Rate Notes and neither the Trustee nor any paying agent shall have the duty to verify determinations of interest rates made by the Calculation Agent.</w:t>
      </w:r>
    </w:p>
    <w:p>
      <w:pPr>
        <w:spacing w:after="0" w:line="72" w:lineRule="exact"/>
        <w:rPr>
          <w:sz w:val="20"/>
          <w:szCs w:val="20"/>
          <w:color w:val="auto"/>
        </w:rPr>
      </w:pPr>
    </w:p>
    <w:p>
      <w:pPr>
        <w:ind w:right="40" w:firstLine="1428"/>
        <w:spacing w:after="0" w:line="261" w:lineRule="auto"/>
        <w:tabs>
          <w:tab w:leader="none" w:pos="17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its designee determine that a Benchmark Transition Event and its related Benchmark Replacement Date have occurred prior to the Reference Time in respect of any determination of the Benchmark on any date, the Benchmark Replacement will replace the then-current Benchmark for all purposes relating to the 2029 Floating Rate Notes in respect of such determination on such date and all determinations on all subsequent dates.</w:t>
      </w:r>
    </w:p>
    <w:p>
      <w:pPr>
        <w:spacing w:after="0" w:line="72" w:lineRule="exact"/>
        <w:rPr>
          <w:sz w:val="20"/>
          <w:szCs w:val="20"/>
          <w:color w:val="auto"/>
        </w:rPr>
      </w:pPr>
    </w:p>
    <w:p>
      <w:pPr>
        <w:ind w:left="440" w:right="520" w:firstLine="952"/>
        <w:spacing w:after="0" w:line="282" w:lineRule="auto"/>
        <w:rPr>
          <w:sz w:val="20"/>
          <w:szCs w:val="20"/>
          <w:color w:val="auto"/>
        </w:rPr>
      </w:pPr>
      <w:r>
        <w:rPr>
          <w:rFonts w:ascii="Times New Roman" w:cs="Times New Roman" w:eastAsia="Times New Roman" w:hAnsi="Times New Roman"/>
          <w:sz w:val="18"/>
          <w:szCs w:val="18"/>
          <w:color w:val="auto"/>
        </w:rPr>
        <w:t>In connection with the implementation of a Benchmark Replacement, the Company or its designee will have the right to make Benchmark Replacement Conforming Changes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88" w:name="page89"/>
    <w:bookmarkEnd w:id="88"/>
    <w:p>
      <w:pPr>
        <w:ind w:left="340" w:firstLine="952"/>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decision, election or calculation that may be made by the Company or its designee pursuant to the Benchmark Transition Provisions, including any determination with respect to a tenor, rate or adjustment or of the occurrence or non-occurrence of an event, circumstance or date and any decision to take or refrain from taking any action or any selection, will be conclusive and binding absent manifest error, may be made in the Company’s or its designee’s sole discretion and notwithstanding anything to the contrary in any documentation relating to the 2029 Floating Rate Notes, shall become effective without consent from the holders of the 2029 Floating Rate Notes or any other party.</w:t>
      </w:r>
    </w:p>
    <w:p>
      <w:pPr>
        <w:spacing w:after="0" w:line="60" w:lineRule="exact"/>
        <w:rPr>
          <w:sz w:val="20"/>
          <w:szCs w:val="20"/>
          <w:color w:val="auto"/>
        </w:rPr>
      </w:pPr>
    </w:p>
    <w:p>
      <w:pPr>
        <w:ind w:left="-100" w:right="820" w:firstLine="987"/>
        <w:spacing w:after="0" w:line="282" w:lineRule="auto"/>
        <w:tabs>
          <w:tab w:leader="none" w:pos="11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2031 Notes shall accrue at the rate of 4.300%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left="-100" w:right="820" w:firstLine="987"/>
        <w:spacing w:after="0" w:line="282" w:lineRule="auto"/>
        <w:tabs>
          <w:tab w:leader="none" w:pos="11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2033 Notes shall accrue at the rate of 4.600%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left="-100" w:right="840" w:firstLine="987"/>
        <w:spacing w:after="0" w:line="282" w:lineRule="auto"/>
        <w:tabs>
          <w:tab w:leader="none" w:pos="11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2036 Notes shall accrue at the rate of 4.950%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left="-100" w:right="820" w:firstLine="987"/>
        <w:spacing w:after="0" w:line="282" w:lineRule="auto"/>
        <w:tabs>
          <w:tab w:leader="none" w:pos="11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2046 Notes shall accrue at the rate of 5.622%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left="-100" w:right="820" w:firstLine="987"/>
        <w:spacing w:after="0" w:line="282" w:lineRule="auto"/>
        <w:tabs>
          <w:tab w:leader="none" w:pos="11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2056 Notes shall accrue at the rate of 5.732%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left="-100" w:right="860" w:firstLine="987"/>
        <w:spacing w:after="0" w:line="282" w:lineRule="auto"/>
        <w:tabs>
          <w:tab w:leader="none" w:pos="11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2066 Notes shall accrue at the rate of 5.852% per annum, payable semi-annually in arrears on March 16 and September 16 of each year, beginning on September 16, 2026.</w:t>
      </w:r>
    </w:p>
    <w:p>
      <w:pPr>
        <w:spacing w:after="0" w:line="53" w:lineRule="exact"/>
        <w:rPr>
          <w:rFonts w:ascii="Times New Roman" w:cs="Times New Roman" w:eastAsia="Times New Roman" w:hAnsi="Times New Roman"/>
          <w:sz w:val="18"/>
          <w:szCs w:val="18"/>
          <w:color w:val="auto"/>
        </w:rPr>
      </w:pPr>
    </w:p>
    <w:p>
      <w:pPr>
        <w:ind w:left="1100" w:hanging="213"/>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interest payment date for each series of Notes is referred to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 w:right="100" w:firstLine="1428"/>
        <w:spacing w:after="0" w:line="266" w:lineRule="auto"/>
        <w:tabs>
          <w:tab w:leader="none" w:pos="154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2028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left="-100" w:right="40" w:firstLine="1428"/>
        <w:spacing w:after="0" w:line="266" w:lineRule="auto"/>
        <w:tabs>
          <w:tab w:leader="none" w:pos="15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2029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0"/>
          </w:cols>
          <w:pgMar w:left="540" w:top="270" w:right="539" w:bottom="1440" w:gutter="0" w:footer="0" w:header="0"/>
        </w:sectPr>
      </w:pPr>
    </w:p>
    <w:bookmarkStart w:id="89" w:name="page90"/>
    <w:bookmarkEnd w:id="89"/>
    <w:p>
      <w:pPr>
        <w:ind w:right="100" w:firstLine="1428"/>
        <w:spacing w:after="0" w:line="266" w:lineRule="auto"/>
        <w:tabs>
          <w:tab w:leader="none" w:pos="174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on the 2029 Floating Rate Notes shall be payable to the Holders in whose names the Notes of such series are registered at the close of business on March 2, June 2, September 2 and December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right="80" w:firstLine="1428"/>
        <w:spacing w:after="0" w:line="266" w:lineRule="auto"/>
        <w:tabs>
          <w:tab w:leader="none" w:pos="17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2031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right="140" w:firstLine="1428"/>
        <w:spacing w:after="0" w:line="266" w:lineRule="auto"/>
        <w:tabs>
          <w:tab w:leader="none" w:pos="168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2033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right="80" w:firstLine="1428"/>
        <w:spacing w:after="0" w:line="266" w:lineRule="auto"/>
        <w:tabs>
          <w:tab w:leader="none" w:pos="17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2036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right="40" w:firstLine="1428"/>
        <w:spacing w:after="0" w:line="266" w:lineRule="auto"/>
        <w:tabs>
          <w:tab w:leader="none" w:pos="178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2046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jc w:val="both"/>
        <w:ind w:right="180" w:firstLine="1428"/>
        <w:spacing w:after="0" w:line="266" w:lineRule="auto"/>
        <w:tabs>
          <w:tab w:leader="none" w:pos="18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2056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right="80" w:firstLine="1428"/>
        <w:spacing w:after="0" w:line="266" w:lineRule="auto"/>
        <w:tabs>
          <w:tab w:leader="none" w:pos="17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2066 Notes shall be payable to the Holders in whose names the Notes of such series are registered at the close of business on March 2 and September 2, as the case may be (in each case, whether or not a Business Day), immediately preceding the related Interest Payment Date.</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series of all the Notes will accrue from and including March 16, 2026, to, but excluding, the first Interest Payment Date and then from and including the immediately preceding Interest Payment Date to which interest has been paid or duly provided for to, but excluding, the next Interest Payment Date, redemption date or maturity date, as the case may be. Interest on the 2029 Floating Rate Notes will be calculated on the basis of the actual number of days in each quarterly Interest Period and a 360-day year. The Fixed Rate Notes will be computed on the basis of a 360-day year of twelve 30-day months. If any Interest Payment Date or other payment date for any series of the Notes is not a Business Day, then payment of principal, premium, if any, and interest shall be made on the next succeeding Business Day with the same force and effect as if made on the date such payment was due, and no interest on such payment shall accrue on that payment for the period from and after that Interest Payment Date or other payment date, as the case may be, to the date of that payment on the next succeeding Business Day.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not subject to a sinking fund.</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and Covenant Defeasance provisions of Article 12 of the Base Indenture will apply to each series of the Notes and the covenants set forth in Article 4 shall be subject to the provisions of Section 12.03 of the Base Indenture. The provisions of Article 4 of the Base Indenture will apply to each series of the Notes.</w:t>
      </w:r>
    </w:p>
    <w:p>
      <w:pPr>
        <w:spacing w:after="0" w:line="67" w:lineRule="exact"/>
        <w:rPr>
          <w:rFonts w:ascii="Times New Roman" w:cs="Times New Roman" w:eastAsia="Times New Roman" w:hAnsi="Times New Roman"/>
          <w:sz w:val="18"/>
          <w:szCs w:val="18"/>
          <w:color w:val="auto"/>
        </w:rPr>
      </w:pPr>
    </w:p>
    <w:p>
      <w:pPr>
        <w:ind w:right="360" w:firstLine="987"/>
        <w:spacing w:after="0" w:line="261"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of the Notes will be initially guaranteed by the Guarantor pursuant to and on the terms set forth in the Guarantee Agreement. The Guarantor shall be automatically and unconditionally released and discharged from all obligations under its guarantee without any action required on the part of the Trustee or any Holder at such time as the Spin-Off has been completed pursuant to the terms of the Guarantee Agreement.</w:t>
      </w:r>
    </w:p>
    <w:p>
      <w:pPr>
        <w:spacing w:after="0" w:line="7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of the Notes will be subject to the Events of Default provided in Section 5.01 of the Base Indenture, as supplemented by Section 5.01 of this First Supplemental Indenture.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Bank Trust Company Americas will initially be the Security Registrar, Transfer Agent, Calculation Agent and Paying Agent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Notes.</w:t>
      </w:r>
    </w:p>
    <w:p>
      <w:pPr>
        <w:spacing w:after="0" w:line="98" w:lineRule="exact"/>
        <w:rPr>
          <w:rFonts w:ascii="Times New Roman" w:cs="Times New Roman" w:eastAsia="Times New Roman" w:hAnsi="Times New Roman"/>
          <w:sz w:val="18"/>
          <w:szCs w:val="18"/>
          <w:color w:val="auto"/>
        </w:rPr>
      </w:pPr>
    </w:p>
    <w:p>
      <w:pPr>
        <w:ind w:right="480" w:firstLine="987"/>
        <w:spacing w:after="0" w:line="282" w:lineRule="auto"/>
        <w:tabs>
          <w:tab w:leader="none" w:pos="12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the covenants provided in Article 4 of the Base Indenture, as supplemented by Article 4 of this First Supplemental Indenture.</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Optional Redemption of the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940" w:firstLine="987"/>
        <w:spacing w:after="0" w:line="282"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 provisions of Article 11 of the Base Indenture, as supplemented by the provisions of this First Supplemental Indenture, shall apply to each series of the Notes.</w:t>
      </w:r>
    </w:p>
    <w:p>
      <w:pPr>
        <w:spacing w:after="0" w:line="5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clause (b), the SpinCo Debt Securities shall not be redeemable prior to March 16, 2031. The SpinCo Debt Securities shall be redeemable at the earlier of any time on or after the applicable First Call Date and from time to time prior to the applicable Par Call Date, in each case, in whole or in part, at the Company’s option, at a redemption price equal to the greater of (i) (a) 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plus the Applicable Spread less (b) interest accrued to the redemption date and (ii) 100% of the principal amount of the Notes to be redeemed; plus, in either case, accrued and unpaid interest, if any, to, but excluding, the redemption date.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91" w:name="page92"/>
    <w:bookmarkEnd w:id="91"/>
    <w:p>
      <w:pPr>
        <w:ind w:left="1240" w:hanging="253"/>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2029 Floating Rate Notes shall not be redeemable prior to maturity.</w:t>
      </w:r>
    </w:p>
    <w:p>
      <w:pPr>
        <w:spacing w:after="0" w:line="11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2028 Notes, the 2029 Notes, the 2031 Notes, the 2033 Notes and 2036 Notes shall be redeemable at any time and from time to time prior to the applicable Par Call Date (or, in the case of the 2028 Notes, prior to March 16, 2028), in each case, in whole or in part, at the Company’s option, at a redemption price equal to the greater of (i) (a) the sum of the present values of the Remaining Scheduled Payments of principal and interest thereon discounted to the redemption date (assuming that such notes matured on their applicable Par Call Date (or, in the case of the 2028 Notes, on March 16, 2028)) on a semi-annual basis (assuming a 360-day year consisting of twelve 30-day months) at the applicable Treasury Rate plus the Applicable Spread less (b) interest accrued to the redemption date and (ii) 100% of the principal amount of the Notes to be redeemed; plus, in either case, accrued and unpaid interest, if any, to, but excluding, the redemption date.</w:t>
      </w:r>
    </w:p>
    <w:p>
      <w:pPr>
        <w:spacing w:after="0" w:line="80" w:lineRule="exact"/>
        <w:rPr>
          <w:rFonts w:ascii="Times New Roman" w:cs="Times New Roman" w:eastAsia="Times New Roman" w:hAnsi="Times New Roman"/>
          <w:sz w:val="18"/>
          <w:szCs w:val="18"/>
          <w:color w:val="auto"/>
        </w:rPr>
      </w:pPr>
    </w:p>
    <w:p>
      <w:pPr>
        <w:ind w:right="22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the applicable Par Call Date the SpinCo Debt Securities, the 2029 Notes, the 2031 Notes, the 2033 Notes and 2036 Notes shall be redeemable, in whole or in part, at the Company’s election, at a redemption price equal to 100% of the principal amount of the Notes to be redeemed, plus accrued and unpaid interest, if any, to, but excluding, the redemption date for such Notes.</w:t>
      </w:r>
    </w:p>
    <w:p>
      <w:pPr>
        <w:spacing w:after="0" w:line="67" w:lineRule="exact"/>
        <w:rPr>
          <w:rFonts w:ascii="Times New Roman" w:cs="Times New Roman" w:eastAsia="Times New Roman" w:hAnsi="Times New Roman"/>
          <w:sz w:val="18"/>
          <w:szCs w:val="18"/>
          <w:color w:val="auto"/>
        </w:rPr>
      </w:pPr>
    </w:p>
    <w:p>
      <w:pPr>
        <w:ind w:right="340" w:firstLine="987"/>
        <w:spacing w:after="0" w:line="282" w:lineRule="auto"/>
        <w:tabs>
          <w:tab w:leader="none" w:pos="12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a redemption date, interest will cease to accrue on the notes called for redemption (unless the Company defaults in the payment of the redemption price and accrued interest).</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may, at the Company’s discretion, be subject to one or more conditions precedent, which will be set forth in the related notice of redemption, including, but not limited to, completion of an offering, change of control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as any or all such conditions will be satisfied, or such redemption may not occur and such notice may be rescinded in the event that any or all such conditions will not have been satisfied by the redemption date, or by the redemption date as so delayed. If any such condition precedent has not been satisfied, the Company will provide written notice to the Trustee prior to the close of business two Business Days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w:t>
      </w:r>
    </w:p>
    <w:p>
      <w:pPr>
        <w:spacing w:after="0" w:line="80"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for any calculation or determination in respect of the redemption price of any Note, or any component thereof, and shall be entitled to receive, and fully-protected in relying upon, an Officer’s Certificate from the Company that states such redemption price.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92" w:name="page93"/>
    <w:bookmarkEnd w:id="9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Special Mandatory Redemption of the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87"/>
        <w:spacing w:after="0" w:line="276" w:lineRule="auto"/>
        <w:tabs>
          <w:tab w:leader="none" w:pos="12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Special Mandatory Redemption Event, the Company will redeem the aggregate principal amount of the New Money Notes outstanding on the Special Mandatory Redemption Date at the Special Mandatory Redemption Price; provided that upon the earlier of</w:t>
      </w:r>
    </w:p>
    <w:p>
      <w:pPr>
        <w:ind w:left="4" w:right="40" w:hanging="4"/>
        <w:spacing w:after="0" w:line="250" w:lineRule="auto"/>
        <w:tabs>
          <w:tab w:leader="none" w:pos="2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Spin-Off and (ii) consummation of the Honeywell Tender Offer or, if the Honeywell Tender Offer is not consummated, the date on which the Company notifies the Trustee and the Holders of the notes of the repurchase, redemption or repayment by Honeywell of any of its debt including without limitation through tender offers, open market repurchases, or payments at maturity or upon redemption (other than repayment of the 2026 Term Loan or any debt repurchased, redeemed or repaid with the proceeds of the 2026 Term Loan), for total cash consideration of at least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billion, the obligations of the Company with respect to the special mandatory redemption will cease to apply.</w:t>
      </w:r>
    </w:p>
    <w:p>
      <w:pPr>
        <w:spacing w:after="0" w:line="9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cause a notice of special mandatory redemption to be electronically delivered or mailed to the Trustee and electronically delivered or mailed to each Holder of record of the Notes to be redeemed no later than the Business Day following the Special Mandatory Redemption Event and will specify Special Mandatory Redemption Date.</w:t>
      </w:r>
    </w:p>
    <w:p>
      <w:pPr>
        <w:spacing w:after="0" w:line="67"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deposit of funds sufficient to pay the Special Mandatory Redemption Price of all Notes to be redeemed on the Special Mandatory Redemption Date with the Paying Agent on or before such Special Mandatory Redemption Date, the Notes shall cease to bear interest and all rights under the Notes shall terminate.</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special mandatory redemption shall state:</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Mandatory Redemption Date;</w:t>
      </w:r>
    </w:p>
    <w:p>
      <w:pPr>
        <w:spacing w:after="0" w:line="117"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Mandatory Redemption Price;</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Special Mandatory Redemption Date, the Special Mandatory Redemption Price shall become due and payable; and</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New Money Notes shall cease to bear interest on and after the Special Mandatory Redemption Date.</w:t>
      </w:r>
    </w:p>
    <w:p>
      <w:pPr>
        <w:spacing w:after="0" w:line="117"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for any calculation or determination in respect of the Special Mandatory Redemption Event or the Special Mandatory Redemption Price, or any component thereof, and shall be entitled to receive, and fully protected in relying upon, an Officer’s Certificate from the Company that states the occurrence of such Special Mandatory Redemption Event and such Special Mandatory Redemption Price, and certifies the Company’s compliance with the Special Mandatory Redemption conditions.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Four</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Covenants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Contribution of Assets and Liabilities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4"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subject to the occurrence of the Spin-Off, the Guarantor shall contribute, convey, sell or otherwise transfer, or make definitive arrangements to transfer after the Spin-Off, to the Company or any of the Company’s Subsidiaries, substantially all of the assets, and cause to be accepted or assumed, or make definitive arrangements to be accepted or assumed after the Spin-Off, by the Company or any of the Company’s Subsidiaries, substantially all of the liabilities, in each case comprising the “Aerospace Technologies” business of the Guarantor as described in, and subject to the exceptions and limitations set forth in the Form 10 (including all exhibits thereto) filed by the Company on March 3, 2026 with the Commission. For the avoidance of doubt, the Guarantor shall not be required to contribute, convey, sell or otherwise transfer, or make definitive arrangements to transfer after the Spin-Off, to the Company or any of its subsidiaries any pass-through arrangements or contracts that are subject to any necessary third-party consents until such third-party consents have been obtained.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Events of Default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Additional Events of Default</w:t>
      </w:r>
      <w:r>
        <w:rPr>
          <w:rFonts w:ascii="Times New Roman" w:cs="Times New Roman" w:eastAsia="Times New Roman" w:hAnsi="Times New Roman"/>
          <w:sz w:val="18"/>
          <w:szCs w:val="18"/>
          <w:color w:val="auto"/>
        </w:rPr>
        <w:t>. In addition to the Events of Default set forth in Section 5.01 of the Base Indenture, an “</w:t>
      </w:r>
      <w:r>
        <w:rPr>
          <w:rFonts w:ascii="Times New Roman" w:cs="Times New Roman" w:eastAsia="Times New Roman" w:hAnsi="Times New Roman"/>
          <w:sz w:val="18"/>
          <w:szCs w:val="18"/>
          <w:u w:val="single" w:color="auto"/>
          <w:color w:val="auto"/>
        </w:rPr>
        <w:t>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with respect to any series of the Notes occurs if:</w:t>
      </w:r>
    </w:p>
    <w:p>
      <w:pPr>
        <w:spacing w:after="0" w:line="99" w:lineRule="exact"/>
        <w:rPr>
          <w:sz w:val="20"/>
          <w:szCs w:val="20"/>
          <w:color w:val="auto"/>
        </w:rPr>
      </w:pPr>
    </w:p>
    <w:p>
      <w:pPr>
        <w:ind w:right="140" w:firstLine="987"/>
        <w:spacing w:after="0" w:line="258"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default in the performance, or breach, in any material respect, of any covenant or warranty of the Guarantor, by the Guarantor, with respect to the Notes of any series, and continuance of such default or breach for a period of 90 days after there has been given, by registered or certified delivery, to the Company by the Trustee or to the Company and the Trustee by the Holders of at least 25% in principal amount of the Outstanding Notes of that series a written notice specifying such default or breach and requiring it to be remedied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under the Indenture; or</w:t>
      </w:r>
    </w:p>
    <w:p>
      <w:pPr>
        <w:spacing w:after="0" w:line="75"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the entry by a court having jurisdiction in the premises of (A) a decree or order for relief in respect of the Guarantor in an involuntary case or proceeding under any applicable federal or state bankruptcy, insolvency, reorganization or other similar law or (B) a decree or order adjudging the Guarantor a bankrupt or insolvent, or approving as properly filed a petition seeking reorganization, arrangement, adjustment or composition of or in respect of the Guarantor under any applicable federal or state law, or appointing a custodian, receiver, liquidator, assignee, trustee, sequestrator or other similar official of the Guarantor or of any substantial part of its respective property, or ordering the winding up or liquidation of its respective affairs, and the continuance of any such decree or order for relief or any such other decree or order unstayed and in effect for a period of 90 consecutive days;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94" w:name="page95"/>
    <w:bookmarkEnd w:id="94"/>
    <w:p>
      <w:pPr>
        <w:ind w:right="60" w:firstLine="987"/>
        <w:spacing w:after="0" w:line="254"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Spin-Off, the commencement by the Guarantor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Guarantor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Guarantor or of any substantial part of its property, or the making by it of an assignment of a substantial part of its property for the benefit of creditors, or the admission by it in writing of its inability to pay its debts generally as they become due, or the taking of corporate action by the Guarantor in furtherance of any such action.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Supplemental Indentures Without the Consent of Holders</w:t>
      </w:r>
    </w:p>
    <w:p>
      <w:pPr>
        <w:spacing w:after="0" w:line="229"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Additional Supplemental Indentures Without the Consent of Holders</w:t>
      </w:r>
      <w:r>
        <w:rPr>
          <w:rFonts w:ascii="Times New Roman" w:cs="Times New Roman" w:eastAsia="Times New Roman" w:hAnsi="Times New Roman"/>
          <w:sz w:val="18"/>
          <w:szCs w:val="18"/>
          <w:color w:val="auto"/>
        </w:rPr>
        <w:t>. In addition to the amendments or supplements that may be made as set forth in Section 9.01 of the Base Indenture, the Company and the Trustee may amend or supplement this First Supplemental Indenture or the Securities of any series without the consent of any Holder to evidence the release of the Guarantor as permitted by this First Supplemental Indenture or the Guarantee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Application of First Supplemental Indenture</w:t>
      </w:r>
      <w:r>
        <w:rPr>
          <w:rFonts w:ascii="Times New Roman" w:cs="Times New Roman" w:eastAsia="Times New Roman" w:hAnsi="Times New Roman"/>
          <w:sz w:val="18"/>
          <w:szCs w:val="18"/>
          <w:color w:val="auto"/>
        </w:rPr>
        <w:t>. The Indenture, as supplemented by this First Supplemental Indenture, is in all respects ratified and confirmed. This First Supplemental Indenture shall be deemed part of the Base Indenture in the manner and to the extent herein and therein provided.</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If any provision hereof limits, qualifies or conflicts with the duties imposed by the Trust Indenture Act, the imposed duties shall control.</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Conflict with Base Indenture</w:t>
      </w:r>
      <w:r>
        <w:rPr>
          <w:rFonts w:ascii="Times New Roman" w:cs="Times New Roman" w:eastAsia="Times New Roman" w:hAnsi="Times New Roman"/>
          <w:sz w:val="18"/>
          <w:szCs w:val="18"/>
          <w:color w:val="auto"/>
        </w:rPr>
        <w:t>. To the extent not expressly amended or modified by this First Supplemental Indenture, the Base Indenture shall remain in full force and effect. If any provision of this First Supplemental Indenture relating to the Notes is inconsistent with any provision of the Base Indenture, the provision of this First Supplemental Indenture shall control.</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FIRST SUPPLEMENTAL INDENTURE SHALL BE GOVERNED BY, AND CONSTRUED IN ACCORDANCE WITH, THE LAWS OF THE STATE OF NEW YORK.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95" w:name="page96"/>
    <w:bookmarkEnd w:id="95"/>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the Base Indenture, this First Supplemental Indenture and the Notes shall bind its successors. All agreements of the Trustee in the Base Indenture and this First Supplemental Indenture shall bind its successors.</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instrument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Facsimile, documents executed, scanned and transmitted electronically and electronic signatures, including those created or transmitted through a software platform or application, shall be deemed original signatures for purposes of this Indenture and all Securities and all matters and agreements related thereto, with such facsimile, scanned and electronic signatures having the same legal effect as original signatures. The parties agree that the Indenture or any Security or any instrument, agreement or document necessary for the consummation of the transactions contemplated by the Indenture or the Securities or related hereto or thereto (including, without limitation, addendums, amendments, notices, instructions, communications with respect to the delivery of securities or the wire transfer of funds or other communications) (“</w:t>
      </w:r>
      <w:r>
        <w:rPr>
          <w:rFonts w:ascii="Times New Roman" w:cs="Times New Roman" w:eastAsia="Times New Roman" w:hAnsi="Times New Roman"/>
          <w:sz w:val="18"/>
          <w:szCs w:val="18"/>
          <w:b w:val="1"/>
          <w:bCs w:val="1"/>
          <w:color w:val="auto"/>
        </w:rPr>
        <w:t>Executed Documentation</w:t>
      </w:r>
      <w:r>
        <w:rPr>
          <w:rFonts w:ascii="Times New Roman" w:cs="Times New Roman" w:eastAsia="Times New Roman" w:hAnsi="Times New Roman"/>
          <w:sz w:val="18"/>
          <w:szCs w:val="18"/>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 Agent acts on any Executed Documentation sent by electronic transmission, the Trustee or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and each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 Agent acting on unauthorized instructions and the risk of interception and misuse by third parties.</w:t>
      </w:r>
    </w:p>
    <w:p>
      <w:pPr>
        <w:spacing w:after="0" w:line="19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Trustee Disclaimer</w:t>
      </w:r>
      <w:r>
        <w:rPr>
          <w:rFonts w:ascii="Times New Roman" w:cs="Times New Roman" w:eastAsia="Times New Roman" w:hAnsi="Times New Roman"/>
          <w:sz w:val="18"/>
          <w:szCs w:val="18"/>
          <w:color w:val="auto"/>
        </w:rPr>
        <w:t>. The Trustee makes no representation as to the validity, adequacy or sufficiency of this First Supplemental Indenture and the Notes other than as to the validity of the execution and delivery of the First Supplemental Indenture by the Trustee and the authentication of the Notes by the Trustee. The recitals and statements herein and in the Notes are deemed to be those of the Company and not the Trustee and the Trustee assumes no responsibility for the same and the Trustee does not make any representation with respect to such matters. The Trustee shall not be accountable for the use or application by the Company of Notes or the proceeds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96" w:name="page97"/>
    <w:bookmarkEnd w:id="96"/>
    <w:p>
      <w:pPr>
        <w:jc w:val="both"/>
        <w:ind w:firstLine="991"/>
        <w:spacing w:after="0" w:line="267"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18"/>
          <w:szCs w:val="18"/>
          <w:i w:val="1"/>
          <w:iCs w:val="1"/>
          <w:color w:val="auto"/>
        </w:rPr>
        <w:t>Notice of Registration Default</w:t>
      </w:r>
      <w:r>
        <w:rPr>
          <w:rFonts w:ascii="Times New Roman" w:cs="Times New Roman" w:eastAsia="Times New Roman" w:hAnsi="Times New Roman"/>
          <w:sz w:val="18"/>
          <w:szCs w:val="18"/>
          <w:color w:val="auto"/>
        </w:rPr>
        <w:t>. The Company will provide notice to the Trustee of (a) the occurrence of any Registration Default and the date from which Additional Interest shall accrue and the rate of Additional Interest (including any changes to the rate of Additional Interest) and (b) when such Registration Default is cured from which Additional Interest ceases to accrue.</w:t>
      </w:r>
    </w:p>
    <w:p>
      <w:pPr>
        <w:spacing w:after="0" w:line="1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60"/>
          </w:cols>
          <w:pgMar w:left="440" w:top="268" w:right="799" w:bottom="1440" w:gutter="0" w:footer="0" w:header="0"/>
        </w:sectPr>
      </w:pPr>
    </w:p>
    <w:bookmarkStart w:id="97" w:name="page98"/>
    <w:bookmarkEnd w:id="97"/>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to this First Supplemental Indenture have caused it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 and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Kellerk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Denise Kellerk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First Supplemental Indenture]</w:t>
      </w:r>
    </w:p>
    <w:p>
      <w:pPr>
        <w:sectPr>
          <w:pgSz w:w="11900" w:h="16838" w:orient="portrait"/>
          <w:cols w:equalWidth="0" w:num="1">
            <w:col w:w="10860"/>
          </w:cols>
          <w:pgMar w:left="440" w:top="270" w:right="599" w:bottom="1440" w:gutter="0" w:footer="0" w:header="0"/>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PROVISIONS RELATING TO INITIAL NOTES,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ADDITIONAL NOTES AND EXCHANGE NOTES OF EACH SERIES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Appendix A have the meanings given to them in the Indenture. The following capitalized terms have the following meanings:</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xml:space="preserve">” means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 any successor securities clearing agency.</w:t>
      </w:r>
    </w:p>
    <w:p>
      <w:pPr>
        <w:spacing w:after="0" w:line="22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 Benchmark Replacement means a tenor (including overnight) having approximately the same length (disregarding business day adjustment) as the applicable tenor for the then-current Benchmark.</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Deutsche Bank Trust Company Americas, as custodian with respect to the Notes in global form, or any successor entity thereto.</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means a certificated Initial Note, Additional Note or Exchange Note issued pursuant to the Indenture (bearing the Restricted Notes Legend if the transfer of such Note is restricted by applicable law) that does not include the Global Notes Legend.</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Compliance Period</w:t>
      </w:r>
      <w:r>
        <w:rPr>
          <w:rFonts w:ascii="Times New Roman" w:cs="Times New Roman" w:eastAsia="Times New Roman" w:hAnsi="Times New Roman"/>
          <w:sz w:val="18"/>
          <w:szCs w:val="18"/>
          <w:color w:val="auto"/>
        </w:rPr>
        <w:t>,”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Company to the Trustee and the Agents, and (b) the date of issuance with respect to such Note or any predecessor of such Note.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 as operator of Euroclear systems Clearance System or any successor securities clearing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60"/>
          </w:cols>
          <w:pgMar w:left="440" w:top="270" w:right="499" w:bottom="1440" w:gutter="0" w:footer="0" w:header="0"/>
        </w:sectPr>
      </w:pPr>
    </w:p>
    <w:bookmarkStart w:id="99" w:name="page100"/>
    <w:bookmarkEnd w:id="9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Restricted Notes</w:t>
      </w:r>
      <w:r>
        <w:rPr>
          <w:rFonts w:ascii="Times New Roman" w:cs="Times New Roman" w:eastAsia="Times New Roman" w:hAnsi="Times New Roman"/>
          <w:sz w:val="18"/>
          <w:szCs w:val="18"/>
          <w:color w:val="auto"/>
        </w:rPr>
        <w:t>” means Definitive Notes and any Notes in global form that bear or are required to bear the Restricted Notes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Legend.</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means any Note in global form that does not bear or is not required to bear the Restricted Notes Legend.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Regulation 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Defined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Term:</w:t>
            </w:r>
          </w:p>
        </w:tc>
        <w:tc>
          <w:tcPr>
            <w:tcW w:w="6400" w:type="dxa"/>
            <w:vAlign w:val="bottom"/>
            <w:vMerge w:val="restart"/>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1"/>
              </w:rPr>
              <w:t>in</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6400" w:type="dxa"/>
            <w:vAlign w:val="bottom"/>
            <w:vMerge w:val="continue"/>
          </w:tcPr>
          <w:p>
            <w:pPr>
              <w:spacing w:after="0"/>
              <w:rPr>
                <w:sz w:val="13"/>
                <w:szCs w:val="13"/>
                <w:color w:val="auto"/>
              </w:rPr>
            </w:pPr>
          </w:p>
        </w:tc>
        <w:tc>
          <w:tcPr>
            <w:tcW w:w="7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vMerge w:val="continue"/>
            <w:shd w:val="clear" w:color="auto" w:fill="CCEEFF"/>
          </w:tcPr>
          <w:p>
            <w:pPr>
              <w:spacing w:after="0"/>
              <w:rPr>
                <w:sz w:val="17"/>
                <w:szCs w:val="17"/>
                <w:color w:val="auto"/>
              </w:rPr>
            </w:pPr>
          </w:p>
        </w:tc>
        <w:tc>
          <w:tcPr>
            <w:tcW w:w="720" w:type="dxa"/>
            <w:vAlign w:val="bottom"/>
            <w:gridSpan w:val="2"/>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2.1(c)</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“Definitive Notes Legend”</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2.2(e)</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Note”</w:t>
            </w: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2.1(b)</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Notes Legend”</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2.2(e)</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“Regulation S Global Note”</w:t>
            </w: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2.1(b)</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S Legend”</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2.2(e)</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Notes Legend”</w:t>
            </w: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2.2(e)</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144A Global Note”</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2.1(b)</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144A Notes”</w:t>
            </w: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provisions of this Appendix A shall apply to each series of 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Form and Dating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3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Notes issued on the date hereof shall (i) (x) for the New Money Notes, be offered and sold by the Company to the initial purchasers thereof and (y) for the SpinCo Debt Securities, be offered and sold by the Company to the Guarantor as partial consideration for the contribution of assets by the Guarantor to the Company in connection with the Spin-Off, and then transferred by the Guarantor to the selling noteholders pursuant to an exchange agreement prior to the closing of the Spin-Off and subsequently offered and sold by the selling noteholders to the initial purchasers thereof and (ii) resold, initially only to (1) persons reasonably believed to be QIBs in reliance on Rule 144A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4" w:right="440" w:hanging="4"/>
        <w:spacing w:after="0" w:line="260"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other than U.S. persons in reliance on Regulation S (“</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Additional Notes may also be considered to be Rule 144A Notes or Regulation S Notes, as applicable.</w:t>
      </w:r>
    </w:p>
    <w:p>
      <w:pPr>
        <w:spacing w:after="0" w:line="73"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Rule 144A Notes shall be issued in the form of one or more permanent global Notes in definitive, fully registered form, numbered A-1 upward (collectively, the “</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and Regulation S Notes shall be issued initially in the form of one or more global Notes, numbered S-1 upward (collectively, the “</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in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4"/>
          </w:cols>
          <w:pgMar w:left="436" w:top="270" w:right="479" w:bottom="1440" w:gutter="0" w:footer="0" w:header="0"/>
        </w:sectPr>
      </w:pPr>
    </w:p>
    <w:bookmarkStart w:id="100" w:name="page101"/>
    <w:bookmarkEnd w:id="10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The Rule 144A Global Note, the Regulation S Global Note and any Unrestricted Global Note are each referred to herein as a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and are collectively referred to herein as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Custodian, in accordance with instructions given by the Holder thereof as required by Sections 3.07 and Section 3.11 of the Base Indenture and Section 2.2(c) of this Appendix A.</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Book-Entry Provisions</w:t>
      </w:r>
      <w:r>
        <w:rPr>
          <w:rFonts w:ascii="Times New Roman" w:cs="Times New Roman" w:eastAsia="Times New Roman" w:hAnsi="Times New Roman"/>
          <w:sz w:val="18"/>
          <w:szCs w:val="18"/>
          <w:color w:val="auto"/>
        </w:rPr>
        <w:t>. This Section 2.1(c) shall apply only to a Global Note deposited with or on behalf of the Depositary.</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shall execute and the Trustee shall, in accordance with this Section 2.1(c) and Section 3.03 of the Base Indenture and pursuant to a Company Order signed by one Officer of the Company, authenticate and deliver one or more Global Notes that (i) shall be registered in the name of the Depositary for such Global Note or Global Notes or the nominee of such Depositary and (ii) shall be delivered by the Trustee to such Depositary or pursuant to such Depositary’s instructions or held by the Custodian.</w:t>
      </w:r>
    </w:p>
    <w:p>
      <w:pPr>
        <w:spacing w:after="0" w:line="180" w:lineRule="exact"/>
        <w:rPr>
          <w:sz w:val="20"/>
          <w:szCs w:val="20"/>
          <w:color w:val="auto"/>
        </w:rPr>
      </w:pPr>
    </w:p>
    <w:p>
      <w:pPr>
        <w:ind w:firstLine="991"/>
        <w:spacing w:after="0" w:line="274" w:lineRule="auto"/>
        <w:rPr>
          <w:sz w:val="20"/>
          <w:szCs w:val="20"/>
          <w:color w:val="auto"/>
        </w:rPr>
      </w:pPr>
      <w:r>
        <w:rPr>
          <w:rFonts w:ascii="Times New Roman" w:cs="Times New Roman" w:eastAsia="Times New Roman" w:hAnsi="Times New Roman"/>
          <w:sz w:val="17"/>
          <w:szCs w:val="17"/>
          <w:color w:val="auto"/>
        </w:rPr>
        <w:t>Members of, or participants in, the Depositary (“</w:t>
      </w:r>
      <w:r>
        <w:rPr>
          <w:rFonts w:ascii="Times New Roman" w:cs="Times New Roman" w:eastAsia="Times New Roman" w:hAnsi="Times New Roman"/>
          <w:sz w:val="17"/>
          <w:szCs w:val="17"/>
          <w:u w:val="single" w:color="auto"/>
          <w:color w:val="auto"/>
        </w:rPr>
        <w:t>Agent Members</w:t>
      </w:r>
      <w:r>
        <w:rPr>
          <w:rFonts w:ascii="Times New Roman" w:cs="Times New Roman" w:eastAsia="Times New Roman" w:hAnsi="Times New Roman"/>
          <w:sz w:val="17"/>
          <w:szCs w:val="17"/>
          <w:color w:val="auto"/>
        </w:rPr>
        <w:t>”)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 purposes whatsoever. Notwithstanding this Section 2.1(c),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65" w:lineRule="exact"/>
        <w:rPr>
          <w:sz w:val="20"/>
          <w:szCs w:val="20"/>
          <w:color w:val="auto"/>
        </w:rPr>
      </w:pPr>
    </w:p>
    <w:p>
      <w:pPr>
        <w:ind w:right="16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 Except as provided in Section 2.2 or Section 2.3 of this Appendix A, owners of beneficial interests in Global Notes shall not be entitled to receive physical delivery of Definitive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Notes for Definitive Notes</w:t>
      </w:r>
      <w:r>
        <w:rPr>
          <w:rFonts w:ascii="Times New Roman" w:cs="Times New Roman" w:eastAsia="Times New Roman" w:hAnsi="Times New Roman"/>
          <w:sz w:val="18"/>
          <w:szCs w:val="18"/>
          <w:color w:val="auto"/>
        </w:rPr>
        <w:t>. When Definitive Notes are presented to the Security Registrar with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request:</w:t>
      </w:r>
    </w:p>
    <w:p>
      <w:pPr>
        <w:spacing w:after="0" w:line="9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such Definitive Notes;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0"/>
          </w:cols>
          <w:pgMar w:left="440" w:top="270" w:right="479" w:bottom="1440" w:gutter="0" w:footer="0" w:header="0"/>
        </w:sectPr>
      </w:pPr>
    </w:p>
    <w:bookmarkStart w:id="101" w:name="page102"/>
    <w:bookmarkEnd w:id="101"/>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to exchange such Definitive Notes for an equal principal amount of Definitive Notes of other authorized denominations,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Security Registrar shall register the transfer or make the exchange as requested if its reasonable requirements for such transaction are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Definitive Notes surrendered for transfer or exchange:</w:t>
      </w:r>
    </w:p>
    <w:p>
      <w:pPr>
        <w:spacing w:after="0" w:line="54" w:lineRule="exact"/>
        <w:rPr>
          <w:sz w:val="20"/>
          <w:szCs w:val="20"/>
          <w:color w:val="auto"/>
        </w:rPr>
      </w:pPr>
    </w:p>
    <w:p>
      <w:pPr>
        <w:ind w:left="440" w:right="500" w:firstLine="419"/>
        <w:spacing w:after="0" w:line="282"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duly endorsed or accompanied by a written instrument of transfer in form reasonably satisfactory to the Company and the Security Registrar, duly executed by the Holder thereof or his attorney duly authorized in writing; and</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Transfer Restricted Notes, such Transfer Restricted Notes are being transferred or exchanged pursuant to an effective registration statement under the Securities Act or pursuant to Section 2.2(b) of this Appendix A or otherwise in accordance with the Restricted Notes Legend, and are accompanied by a certification from the transferor in the form provided on the reverse side of the Form of Note attached as an exhibit to the First Supplemental Indenture for exchange or registration of transfers and, as applicable, delivery of such legal opinions, certifications and other information as may be requested pursuant thereto.</w:t>
      </w:r>
    </w:p>
    <w:p>
      <w:pPr>
        <w:spacing w:after="0" w:line="7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 Definitive Note for a Beneficial Interest in a Global Note</w:t>
      </w:r>
      <w:r>
        <w:rPr>
          <w:rFonts w:ascii="Times New Roman" w:cs="Times New Roman" w:eastAsia="Times New Roman" w:hAnsi="Times New Roman"/>
          <w:sz w:val="18"/>
          <w:szCs w:val="18"/>
          <w:color w:val="auto"/>
        </w:rPr>
        <w:t>. A Definitive Note may not be exchanged for a beneficial interest in a Global Note except upon satisfaction of the requirements set forth below. Upon receipt of a Definitive Note, duly endorsed or accompanied by a written instrument of transfer in form reasonably satisfactory to the Company and the Security Registrar, together with:</w:t>
      </w:r>
    </w:p>
    <w:p>
      <w:pPr>
        <w:spacing w:after="0" w:line="68" w:lineRule="exact"/>
        <w:rPr>
          <w:sz w:val="20"/>
          <w:szCs w:val="20"/>
          <w:color w:val="auto"/>
        </w:rPr>
      </w:pPr>
    </w:p>
    <w:p>
      <w:pPr>
        <w:ind w:left="440" w:right="520" w:firstLine="419"/>
        <w:spacing w:after="0" w:line="266"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from the transferor in the form provided on the reverse side of the Form of Note attached as an exhibit to the First Supplemental Indenture for exchange or registration of transfers and, as applicable, delivery of such legal opinions, certifications and other information as may be requested pursuant thereto; and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directing the Security Registrar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Paying Agent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written order of the Company in the form of an Officer’s Certificate, a new applicable Global Note in the appropriate principal amount.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60"/>
          </w:cols>
          <w:pgMar w:left="440" w:top="270" w:right="499" w:bottom="1440" w:gutter="0" w:footer="0" w:header="0"/>
        </w:sectPr>
      </w:pPr>
    </w:p>
    <w:bookmarkStart w:id="102" w:name="page103"/>
    <w:bookmarkEnd w:id="102"/>
    <w:p>
      <w:pPr>
        <w:ind w:left="1220" w:hanging="253"/>
        <w:spacing w:after="0"/>
        <w:tabs>
          <w:tab w:leader="none" w:pos="12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Exchange of Global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419"/>
        <w:spacing w:after="0" w:line="255" w:lineRule="auto"/>
        <w:tabs>
          <w:tab w:leader="none" w:pos="10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Global Notes or beneficial interests therein shall be effected through the Depositary, in accordance with the Indenture (including applicable restrictions on transfer set forth in Section 2.2(d) of this Appendix A, if any) and the procedures of the Depositary therefor. A transferor of a beneficial interest in a Global Note shall deliver to the Security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80" w:lineRule="exact"/>
        <w:rPr>
          <w:rFonts w:ascii="Times New Roman" w:cs="Times New Roman" w:eastAsia="Times New Roman" w:hAnsi="Times New Roman"/>
          <w:sz w:val="18"/>
          <w:szCs w:val="18"/>
          <w:color w:val="auto"/>
        </w:rPr>
      </w:pPr>
    </w:p>
    <w:p>
      <w:pPr>
        <w:ind w:left="420" w:right="60" w:firstLine="419"/>
        <w:spacing w:after="0" w:line="281" w:lineRule="auto"/>
        <w:tabs>
          <w:tab w:leader="none" w:pos="110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spacing w:after="0" w:line="56" w:lineRule="exact"/>
        <w:rPr>
          <w:rFonts w:ascii="Times New Roman" w:cs="Times New Roman" w:eastAsia="Times New Roman" w:hAnsi="Times New Roman"/>
          <w:sz w:val="17"/>
          <w:szCs w:val="17"/>
          <w:color w:val="auto"/>
        </w:rPr>
      </w:pPr>
    </w:p>
    <w:p>
      <w:pPr>
        <w:ind w:left="420" w:right="280" w:firstLine="419"/>
        <w:spacing w:after="0" w:line="261" w:lineRule="auto"/>
        <w:tabs>
          <w:tab w:leader="none" w:pos="11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Appendix A (other than the provisions set forth in Section 2.3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71" w:lineRule="exact"/>
        <w:rPr>
          <w:rFonts w:ascii="Times New Roman" w:cs="Times New Roman" w:eastAsia="Times New Roman" w:hAnsi="Times New Roman"/>
          <w:sz w:val="18"/>
          <w:szCs w:val="18"/>
          <w:color w:val="auto"/>
        </w:rPr>
      </w:pPr>
    </w:p>
    <w:p>
      <w:pPr>
        <w:ind w:left="-20" w:right="720" w:firstLine="987"/>
        <w:spacing w:after="0" w:line="282" w:lineRule="auto"/>
        <w:tabs>
          <w:tab w:leader="none" w:pos="12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Global Notes; Voluntary Exchange of Interests in Transfer Restricted Global Notes for Interests in Unrestricted Global Notes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20" w:right="320" w:firstLine="419"/>
        <w:spacing w:after="0" w:line="255" w:lineRule="auto"/>
        <w:tabs>
          <w:tab w:leader="none" w:pos="10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an owner of a beneficial interest in a Rule 144A Global Note to a transferee who takes delivery of such interest through another Transfer Restricted Note shall be made in accordance with the Applicable Procedures and the Restricted Notes Legend and only upon receipt by the Transfer Agent of a certification from the transferor in the form provided on the reverse side of the Form of Note attached as an exhibit to the First Supplemental Indenture for exchange or registration of transfers and, as applicable, delivery of such legal opinions, certifications and other information as may be requested pursuant thereto. In addition, in the case of a transfer of a beneficial interest in a Rule 144A Global Note, the transferee must furnish a certification or a signed letter in the form provided on the reverse side of the Form of Note attached as an exhibit to the First Supplemental Indenture to the Transfer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460" w:top="270" w:right="459" w:bottom="1440" w:gutter="0" w:footer="0" w:header="0"/>
        </w:sectPr>
      </w:pPr>
    </w:p>
    <w:bookmarkStart w:id="103" w:name="page104"/>
    <w:bookmarkEnd w:id="103"/>
    <w:p>
      <w:pPr>
        <w:ind w:right="20" w:firstLine="419"/>
        <w:spacing w:after="0" w:line="253" w:lineRule="auto"/>
        <w:tabs>
          <w:tab w:leader="none" w:pos="6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United States of America. Prior to the expiration of the Distribution Compliance Period, transfers by an owner of a beneficial interest in the Regulation S Global Note shall be made only in accordance with the Applicable Procedures and the Restricted Notes Legend and upon receipt by the Transfer Agent of a written certification from the transferor of the beneficial interest in the form provided on the reverse side of the Form of Note attached as an exhibit to the First Supplemental Indenture for exchange or registration of transfers and, in the case of a transfer to a transferee who takes delivery of such interest through a Rule 144A Global Note, the transferee must furnish a certification or a signed letter in the form provided on the reverse side of the Form of Note attached as an exhibit to the First Supplemental Indenture to the Transfer Agent. Such written certifications or letter shall no longer be required after the expiration of the Distribution Compliance Period. Upon the expiration of the Distribution Compliance Period, beneficial ownership interests in the Regulation S Global Note shall be transferable in accordance with applicable law and the other terms of the Indenture.</w:t>
      </w:r>
    </w:p>
    <w:p>
      <w:pPr>
        <w:spacing w:after="0" w:line="83"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7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Distribution Compliance Period, beneficial interests in the Regulation S Global Note may be exchanged for beneficial interests in an Unrestricted Global Note upon certification in the form provided on the reverse side of the Form of Note attached as an exhibit to the First Supplemental Indenture for an exchange from a Regulation S Global Note to an Unrestricted Global Note.</w:t>
      </w:r>
    </w:p>
    <w:p>
      <w:pPr>
        <w:spacing w:after="0" w:line="67" w:lineRule="exact"/>
        <w:rPr>
          <w:rFonts w:ascii="Times New Roman" w:cs="Times New Roman" w:eastAsia="Times New Roman" w:hAnsi="Times New Roman"/>
          <w:sz w:val="18"/>
          <w:szCs w:val="18"/>
          <w:color w:val="auto"/>
        </w:rPr>
      </w:pPr>
    </w:p>
    <w:p>
      <w:pPr>
        <w:ind w:right="280" w:firstLine="419"/>
        <w:spacing w:after="0" w:line="258" w:lineRule="auto"/>
        <w:tabs>
          <w:tab w:leader="none" w:pos="7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interests in a Transfer Restricted Note that is a Rule 144A Global Note may be exchanged for beneficial interests in an Unrestricted Global Note if the Holder certifies in writing to the Security Registrar that its request for such exchange is in respect of a transfer made in reliance on Rule 144 (such certification to be in the form set forth on the reverse side of the Form of Note attached as an exhibit to the First Supplemental Indenture) and/or upon delivery of such legal opinions, certifications and other information as the Company or the Transfer Agent may reasonably request.</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Unrestricted Global Note is outstanding at the time of a transfer contemplated by the preceding clauses (iii) and (iv), the Company shall issue and the Trustee shall authenticate, upon written order of the Company in the form of an Officer’s Certificate, a new Unrestricted Global Note in the appropriate principal amount.</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19"/>
        <w:spacing w:after="0" w:line="261"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2.2(d), this Section 2.2(e), Section 2.2(i) and Section 2.2(j)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Times New Roman" w:cs="Times New Roman" w:eastAsia="Times New Roman" w:hAnsi="Times New Roman"/>
          <w:sz w:val="18"/>
          <w:szCs w:val="18"/>
          <w:u w:val="single" w:color="auto"/>
          <w:color w:val="auto"/>
        </w:rPr>
        <w:t>Restricted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560"/>
          </w:cols>
          <w:pgMar w:left="880" w:top="270" w:right="459" w:bottom="1440" w:gutter="0" w:footer="0" w:header="0"/>
        </w:sectPr>
      </w:pPr>
    </w:p>
    <w:bookmarkStart w:id="104" w:name="page105"/>
    <w:bookmarkEnd w:id="10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w:t>
      </w:r>
    </w:p>
    <w:p>
      <w:pPr>
        <w:spacing w:after="0" w:line="1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9980"/>
          </w:cols>
          <w:pgMar w:left="1420" w:top="270"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Definitive Note shall bear the following additional legend (“</w:t>
      </w:r>
      <w:r>
        <w:rPr>
          <w:rFonts w:ascii="Times New Roman" w:cs="Times New Roman" w:eastAsia="Times New Roman" w:hAnsi="Times New Roman"/>
          <w:sz w:val="18"/>
          <w:szCs w:val="18"/>
          <w:u w:val="single" w:color="auto"/>
          <w:color w:val="auto"/>
        </w:rPr>
        <w:t>Definitive Notes Legend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SECURITY REGISTRAR SUCH CERTIFICATES AND OTHER INFORMATION AS SUCH SECURITY REGISTRAR MAY REASONABLY REQUIRE TO CONFIRM THAT THE TRANSFER COMPLIES WITH THE FOREGOING RESTRICTIONS.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Global Note shall bear the following additional legend (“</w:t>
      </w:r>
      <w:r>
        <w:rPr>
          <w:rFonts w:ascii="Times New Roman" w:cs="Times New Roman" w:eastAsia="Times New Roman" w:hAnsi="Times New Roman"/>
          <w:sz w:val="18"/>
          <w:szCs w:val="18"/>
          <w:u w:val="single" w:color="auto"/>
          <w:color w:val="auto"/>
        </w:rPr>
        <w:t>Global Notes Legend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84"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Regulation S Note shall bear the following additional legend (“</w:t>
      </w:r>
      <w:r>
        <w:rPr>
          <w:rFonts w:ascii="Times New Roman" w:cs="Times New Roman" w:eastAsia="Times New Roman" w:hAnsi="Times New Roman"/>
          <w:sz w:val="18"/>
          <w:szCs w:val="18"/>
          <w:u w:val="single" w:color="auto"/>
          <w:color w:val="auto"/>
        </w:rPr>
        <w:t>Regulation S Legend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900"/>
        <w:spacing w:after="0" w:line="26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106" w:name="page107"/>
    <w:bookmarkEnd w:id="106"/>
    <w:p>
      <w:pPr>
        <w:ind w:left="420" w:firstLine="419"/>
        <w:spacing w:after="0" w:line="256" w:lineRule="auto"/>
        <w:tabs>
          <w:tab w:leader="none" w:pos="11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any sale or transfer of a Transfer Restricted Note that is a Definitive Note, the Security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Security Registrar that its request for such exchange is in respect of a transfer made in reliance on Rule 144 (such certification to be in the form set forth on the reverse side of the Form of Note attached as an exhibit to the First Supplemental Indenture) and provides such legal opinions, certifications and other information as the Company or the Transfer Agent may reasonably request.</w:t>
      </w:r>
    </w:p>
    <w:p>
      <w:pPr>
        <w:spacing w:after="0" w:line="79" w:lineRule="exact"/>
        <w:rPr>
          <w:rFonts w:ascii="Times New Roman" w:cs="Times New Roman" w:eastAsia="Times New Roman" w:hAnsi="Times New Roman"/>
          <w:sz w:val="18"/>
          <w:szCs w:val="18"/>
          <w:color w:val="auto"/>
        </w:rPr>
      </w:pPr>
    </w:p>
    <w:p>
      <w:pPr>
        <w:ind w:left="420" w:right="80" w:firstLine="419"/>
        <w:spacing w:after="0" w:line="261" w:lineRule="auto"/>
        <w:tabs>
          <w:tab w:leader="none" w:pos="11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transfer of any Initial Notes or Additional Notes during the period of the effectiveness of a Shelf Registration Statement (as defined in the Registration Rights Agreement) with respect to such Initial Notes or Additional Notes, as the case may be, all requirements pertaining to the Restricted Notes Legend on such Initial Notes or Additional Notes shall cease to apply and the requirements that any such Initial Notes or Additional Notes be issued in global form shall continue to apply.</w:t>
      </w:r>
    </w:p>
    <w:p>
      <w:pPr>
        <w:spacing w:after="0" w:line="71" w:lineRule="exact"/>
        <w:rPr>
          <w:rFonts w:ascii="Times New Roman" w:cs="Times New Roman" w:eastAsia="Times New Roman" w:hAnsi="Times New Roman"/>
          <w:sz w:val="18"/>
          <w:szCs w:val="18"/>
          <w:color w:val="auto"/>
        </w:rPr>
      </w:pPr>
    </w:p>
    <w:p>
      <w:pPr>
        <w:ind w:left="420" w:right="80" w:firstLine="419"/>
        <w:spacing w:after="0" w:line="258" w:lineRule="auto"/>
        <w:tabs>
          <w:tab w:leader="none" w:pos="11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an Exchange Offer with respect to the Initial Notes or Additional Notes pursuant to which Holders of such Initial Notes or Additional Notes are offered Exchange Notes in exchange for their Initial Notes or Additional Notes, all requirements pertaining to Initial Notes or Additional Notes that Initial Notes or Additional Notes be issued in global form shall continue to apply, and Exchange Notes in global form without the Restricted Notes Legend shall be available to Holders that exchange such Initial Notes or Additional Notes in such Exchange Offer.</w:t>
      </w:r>
    </w:p>
    <w:p>
      <w:pPr>
        <w:spacing w:after="0" w:line="75"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sold in a registered offering shall not be required to bear the Restricted Notes Legend.</w:t>
      </w:r>
    </w:p>
    <w:p>
      <w:pPr>
        <w:spacing w:after="0" w:line="117"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1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or Adjustment of Global Note</w:t>
      </w:r>
      <w:r>
        <w:rPr>
          <w:rFonts w:ascii="Times New Roman" w:cs="Times New Roman" w:eastAsia="Times New Roman" w:hAnsi="Times New Roman"/>
          <w:sz w:val="18"/>
          <w:szCs w:val="18"/>
          <w:color w:val="auto"/>
        </w:rPr>
        <w:t>. At such time as all beneficial interests in a Global Note have either been exchanged for Definitive Notes, transferred in exchange for an interest in another Global Note, redeemed, repurchased or canceled, such Global Note shall be returned by the Depositary to the Paying Agent for cancellation or retained and canceled by the Paying Agent.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Custodian for such Global Note) with respect to such Global Note, by the Custodian, to reflect such reduction.</w:t>
      </w:r>
    </w:p>
    <w:p>
      <w:pPr>
        <w:spacing w:after="0" w:line="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with Respect to Transfers and Exchanges of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right="260" w:firstLine="419"/>
        <w:spacing w:after="0" w:line="282" w:lineRule="auto"/>
        <w:tabs>
          <w:tab w:leader="none" w:pos="10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shall execute and the Trustee shall authenticate, Definitive Notes and Global Notes at the Security Registrar’s request.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80"/>
          </w:cols>
          <w:pgMar w:left="460" w:top="270" w:right="459" w:bottom="1440" w:gutter="0" w:footer="0" w:header="0"/>
        </w:sectPr>
      </w:pPr>
    </w:p>
    <w:bookmarkStart w:id="107" w:name="page108"/>
    <w:bookmarkEnd w:id="107"/>
    <w:p>
      <w:pPr>
        <w:ind w:right="20" w:firstLine="419"/>
        <w:spacing w:after="0" w:line="289" w:lineRule="auto"/>
        <w:tabs>
          <w:tab w:leader="none" w:pos="68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3.07, 3.09, 3.11, 11.02 and 11.03 of the Base Indenture).</w:t>
      </w:r>
    </w:p>
    <w:p>
      <w:pPr>
        <w:spacing w:after="0" w:line="49" w:lineRule="exact"/>
        <w:rPr>
          <w:rFonts w:ascii="Times New Roman" w:cs="Times New Roman" w:eastAsia="Times New Roman" w:hAnsi="Times New Roman"/>
          <w:sz w:val="17"/>
          <w:szCs w:val="17"/>
          <w:color w:val="auto"/>
        </w:rPr>
      </w:pPr>
    </w:p>
    <w:p>
      <w:pPr>
        <w:ind w:right="120" w:firstLine="419"/>
        <w:spacing w:after="0" w:line="261" w:lineRule="auto"/>
        <w:tabs>
          <w:tab w:leader="none" w:pos="7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due presentation for registration of transfer of any Note, the Company, the Trustee and the Agents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Company, the Trusteeand the Agents shall be affected by notice to the contrary.</w:t>
      </w:r>
    </w:p>
    <w:p>
      <w:pPr>
        <w:spacing w:after="0" w:line="71" w:lineRule="exact"/>
        <w:rPr>
          <w:rFonts w:ascii="Times New Roman" w:cs="Times New Roman" w:eastAsia="Times New Roman" w:hAnsi="Times New Roman"/>
          <w:sz w:val="18"/>
          <w:szCs w:val="18"/>
          <w:color w:val="auto"/>
        </w:rPr>
      </w:pPr>
    </w:p>
    <w:p>
      <w:pPr>
        <w:ind w:right="100" w:firstLine="419"/>
        <w:spacing w:after="0" w:line="282" w:lineRule="auto"/>
        <w:tabs>
          <w:tab w:leader="none" w:pos="7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effect any transfer or exchange of an interest in any Transfer Restricted Note for an interest in a Note that does not bear the Restricted Notes Legend and has not been registered under the Securities Act, if the Security Registrar so requests or if the Applicable Procedures so require, an Opinion of Counsel, in form reasonably acceptable to the Security Registrar to the effect that no registration under the Securities Act is required in respect of such exchange or transfer or the re-sale of such interest by the beneficial holder thereof, shall be required to be delivered to the Security Registrar and the Trustee.</w:t>
      </w:r>
    </w:p>
    <w:p>
      <w:pPr>
        <w:spacing w:after="0" w:line="7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 and the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4" w:lineRule="auto"/>
        <w:tabs>
          <w:tab w:leader="none" w:pos="63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Agents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and the Agents may conclusively rely and shall be fully protected in conclusively relying upon information furnished by the Depositary with respect to its members, participants and any beneficial owners.</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580"/>
          </w:cols>
          <w:pgMar w:left="880" w:top="270" w:right="439" w:bottom="1440" w:gutter="0" w:footer="0" w:header="0"/>
        </w:sectPr>
      </w:pPr>
    </w:p>
    <w:bookmarkStart w:id="108" w:name="page109"/>
    <w:bookmarkEnd w:id="108"/>
    <w:p>
      <w:pPr>
        <w:ind w:left="440" w:right="120" w:firstLine="419"/>
        <w:spacing w:after="0" w:line="258" w:lineRule="auto"/>
        <w:tabs>
          <w:tab w:leader="none" w:pos="11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and the Agents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75"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Upon the occurrence of the Exchange Offer in accordance with the Registration Rights Agreement, the Company shall issue and, upon receipt of a Company Order in accordance with Section 3.02 and 3.03 of the Base Indenture, the Trustee shall authenticate (i) one or more Global Notes without the Restricted Notes Legend in an aggregate principal amount equal to the principal amounts of the beneficial interests in the Global Notes tendered for acceptance by Persons that provide in the applicable letters of transmittal such certifications as are required by the Registration Rights Agreement and applicable law, and accepted for exchange in the Exchange Offer and (ii) Definitive Notes without the Restricted Notes Legend in an aggregate principal amount equal to the principal amount of the Definitive Notes tendered for acceptance by Persons that provide in the applicable letters of transmittal such certification as are required by the Registration Rights Agreement and applicable law, and accepted for exchange in the Exchange Offer. Concurrently with the issuance of such Notes, the Security Registrar shall cause the aggregate principal amount of the applicable Global Notes with the Restricted Notes Legend to be reduced accordingly, and the Company shall execute and the Trustee shall authenticate and mail to the Persons designated by the Holders of the Definitive Notes so accepted Definitive Notes without the Restricted Notes Legend in the applicable principal amount. Any Notes that remain outstanding after the consummation of the Exchange Offer, and Exchange Notes issued in connection with the Exchange Offer, shall be treated as a single class of securities under the Indenture.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Note deposited with the Depositary or with the Trustee as Custodian pursuant to Section 2.1 or issued in connection with an Exchange Offer may be transferred to the beneficial owners thereof in the form of Definitive Notes in an aggregate principal amount equal to the principal amount of such Global Note, in exchange for such Global Note, only if such transfer complies with Section 2.2 of this Appendix A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or (ii) an Event of Default has occurred and is continuing and the Security Registrar has received a request from the Depository. In addition, any affiliate of the Company or any Guarantor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70" w:right="459" w:bottom="1440" w:gutter="0" w:footer="0" w:header="0"/>
        </w:sectPr>
      </w:pPr>
    </w:p>
    <w:bookmarkStart w:id="109" w:name="page110"/>
    <w:bookmarkEnd w:id="109"/>
    <w:p>
      <w:pPr>
        <w:ind w:firstLine="987"/>
        <w:spacing w:after="0" w:line="255"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Global Note that is transferable to the beneficial owners thereof pursuant to this Section 2.3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2.3 shall be executed, authenticated and delivered only in denominations of $2,000 and integral multiples of $1,000 in excess thereof and registered in such names as the Depositary shall direct. Any Definitive Note delivered in exchange for an interest in a Global Note that is a Transfer Restricted Note shall, except as otherwise provided by Section 2.2(e) of this Appendix A, bear the Restricted Notes Legend.</w:t>
      </w:r>
    </w:p>
    <w:p>
      <w:pPr>
        <w:spacing w:after="0" w:line="80"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occurrence of any of the events specified in Section 2.3(a) of this Appendix A, the Company shall promptly make available to the Trustee a reasonable supply of Definitive Notes in fully registered form without interest coupons.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0"/>
          </w:cols>
          <w:pgMar w:left="440" w:top="270" w:right="459" w:bottom="1440" w:gutter="0" w:footer="0" w:header="0"/>
        </w:sectPr>
      </w:pPr>
    </w:p>
    <w:bookmarkStart w:id="110" w:name="page111"/>
    <w:bookmarkEnd w:id="11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2028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11" w:name="page112"/>
    <w:bookmarkEnd w:id="1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3.900% Senior Notes due 2028</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AA3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AA8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[US43849RAA32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USU43781AA89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580" w:space="720"/>
            <w:col w:w="272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2028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114" w:name="page115"/>
    <w:bookmarkEnd w:id="1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3.900% Senior Notes due 2028</w:t>
      </w:r>
    </w:p>
    <w:p>
      <w:pPr>
        <w:spacing w:after="0" w:line="207" w:lineRule="exact"/>
        <w:rPr>
          <w:sz w:val="20"/>
          <w:szCs w:val="20"/>
          <w:color w:val="auto"/>
        </w:rPr>
      </w:pPr>
    </w:p>
    <w:p>
      <w:pPr>
        <w:ind w:left="620" w:hanging="184"/>
        <w:spacing w:after="0"/>
        <w:tabs>
          <w:tab w:leader="none" w:pos="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3.900%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3.900% Senior Notes due 2028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116" w:name="page117"/>
    <w:bookmarkEnd w:id="116"/>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Special Mandatory Redemption.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and special mandatory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117" w:name="page118"/>
    <w:bookmarkEnd w:id="11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118" w:name="page119"/>
    <w:bookmarkEnd w:id="11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308610</wp:posOffset>
            </wp:positionV>
            <wp:extent cx="32829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0820"/>
          </w:cols>
          <w:pgMar w:left="440" w:top="266" w:right="639" w:bottom="1440" w:gutter="0" w:footer="0" w:header="0"/>
        </w:sectPr>
      </w:pPr>
    </w:p>
    <w:bookmarkStart w:id="119" w:name="page120"/>
    <w:bookmarkEnd w:id="119"/>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2286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-185420</wp:posOffset>
            </wp:positionV>
            <wp:extent cx="4572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-185420</wp:posOffset>
            </wp:positionV>
            <wp:extent cx="4572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131" w:lineRule="exact"/>
        <w:rPr>
          <w:sz w:val="20"/>
          <w:szCs w:val="20"/>
          <w:color w:val="auto"/>
        </w:rPr>
      </w:pPr>
    </w:p>
    <w:p>
      <w:pPr>
        <w:ind w:left="424" w:hanging="424"/>
        <w:spacing w:after="0" w:line="266" w:lineRule="auto"/>
        <w:tabs>
          <w:tab w:leader="none" w:pos="424" w:val="left"/>
        </w:tabs>
        <w:numPr>
          <w:ilvl w:val="0"/>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81" w:lineRule="exact"/>
        <w:rPr>
          <w:rFonts w:ascii="MS PGothic" w:cs="MS PGothic" w:eastAsia="MS PGothic" w:hAnsi="MS PGothic"/>
          <w:sz w:val="18"/>
          <w:szCs w:val="18"/>
          <w:color w:val="auto"/>
        </w:rPr>
      </w:pPr>
    </w:p>
    <w:p>
      <w:pPr>
        <w:ind w:left="424" w:hanging="424"/>
        <w:spacing w:after="0"/>
        <w:tabs>
          <w:tab w:leader="none" w:pos="424" w:val="left"/>
        </w:tabs>
        <w:numPr>
          <w:ilvl w:val="0"/>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90" w:lineRule="exact"/>
        <w:rPr>
          <w:sz w:val="20"/>
          <w:szCs w:val="20"/>
          <w:color w:val="auto"/>
        </w:rPr>
      </w:pPr>
    </w:p>
    <w:p>
      <w:pPr>
        <w:ind w:left="524" w:hanging="524"/>
        <w:spacing w:after="0" w:line="207" w:lineRule="exact"/>
        <w:tabs>
          <w:tab w:leader="none" w:pos="52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the Company or subsidiary thereof; or</w:t>
      </w:r>
    </w:p>
    <w:p>
      <w:pPr>
        <w:spacing w:after="0" w:line="117" w:lineRule="exact"/>
        <w:rPr>
          <w:rFonts w:ascii="Times New Roman" w:cs="Times New Roman" w:eastAsia="Times New Roman" w:hAnsi="Times New Roman"/>
          <w:sz w:val="18"/>
          <w:szCs w:val="18"/>
          <w:color w:val="auto"/>
        </w:rPr>
      </w:pPr>
    </w:p>
    <w:p>
      <w:pPr>
        <w:ind w:left="524" w:hanging="524"/>
        <w:spacing w:after="0" w:line="207" w:lineRule="exact"/>
        <w:tabs>
          <w:tab w:leader="none" w:pos="52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the Security Registrar for registration in the name of the Holder, without transfer; or</w:t>
      </w:r>
    </w:p>
    <w:p>
      <w:pPr>
        <w:spacing w:after="0" w:line="117" w:lineRule="exact"/>
        <w:rPr>
          <w:rFonts w:ascii="Times New Roman" w:cs="Times New Roman" w:eastAsia="Times New Roman" w:hAnsi="Times New Roman"/>
          <w:sz w:val="18"/>
          <w:szCs w:val="18"/>
          <w:color w:val="auto"/>
        </w:rPr>
      </w:pPr>
    </w:p>
    <w:p>
      <w:pPr>
        <w:ind w:left="524" w:hanging="524"/>
        <w:spacing w:after="0" w:line="207" w:lineRule="exact"/>
        <w:tabs>
          <w:tab w:leader="none" w:pos="52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804" w:right="20" w:hanging="804"/>
        <w:spacing w:after="0" w:line="236" w:lineRule="exact"/>
        <w:tabs>
          <w:tab w:leader="none" w:pos="53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a Person that the undersigned reasonably believes is a “qualified institutional buyer” (as defined in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that purchases for its own account or for the account of a qualified institutional buyer and to whom notice is given that such transfer is being made in reliance on Rule 144A, in each case pursuant to and in compliance with Rule 144A; or</w:t>
      </w:r>
    </w:p>
    <w:p>
      <w:pPr>
        <w:spacing w:after="0" w:line="49" w:lineRule="exact"/>
        <w:rPr>
          <w:rFonts w:ascii="Times New Roman" w:cs="Times New Roman" w:eastAsia="Times New Roman" w:hAnsi="Times New Roman"/>
          <w:sz w:val="18"/>
          <w:szCs w:val="18"/>
          <w:color w:val="auto"/>
        </w:rPr>
      </w:pPr>
    </w:p>
    <w:p>
      <w:pPr>
        <w:ind w:left="804" w:right="120" w:hanging="804"/>
        <w:spacing w:after="0" w:line="236" w:lineRule="exact"/>
        <w:tabs>
          <w:tab w:leader="none" w:pos="53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offers and sales to non-U.S. persons that occur outside the United States of America within the meaning of Regulation S under the Securities Act (and if the transfer is being made prior to the expiration of the Distribution Compliance Period, the Notes shall be held immediately thereafter through Euroclear or Clearstream); or</w:t>
      </w:r>
    </w:p>
    <w:p>
      <w:pPr>
        <w:spacing w:after="0" w:line="49" w:lineRule="exact"/>
        <w:rPr>
          <w:rFonts w:ascii="Times New Roman" w:cs="Times New Roman" w:eastAsia="Times New Roman" w:hAnsi="Times New Roman"/>
          <w:sz w:val="18"/>
          <w:szCs w:val="18"/>
          <w:color w:val="auto"/>
        </w:rPr>
      </w:pPr>
    </w:p>
    <w:p>
      <w:pPr>
        <w:ind w:left="524" w:hanging="524"/>
        <w:spacing w:after="0" w:line="207" w:lineRule="exact"/>
        <w:tabs>
          <w:tab w:leader="none" w:pos="52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Rule 144 under the Securities Act; or</w:t>
      </w:r>
    </w:p>
    <w:p>
      <w:pPr>
        <w:spacing w:after="0" w:line="117" w:lineRule="exact"/>
        <w:rPr>
          <w:rFonts w:ascii="Times New Roman" w:cs="Times New Roman" w:eastAsia="Times New Roman" w:hAnsi="Times New Roman"/>
          <w:sz w:val="18"/>
          <w:szCs w:val="18"/>
          <w:color w:val="auto"/>
        </w:rPr>
      </w:pPr>
    </w:p>
    <w:p>
      <w:pPr>
        <w:ind w:left="524" w:hanging="524"/>
        <w:spacing w:after="0" w:line="207" w:lineRule="exact"/>
        <w:tabs>
          <w:tab w:leader="none" w:pos="524" w:val="left"/>
        </w:tabs>
        <w:numPr>
          <w:ilvl w:val="0"/>
          <w:numId w:val="1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another available exemption from registration under the Securities Act.</w:t>
      </w:r>
    </w:p>
    <w:p>
      <w:pPr>
        <w:sectPr>
          <w:pgSz w:w="11900" w:h="16838" w:orient="portrait"/>
          <w:cols w:equalWidth="0" w:num="1">
            <w:col w:w="10884"/>
          </w:cols>
          <w:pgMar w:left="436" w:top="266" w:right="579" w:bottom="1440" w:gutter="0" w:footer="0" w:header="0"/>
        </w:sectPr>
      </w:pPr>
    </w:p>
    <w:bookmarkStart w:id="120" w:name="page121"/>
    <w:bookmarkEnd w:id="120"/>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40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32"/>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20" w:type="dxa"/>
            <w:vAlign w:val="bottom"/>
            <w:vMerge w:val="continue"/>
          </w:tcPr>
          <w:p>
            <w:pPr>
              <w:spacing w:after="0"/>
              <w:rPr>
                <w:sz w:val="17"/>
                <w:szCs w:val="17"/>
                <w:color w:val="auto"/>
              </w:rPr>
            </w:pPr>
          </w:p>
        </w:tc>
        <w:tc>
          <w:tcPr>
            <w:tcW w:w="4440" w:type="dxa"/>
            <w:vAlign w:val="bottom"/>
          </w:tcPr>
          <w:p>
            <w:pPr>
              <w:spacing w:after="0"/>
              <w:rPr>
                <w:sz w:val="17"/>
                <w:szCs w:val="17"/>
                <w:color w:val="auto"/>
              </w:rPr>
            </w:pPr>
          </w:p>
        </w:tc>
        <w:tc>
          <w:tcPr>
            <w:tcW w:w="49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Signature of Signature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94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NOTICE: To be executed by an executive officer</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9"/>
        </w:trPr>
        <w:tc>
          <w:tcPr>
            <w:tcW w:w="2920" w:type="dxa"/>
            <w:vAlign w:val="bottom"/>
            <w:gridSpan w:val="2"/>
            <w:vMerge w:val="continue"/>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2">
            <w:col w:w="5680" w:space="100"/>
            <w:col w:w="5240"/>
          </w:cols>
          <w:pgMar w:left="440" w:top="266" w:right="439" w:bottom="1440" w:gutter="0" w:footer="0" w:header="0"/>
          <w:type w:val="continuous"/>
        </w:sectPr>
      </w:pPr>
    </w:p>
    <w:bookmarkStart w:id="122" w:name="page123"/>
    <w:bookmarkEnd w:id="122"/>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2029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23" w:name="page124"/>
    <w:bookmarkEnd w:id="12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4.000% Senior Notes due 2029</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AC9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AC4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[US43849RAC97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USU43781AC46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640" w:space="720"/>
            <w:col w:w="266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2029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HONEYWELL AEROSPACE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4.000% Senior Notes due 2029</w:t>
      </w:r>
    </w:p>
    <w:p>
      <w:pPr>
        <w:spacing w:after="0" w:line="205" w:lineRule="exact"/>
        <w:rPr>
          <w:sz w:val="20"/>
          <w:szCs w:val="20"/>
          <w:color w:val="auto"/>
        </w:rPr>
      </w:pPr>
    </w:p>
    <w:p>
      <w:pPr>
        <w:ind w:left="620" w:hanging="184"/>
        <w:spacing w:after="0"/>
        <w:tabs>
          <w:tab w:leader="none" w:pos="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4.000%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4.000%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128" w:name="page129"/>
    <w:bookmarkEnd w:id="128"/>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Special 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and special mandatory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129" w:name="page130"/>
    <w:bookmarkEnd w:id="12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130" w:name="page131"/>
    <w:bookmarkEnd w:id="13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308610</wp:posOffset>
            </wp:positionV>
            <wp:extent cx="32143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0820"/>
          </w:cols>
          <w:pgMar w:left="440" w:top="266" w:right="639" w:bottom="1440" w:gutter="0" w:footer="0" w:header="0"/>
        </w:sectPr>
      </w:pPr>
    </w:p>
    <w:bookmarkStart w:id="131" w:name="page132"/>
    <w:bookmarkEnd w:id="13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2286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-185420</wp:posOffset>
            </wp:positionV>
            <wp:extent cx="4572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-185420</wp:posOffset>
            </wp:positionV>
            <wp:extent cx="4572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252" w:lineRule="exact"/>
        <w:rPr>
          <w:sz w:val="20"/>
          <w:szCs w:val="20"/>
          <w:color w:val="auto"/>
        </w:rPr>
      </w:pPr>
    </w:p>
    <w:p>
      <w:pPr>
        <w:ind w:left="544" w:hanging="544"/>
        <w:spacing w:after="0" w:line="266" w:lineRule="auto"/>
        <w:tabs>
          <w:tab w:leader="none" w:pos="544" w:val="left"/>
        </w:tabs>
        <w:numPr>
          <w:ilvl w:val="0"/>
          <w:numId w:val="1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202" w:lineRule="exact"/>
        <w:rPr>
          <w:rFonts w:ascii="MS PGothic" w:cs="MS PGothic" w:eastAsia="MS PGothic" w:hAnsi="MS PGothic"/>
          <w:sz w:val="18"/>
          <w:szCs w:val="18"/>
          <w:color w:val="auto"/>
        </w:rPr>
      </w:pPr>
    </w:p>
    <w:p>
      <w:pPr>
        <w:ind w:left="544" w:hanging="544"/>
        <w:spacing w:after="0"/>
        <w:tabs>
          <w:tab w:leader="none" w:pos="544" w:val="left"/>
        </w:tabs>
        <w:numPr>
          <w:ilvl w:val="0"/>
          <w:numId w:val="1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the Company or subsidiary thereof; or</w:t>
            </w:r>
          </w:p>
        </w:tc>
        <w:tc>
          <w:tcPr>
            <w:tcW w:w="0" w:type="dxa"/>
            <w:vAlign w:val="bottom"/>
          </w:tcPr>
          <w:p>
            <w:pPr>
              <w:spacing w:after="0"/>
              <w:rPr>
                <w:sz w:val="1"/>
                <w:szCs w:val="1"/>
                <w:color w:val="auto"/>
              </w:rPr>
            </w:pP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the Security Registrar for registration in the name of the Holder, without transfer; or</w:t>
            </w:r>
          </w:p>
        </w:tc>
        <w:tc>
          <w:tcPr>
            <w:tcW w:w="0" w:type="dxa"/>
            <w:vAlign w:val="bottom"/>
          </w:tcPr>
          <w:p>
            <w:pPr>
              <w:spacing w:after="0"/>
              <w:rPr>
                <w:sz w:val="1"/>
                <w:szCs w:val="1"/>
                <w:color w:val="auto"/>
              </w:rPr>
            </w:pP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pursuant to an effective registration statement under the Securities Act of 1933, as amended (the “Securities Act”); or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vMerge w:val="continue"/>
          </w:tcPr>
          <w:p>
            <w:pPr>
              <w:spacing w:after="0"/>
              <w:rPr>
                <w:sz w:val="24"/>
                <w:szCs w:val="24"/>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(“Rule 144A”)) that purchases for its own account or for the account of a qualified institutional buyer and to whom notice is given that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such transfer is being made in reliance on Rule 144A, in each case pursuant to and in compliance with Rule 144A; or</w:t>
            </w:r>
          </w:p>
        </w:tc>
        <w:tc>
          <w:tcPr>
            <w:tcW w:w="0" w:type="dxa"/>
            <w:vAlign w:val="bottom"/>
          </w:tcPr>
          <w:p>
            <w:pPr>
              <w:spacing w:after="0"/>
              <w:rPr>
                <w:sz w:val="1"/>
                <w:szCs w:val="1"/>
                <w:color w:val="auto"/>
              </w:rPr>
            </w:pPr>
          </w:p>
        </w:tc>
      </w:tr>
      <w:tr>
        <w:trPr>
          <w:trHeight w:val="4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(5)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pursuant to offers and sales to non-U.S. persons that occur outside the United States of America within the meaning of Regulation S under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Securities Act (and if the transfer is being made prior to the expiration of the Distribution Compliance Period, the Notes shall be held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immediately thereafter through Euroclear or Clearstream); or</w:t>
            </w:r>
          </w:p>
        </w:tc>
        <w:tc>
          <w:tcPr>
            <w:tcW w:w="0" w:type="dxa"/>
            <w:vAlign w:val="bottom"/>
          </w:tcPr>
          <w:p>
            <w:pPr>
              <w:spacing w:after="0"/>
              <w:rPr>
                <w:sz w:val="1"/>
                <w:szCs w:val="1"/>
                <w:color w:val="auto"/>
              </w:rPr>
            </w:pPr>
          </w:p>
        </w:tc>
      </w:tr>
      <w:tr>
        <w:trPr>
          <w:trHeight w:val="48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(6)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pursuant to Rule 144 under the Securities Act; or</w:t>
            </w:r>
          </w:p>
        </w:tc>
        <w:tc>
          <w:tcPr>
            <w:tcW w:w="0" w:type="dxa"/>
            <w:vAlign w:val="bottom"/>
          </w:tcPr>
          <w:p>
            <w:pPr>
              <w:spacing w:after="0"/>
              <w:rPr>
                <w:sz w:val="1"/>
                <w:szCs w:val="1"/>
                <w:color w:val="auto"/>
              </w:rPr>
            </w:pP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pursuant to another available exemption from registration under the Securities Act.</w:t>
            </w:r>
          </w:p>
        </w:tc>
        <w:tc>
          <w:tcPr>
            <w:tcW w:w="0" w:type="dxa"/>
            <w:vAlign w:val="bottom"/>
          </w:tcPr>
          <w:p>
            <w:pPr>
              <w:spacing w:after="0"/>
              <w:rPr>
                <w:sz w:val="1"/>
                <w:szCs w:val="1"/>
                <w:color w:val="auto"/>
              </w:rPr>
            </w:pPr>
          </w:p>
        </w:tc>
      </w:tr>
    </w:tbl>
    <w:p>
      <w:pPr>
        <w:sectPr>
          <w:pgSz w:w="11900" w:h="16838" w:orient="portrait"/>
          <w:cols w:equalWidth="0" w:num="1">
            <w:col w:w="10984"/>
          </w:cols>
          <w:pgMar w:left="436" w:top="266" w:right="479" w:bottom="1440" w:gutter="0" w:footer="0" w:header="0"/>
        </w:sectPr>
      </w:pPr>
    </w:p>
    <w:bookmarkStart w:id="132" w:name="page133"/>
    <w:bookmarkEnd w:id="132"/>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Signature of Signature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NOTICE: To be executed by</w:t>
      </w:r>
    </w:p>
    <w:p>
      <w:pPr>
        <w:spacing w:after="0" w:line="2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an executive officer</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0984"/>
          </w:cols>
          <w:pgMar w:left="436" w:top="270" w:right="47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4" w:name="page135"/>
    <w:bookmarkEnd w:id="134"/>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2029 FLOATING RATE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35" w:name="page136"/>
    <w:bookmarkEnd w:id="13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36" w:name="page137"/>
    <w:bookmarkEnd w:id="136"/>
    <w:p>
      <w:pPr>
        <w:ind w:left="4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AEROSPACE INC.</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Floating Rate Senior Notes due 2029</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AD7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AD2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[US43849RAD70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USU43781AD29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580" w:space="720"/>
            <w:col w:w="272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2029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Rate: Variable rate from March 16, 2026.</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Interest Payment Dates: March 16, June 16, September 16 and December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June 16, 2026.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June 2, September 2 and December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138" w:name="page139"/>
    <w:bookmarkEnd w:id="1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Floating Rate Senior Notes due 2029</w:t>
      </w:r>
    </w:p>
    <w:p>
      <w:pPr>
        <w:spacing w:after="0" w:line="207" w:lineRule="exact"/>
        <w:rPr>
          <w:sz w:val="20"/>
          <w:szCs w:val="20"/>
          <w:color w:val="auto"/>
        </w:rPr>
      </w:pPr>
    </w:p>
    <w:p>
      <w:pPr>
        <w:ind w:left="620" w:hanging="184"/>
        <w:spacing w:after="0"/>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quarterly in arrears on March 16, June 16, September 16 and December 16 of each year, commencing June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The interest rate for this Note for a particular Interest Period (as defined below) will be a per annum rate equal to Compounded SOFR (as defined below) as determined on the applicable Interest Determination Date (as defined below) by the calculation agent appointed by the Company, which initially will be the Trustee (the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plus 0.630%. The interest rate on this Note for each Interest Period shall be reset on the first day of each Interest Period other than the initial Interest Period. An interest period is the period commencing on an Interest Payment Date (or, in the case of the initial Interest Period, commencing on March 16, 2026) and ending on the day preceding the next Interest Payment Date (each an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The initial Interest Period is March 16, 2026 through June 15, 2026. The interest determination date for an Interest Period will be the second U.S. Government Securities Business Day preceding the first day of such Interest Period (the “</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Interest on this Note will be calculated on the basis of the actual number of days in each quarterly interest period and a 360-day year.</w:t>
      </w:r>
    </w:p>
    <w:p>
      <w:pPr>
        <w:spacing w:after="0" w:line="19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Subject to the Benchmark Transition Provisions set forth under Section 2.04(c)(iii) of the Indenture (as defined herein) (the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Transition Provisions</w:t>
      </w:r>
      <w:r>
        <w:rPr>
          <w:rFonts w:ascii="Times New Roman" w:cs="Times New Roman" w:eastAsia="Times New Roman" w:hAnsi="Times New Roman"/>
          <w:sz w:val="18"/>
          <w:szCs w:val="18"/>
          <w:color w:val="auto"/>
        </w:rPr>
        <w:t>”), “Compounded SOFR” will be determined by the Calculation Agent in accordance with the following formula (and the resulting percentage will be rounded, if necessary, to the nearest one hundred-thousandth of a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140335</wp:posOffset>
            </wp:positionV>
            <wp:extent cx="1894205" cy="514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942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IndexStart</w:t>
      </w:r>
      <w:r>
        <w:rPr>
          <w:rFonts w:ascii="Times New Roman" w:cs="Times New Roman" w:eastAsia="Times New Roman" w:hAnsi="Times New Roman"/>
          <w:sz w:val="18"/>
          <w:szCs w:val="18"/>
          <w:color w:val="auto"/>
        </w:rPr>
        <w:t>” = For periods other than the initial Interest Period, the SOFR Index value on the preceding Interest Determination Date, and, for the initial Interest Period, the SOFR Index value on March 12, 2026; and</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IndexEnd</w:t>
      </w:r>
      <w:r>
        <w:rPr>
          <w:rFonts w:ascii="Times New Roman" w:cs="Times New Roman" w:eastAsia="Times New Roman" w:hAnsi="Times New Roman"/>
          <w:sz w:val="18"/>
          <w:szCs w:val="18"/>
          <w:color w:val="auto"/>
        </w:rPr>
        <w:t>” = The SOFR Index value on the Interest Determination Date relating to the applicable Interest Payment Date (or in the final Interest Period, relating to the applicable maturity date);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w:t>
      </w:r>
      <w:r>
        <w:rPr>
          <w:rFonts w:ascii="Times New Roman" w:cs="Times New Roman" w:eastAsia="Times New Roman" w:hAnsi="Times New Roman"/>
          <w:sz w:val="18"/>
          <w:szCs w:val="18"/>
          <w:color w:val="auto"/>
        </w:rPr>
        <w:t>” is the number of calendar days in the relevant Observation Period.</w:t>
      </w:r>
    </w:p>
    <w:p>
      <w:pPr>
        <w:sectPr>
          <w:pgSz w:w="11900" w:h="16838" w:orient="portrait"/>
          <w:cols w:equalWidth="0" w:num="1">
            <w:col w:w="11020"/>
          </w:cols>
          <w:pgMar w:left="440" w:top="270" w:right="439" w:bottom="1440" w:gutter="0" w:footer="0" w:header="0"/>
        </w:sectPr>
      </w:pPr>
    </w:p>
    <w:bookmarkStart w:id="140" w:name="page141"/>
    <w:bookmarkEnd w:id="1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determining Compounded SOFR:</w:t>
      </w:r>
    </w:p>
    <w:p>
      <w:pPr>
        <w:spacing w:after="0" w:line="11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means the date two U.S. Government Securities Business Days before each Interest Payment Date (or in the final Interest Period, before the applicable maturity date).</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Observation Period</w:t>
      </w:r>
      <w:r>
        <w:rPr>
          <w:rFonts w:ascii="Times New Roman" w:cs="Times New Roman" w:eastAsia="Times New Roman" w:hAnsi="Times New Roman"/>
          <w:sz w:val="18"/>
          <w:szCs w:val="18"/>
          <w:color w:val="auto"/>
        </w:rPr>
        <w:t>” means, in respect of each Interest Period, the period from, and including, the date two U.S. Government Securities Business Days preceding the first date in such Interest Period to, but excluding, the date two U.S. Government Securities Business Days preceding the Interest Payment Date for such Interest Period (or in the final Interest Period, preceding the applicable maturity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w:t>
      </w:r>
      <w:r>
        <w:rPr>
          <w:rFonts w:ascii="Times New Roman" w:cs="Times New Roman" w:eastAsia="Times New Roman" w:hAnsi="Times New Roman"/>
          <w:sz w:val="18"/>
          <w:szCs w:val="18"/>
          <w:color w:val="auto"/>
        </w:rPr>
        <w:t>” means, with respect to any U.S. Government Securities Business Day:</w:t>
      </w:r>
    </w:p>
    <w:p>
      <w:pPr>
        <w:spacing w:after="0" w:line="225" w:lineRule="exact"/>
        <w:rPr>
          <w:sz w:val="20"/>
          <w:szCs w:val="20"/>
          <w:color w:val="auto"/>
        </w:rPr>
      </w:pPr>
    </w:p>
    <w:p>
      <w:pPr>
        <w:ind w:right="260" w:firstLine="987"/>
        <w:spacing w:after="0" w:line="282"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value as published by the SOFR Administrator as such index appears on the SOFR Administrator’s Website at 3:00 p.m. (New York City time) on such U.S. Government Securities Business Day (the “</w:t>
      </w:r>
      <w:r>
        <w:rPr>
          <w:rFonts w:ascii="Times New Roman" w:cs="Times New Roman" w:eastAsia="Times New Roman" w:hAnsi="Times New Roman"/>
          <w:sz w:val="18"/>
          <w:szCs w:val="18"/>
          <w:u w:val="single" w:color="auto"/>
          <w:color w:val="auto"/>
        </w:rPr>
        <w:t>SOFR Index Determination Time</w:t>
      </w:r>
      <w:r>
        <w:rPr>
          <w:rFonts w:ascii="Times New Roman" w:cs="Times New Roman" w:eastAsia="Times New Roman" w:hAnsi="Times New Roman"/>
          <w:sz w:val="18"/>
          <w:szCs w:val="18"/>
          <w:color w:val="auto"/>
        </w:rPr>
        <w:t>”); provided that:</w:t>
      </w:r>
    </w:p>
    <w:p>
      <w:pPr>
        <w:spacing w:after="0" w:line="161" w:lineRule="exact"/>
        <w:rPr>
          <w:rFonts w:ascii="Times New Roman" w:cs="Times New Roman" w:eastAsia="Times New Roman" w:hAnsi="Times New Roman"/>
          <w:sz w:val="18"/>
          <w:szCs w:val="18"/>
          <w:color w:val="auto"/>
        </w:rPr>
      </w:pPr>
    </w:p>
    <w:p>
      <w:pPr>
        <w:ind w:right="200" w:firstLine="987"/>
        <w:spacing w:after="0" w:line="258"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(1) above at the SOFR Index Determination Time, then: (i) if a Benchmark Transition Event and its related Benchmark Replacement Date have not 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“Effect of a Benchmark Transition Event” provisions described below.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daily secured overnight financing rate as provided by the SOFR Administrator on the SOFR Administrator’s Website.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SOFR).</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76"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If a SOFR IndexStart or SOFR IndexEnd is not published on the associated Interest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U.S. Government Securities Business Day for which SOFR was published on the SOFR Administrator’s Website.</w:t>
      </w:r>
    </w:p>
    <w:p>
      <w:pPr>
        <w:sectPr>
          <w:pgSz w:w="11900" w:h="16838" w:orient="portrait"/>
          <w:cols w:equalWidth="0" w:num="1">
            <w:col w:w="11000"/>
          </w:cols>
          <w:pgMar w:left="440" w:top="270" w:right="459" w:bottom="1440" w:gutter="0" w:footer="0" w:header="0"/>
        </w:sectPr>
      </w:pPr>
    </w:p>
    <w:bookmarkStart w:id="141" w:name="page142"/>
    <w:bookmarkEnd w:id="141"/>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If the Company (or its designee) determines on or prior to the relevant Reference Time that a Benchmark Transition Event and its related Benchmark Replacement Date have occurred with respect to determining Compounded SOFR, then the Benchmark Transition Provisions will thereafter apply to all determinations of the rate of interest payable on the 2029 Floating Rate Notes.</w:t>
      </w:r>
    </w:p>
    <w:p>
      <w:pPr>
        <w:spacing w:after="0" w:line="176" w:lineRule="exact"/>
        <w:rPr>
          <w:sz w:val="20"/>
          <w:szCs w:val="20"/>
          <w:color w:val="auto"/>
        </w:rPr>
      </w:pPr>
    </w:p>
    <w:p>
      <w:pPr>
        <w:ind w:left="620" w:hanging="184"/>
        <w:spacing w:after="0"/>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Floating Rate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ectPr>
          <w:pgSz w:w="11900" w:h="16838" w:orient="portrait"/>
          <w:cols w:equalWidth="0" w:num="1">
            <w:col w:w="10960"/>
          </w:cols>
          <w:pgMar w:left="440" w:top="270" w:right="499" w:bottom="1440" w:gutter="0" w:footer="0" w:header="0"/>
        </w:sectPr>
      </w:pPr>
    </w:p>
    <w:bookmarkStart w:id="142" w:name="page143"/>
    <w:bookmarkEnd w:id="142"/>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pacing w:after="0" w:line="14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000"/>
          </w:cols>
          <w:pgMar w:left="440" w:top="270" w:right="459" w:bottom="1440" w:gutter="0" w:footer="0" w:header="0"/>
        </w:sectPr>
      </w:pPr>
    </w:p>
    <w:bookmarkStart w:id="143" w:name="page144"/>
    <w:bookmarkEnd w:id="143"/>
    <w:p>
      <w:pPr>
        <w:ind w:left="620" w:hanging="184"/>
        <w:spacing w:after="0"/>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0860"/>
          </w:cols>
          <w:pgMar w:left="440" w:top="270" w:right="599" w:bottom="1440" w:gutter="0" w:footer="0" w:header="0"/>
        </w:sectPr>
      </w:pPr>
    </w:p>
    <w:bookmarkStart w:id="144" w:name="page145"/>
    <w:bookmarkEnd w:id="14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308610</wp:posOffset>
            </wp:positionV>
            <wp:extent cx="32143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0820"/>
          </w:cols>
          <w:pgMar w:left="440" w:top="266" w:right="639" w:bottom="1440" w:gutter="0" w:footer="0" w:header="0"/>
        </w:sectPr>
      </w:pPr>
    </w:p>
    <w:bookmarkStart w:id="145" w:name="page146"/>
    <w:bookmarkEnd w:id="14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4572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-185420</wp:posOffset>
            </wp:positionV>
            <wp:extent cx="4572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-185420</wp:posOffset>
            </wp:positionV>
            <wp:extent cx="457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131" w:lineRule="exact"/>
        <w:rPr>
          <w:sz w:val="20"/>
          <w:szCs w:val="20"/>
          <w:color w:val="auto"/>
        </w:rPr>
      </w:pPr>
    </w:p>
    <w:p>
      <w:pPr>
        <w:ind w:left="544" w:hanging="544"/>
        <w:spacing w:after="0" w:line="266" w:lineRule="auto"/>
        <w:tabs>
          <w:tab w:leader="none" w:pos="544" w:val="left"/>
        </w:tabs>
        <w:numPr>
          <w:ilvl w:val="0"/>
          <w:numId w:val="1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81" w:lineRule="exact"/>
        <w:rPr>
          <w:rFonts w:ascii="MS PGothic" w:cs="MS PGothic" w:eastAsia="MS PGothic" w:hAnsi="MS PGothic"/>
          <w:sz w:val="18"/>
          <w:szCs w:val="18"/>
          <w:color w:val="auto"/>
        </w:rPr>
      </w:pPr>
    </w:p>
    <w:p>
      <w:pPr>
        <w:ind w:left="544" w:hanging="544"/>
        <w:spacing w:after="0"/>
        <w:tabs>
          <w:tab w:leader="none" w:pos="544" w:val="left"/>
        </w:tabs>
        <w:numPr>
          <w:ilvl w:val="0"/>
          <w:numId w:val="1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90"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the Company or subsidiary thereof; or</w:t>
            </w:r>
          </w:p>
        </w:tc>
        <w:tc>
          <w:tcPr>
            <w:tcW w:w="0" w:type="dxa"/>
            <w:vAlign w:val="bottom"/>
          </w:tcPr>
          <w:p>
            <w:pPr>
              <w:spacing w:after="0"/>
              <w:rPr>
                <w:sz w:val="1"/>
                <w:szCs w:val="1"/>
                <w:color w:val="auto"/>
              </w:rPr>
            </w:pP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the Security Registrar for registration in the name of the Holder, without transfer; or</w:t>
            </w:r>
          </w:p>
        </w:tc>
        <w:tc>
          <w:tcPr>
            <w:tcW w:w="0" w:type="dxa"/>
            <w:vAlign w:val="bottom"/>
          </w:tcPr>
          <w:p>
            <w:pPr>
              <w:spacing w:after="0"/>
              <w:rPr>
                <w:sz w:val="1"/>
                <w:szCs w:val="1"/>
                <w:color w:val="auto"/>
              </w:rPr>
            </w:pPr>
          </w:p>
        </w:tc>
      </w:tr>
      <w:tr>
        <w:trPr>
          <w:trHeight w:val="26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pursuant to an effective registration statement under the Securities Act of 1933, as amended (the “Securities Act”); or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vMerge w:val="continue"/>
          </w:tcPr>
          <w:p>
            <w:pPr>
              <w:spacing w:after="0"/>
              <w:rPr>
                <w:sz w:val="24"/>
                <w:szCs w:val="24"/>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8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(“Rule 144A”)) that purchases for its own account or for the account of a qualified institutional buyer and to whom notice is given that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such transfer is being made in reliance on Rule 144A, in each case pursuant to and in compliance with Rule 144A; or</w:t>
            </w:r>
          </w:p>
        </w:tc>
        <w:tc>
          <w:tcPr>
            <w:tcW w:w="0" w:type="dxa"/>
            <w:vAlign w:val="bottom"/>
          </w:tcPr>
          <w:p>
            <w:pPr>
              <w:spacing w:after="0"/>
              <w:rPr>
                <w:sz w:val="1"/>
                <w:szCs w:val="1"/>
                <w:color w:val="auto"/>
              </w:rPr>
            </w:pPr>
          </w:p>
        </w:tc>
      </w:tr>
      <w:tr>
        <w:trPr>
          <w:trHeight w:val="3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(5)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pursuant to offers and sales to non-U.S. persons that occur outside the United States of America within the meaning of Regulation S under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Securities Act (and if the transfer is being made prior to the expiration of the Distribution Compliance Period, the Notes shall be held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immediately thereafter through Euroclear or Clearstream); or</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(6)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pursuant to Rule 144 under the Securities Act; or</w:t>
            </w:r>
          </w:p>
        </w:tc>
        <w:tc>
          <w:tcPr>
            <w:tcW w:w="0" w:type="dxa"/>
            <w:vAlign w:val="bottom"/>
          </w:tcPr>
          <w:p>
            <w:pPr>
              <w:spacing w:after="0"/>
              <w:rPr>
                <w:sz w:val="1"/>
                <w:szCs w:val="1"/>
                <w:color w:val="auto"/>
              </w:rPr>
            </w:pP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pursuant to another available exemption from registration under the Securities Act.</w:t>
            </w:r>
          </w:p>
        </w:tc>
        <w:tc>
          <w:tcPr>
            <w:tcW w:w="0" w:type="dxa"/>
            <w:vAlign w:val="bottom"/>
          </w:tcPr>
          <w:p>
            <w:pPr>
              <w:spacing w:after="0"/>
              <w:rPr>
                <w:sz w:val="1"/>
                <w:szCs w:val="1"/>
                <w:color w:val="auto"/>
              </w:rPr>
            </w:pPr>
          </w:p>
        </w:tc>
      </w:tr>
    </w:tbl>
    <w:p>
      <w:pPr>
        <w:sectPr>
          <w:pgSz w:w="11900" w:h="16838" w:orient="portrait"/>
          <w:cols w:equalWidth="0" w:num="1">
            <w:col w:w="10984"/>
          </w:cols>
          <w:pgMar w:left="436" w:top="266" w:right="479" w:bottom="1440" w:gutter="0" w:footer="0" w:header="0"/>
        </w:sectPr>
      </w:pPr>
    </w:p>
    <w:bookmarkStart w:id="146" w:name="page147"/>
    <w:bookmarkEnd w:id="146"/>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Signature of Signature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NOTICE: To be executed by</w:t>
      </w:r>
    </w:p>
    <w:p>
      <w:pPr>
        <w:spacing w:after="0" w:line="2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an executive officer</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0984"/>
          </w:cols>
          <w:pgMar w:left="436" w:top="270" w:right="479" w:bottom="1440" w:gutter="0" w:footer="0" w:header="0"/>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2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8" w:name="page149"/>
    <w:bookmarkEnd w:id="148"/>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2031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49" w:name="page150"/>
    <w:bookmarkEnd w:id="14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50" w:name="page151"/>
    <w:bookmarkEnd w:id="150"/>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4.300% Senior Notes due 2031</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AE5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AE0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[US43849RAE53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USU43781AE02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660" w:space="720"/>
            <w:col w:w="264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2031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0</wp:posOffset>
            </wp:positionV>
            <wp:extent cx="25628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9039"/>
          </w:cols>
          <w:pgMar w:left="1420" w:top="270" w:right="1440" w:bottom="1440" w:gutter="0" w:footer="0" w:header="0"/>
        </w:sectPr>
      </w:pPr>
    </w:p>
    <w:bookmarkStart w:id="152" w:name="page153"/>
    <w:bookmarkEnd w:id="1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4.300% Senior Notes due 2031</w:t>
      </w:r>
    </w:p>
    <w:p>
      <w:pPr>
        <w:spacing w:after="0" w:line="207" w:lineRule="exact"/>
        <w:rPr>
          <w:sz w:val="20"/>
          <w:szCs w:val="20"/>
          <w:color w:val="auto"/>
        </w:rPr>
      </w:pPr>
    </w:p>
    <w:p>
      <w:pPr>
        <w:ind w:left="620" w:hanging="184"/>
        <w:spacing w:after="0"/>
        <w:tabs>
          <w:tab w:leader="none" w:pos="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4.300%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4.300% Senior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154" w:name="page155"/>
    <w:bookmarkEnd w:id="154"/>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Special Mandatory Redemption.</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and special mandatory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155" w:name="page156"/>
    <w:bookmarkEnd w:id="15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188595</wp:posOffset>
            </wp:positionV>
            <wp:extent cx="32143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Signature</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45"/>
        </w:trPr>
        <w:tc>
          <w:tcPr>
            <w:tcW w:w="5280" w:type="dxa"/>
            <w:vAlign w:val="bottom"/>
            <w:tcBorders>
              <w:bottom w:val="single" w:sz="8" w:color="auto"/>
            </w:tcBorders>
          </w:tcPr>
          <w:p>
            <w:pPr>
              <w:spacing w:after="0"/>
              <w:rPr>
                <w:sz w:val="3"/>
                <w:szCs w:val="3"/>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2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68"/>
        </w:trPr>
        <w:tc>
          <w:tcPr>
            <w:tcW w:w="5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66" w:right="439" w:bottom="1440" w:gutter="0" w:footer="0" w:header="0"/>
        </w:sectPr>
      </w:pPr>
    </w:p>
    <w:bookmarkStart w:id="157" w:name="page158"/>
    <w:bookmarkEnd w:id="15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2571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-185420</wp:posOffset>
            </wp:positionV>
            <wp:extent cx="3429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-185420</wp:posOffset>
            </wp:positionV>
            <wp:extent cx="3429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131" w:lineRule="exact"/>
        <w:rPr>
          <w:sz w:val="20"/>
          <w:szCs w:val="20"/>
          <w:color w:val="auto"/>
        </w:rPr>
      </w:pPr>
    </w:p>
    <w:p>
      <w:pPr>
        <w:ind w:left="424" w:right="60" w:hanging="424"/>
        <w:spacing w:after="0" w:line="266" w:lineRule="auto"/>
        <w:tabs>
          <w:tab w:leader="none" w:pos="424"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81" w:lineRule="exact"/>
        <w:rPr>
          <w:rFonts w:ascii="MS PGothic" w:cs="MS PGothic" w:eastAsia="MS PGothic" w:hAnsi="MS PGothic"/>
          <w:sz w:val="18"/>
          <w:szCs w:val="18"/>
          <w:color w:val="auto"/>
        </w:rPr>
      </w:pPr>
    </w:p>
    <w:p>
      <w:pPr>
        <w:ind w:left="424" w:hanging="424"/>
        <w:spacing w:after="0"/>
        <w:tabs>
          <w:tab w:leader="none" w:pos="424"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90"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the Company or subsidiary thereof; or</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the Security Registrar for registration in the name of the Holder, without transfer; or</w:t>
            </w:r>
          </w:p>
        </w:tc>
        <w:tc>
          <w:tcPr>
            <w:tcW w:w="0" w:type="dxa"/>
            <w:vAlign w:val="bottom"/>
          </w:tcPr>
          <w:p>
            <w:pPr>
              <w:spacing w:after="0"/>
              <w:rPr>
                <w:sz w:val="1"/>
                <w:szCs w:val="1"/>
                <w:color w:val="auto"/>
              </w:rPr>
            </w:pPr>
          </w:p>
        </w:tc>
      </w:tr>
      <w:tr>
        <w:trPr>
          <w:trHeight w:val="26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an effective registration statement under the Securities Act of 1933, as amended (the “Securities Act”); or</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   </w:t>
            </w:r>
          </w:p>
        </w:tc>
        <w:tc>
          <w:tcPr>
            <w:tcW w:w="400" w:type="dxa"/>
            <w:vAlign w:val="bottom"/>
            <w:vMerge w:val="continue"/>
          </w:tcPr>
          <w:p>
            <w:pPr>
              <w:spacing w:after="0"/>
              <w:rPr>
                <w:sz w:val="24"/>
                <w:szCs w:val="24"/>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14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(“Rule 144A”)) that purchases for its own account or for the account of a qualified institutional buyer and to whom notice is given that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such transfer is being made in reliance on Rule 144A, in each case pursuant to and in compliance with Rule 144A; or</w:t>
            </w:r>
          </w:p>
        </w:tc>
        <w:tc>
          <w:tcPr>
            <w:tcW w:w="0" w:type="dxa"/>
            <w:vAlign w:val="bottom"/>
          </w:tcPr>
          <w:p>
            <w:pPr>
              <w:spacing w:after="0"/>
              <w:rPr>
                <w:sz w:val="1"/>
                <w:szCs w:val="1"/>
                <w:color w:val="auto"/>
              </w:rPr>
            </w:pPr>
          </w:p>
        </w:tc>
      </w:tr>
      <w:tr>
        <w:trPr>
          <w:trHeight w:val="31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(5)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pursuant to offers and sales to non-U.S. persons that occur outside the United States of America within the meaning of Regulation S under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the Securities Act (and if the transfer is being made prior to the expiration of the Distribution Compliance Period, the Notes shall be held</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immediately thereafter through Euroclear or Clearstream); or</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(6)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Rule 144 under the Securities Act; or</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another available exemption from registration under the Securities Act.</w:t>
            </w:r>
          </w:p>
        </w:tc>
        <w:tc>
          <w:tcPr>
            <w:tcW w:w="0" w:type="dxa"/>
            <w:vAlign w:val="bottom"/>
          </w:tcPr>
          <w:p>
            <w:pPr>
              <w:spacing w:after="0"/>
              <w:rPr>
                <w:sz w:val="1"/>
                <w:szCs w:val="1"/>
                <w:color w:val="auto"/>
              </w:rPr>
            </w:pPr>
          </w:p>
        </w:tc>
      </w:tr>
    </w:tbl>
    <w:p>
      <w:pPr>
        <w:sectPr>
          <w:pgSz w:w="11900" w:h="16838" w:orient="portrait"/>
          <w:cols w:equalWidth="0" w:num="1">
            <w:col w:w="10944"/>
          </w:cols>
          <w:pgMar w:left="436" w:top="266" w:right="519" w:bottom="1440" w:gutter="0" w:footer="0" w:header="0"/>
        </w:sectPr>
      </w:pPr>
    </w:p>
    <w:bookmarkStart w:id="158" w:name="page159"/>
    <w:bookmarkEnd w:id="158"/>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4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97"/>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20" w:type="dxa"/>
            <w:vAlign w:val="bottom"/>
            <w:vMerge w:val="continue"/>
          </w:tcPr>
          <w:p>
            <w:pPr>
              <w:spacing w:after="0"/>
              <w:rPr>
                <w:sz w:val="15"/>
                <w:szCs w:val="15"/>
                <w:color w:val="auto"/>
              </w:rPr>
            </w:pPr>
          </w:p>
        </w:tc>
        <w:tc>
          <w:tcPr>
            <w:tcW w:w="9400" w:type="dxa"/>
            <w:vAlign w:val="bottom"/>
            <w:gridSpan w:val="2"/>
            <w:vMerge w:val="restart"/>
          </w:tcPr>
          <w:p>
            <w:pPr>
              <w:ind w:left="4440"/>
              <w:spacing w:after="0"/>
              <w:rPr>
                <w:sz w:val="20"/>
                <w:szCs w:val="20"/>
                <w:color w:val="auto"/>
              </w:rPr>
            </w:pPr>
            <w:r>
              <w:rPr>
                <w:rFonts w:ascii="Times New Roman" w:cs="Times New Roman" w:eastAsia="Times New Roman" w:hAnsi="Times New Roman"/>
                <w:sz w:val="18"/>
                <w:szCs w:val="18"/>
                <w:color w:val="auto"/>
              </w:rPr>
              <w:t>Signature of Signature</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94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8440" w:type="dxa"/>
            <w:vAlign w:val="bottom"/>
            <w:gridSpan w:val="2"/>
            <w:vMerge w:val="restart"/>
          </w:tcPr>
          <w:p>
            <w:pPr>
              <w:ind w:left="3360"/>
              <w:spacing w:after="0"/>
              <w:rPr>
                <w:sz w:val="20"/>
                <w:szCs w:val="20"/>
                <w:color w:val="auto"/>
              </w:rPr>
            </w:pPr>
            <w:r>
              <w:rPr>
                <w:rFonts w:ascii="Times New Roman" w:cs="Times New Roman" w:eastAsia="Times New Roman" w:hAnsi="Times New Roman"/>
                <w:sz w:val="18"/>
                <w:szCs w:val="18"/>
                <w:color w:val="auto"/>
              </w:rPr>
              <w:t>NOTICE: To be executed by</w:t>
            </w:r>
          </w:p>
        </w:tc>
        <w:tc>
          <w:tcPr>
            <w:tcW w:w="0" w:type="dxa"/>
            <w:vAlign w:val="bottom"/>
          </w:tcPr>
          <w:p>
            <w:pPr>
              <w:spacing w:after="0"/>
              <w:rPr>
                <w:sz w:val="1"/>
                <w:szCs w:val="1"/>
                <w:color w:val="auto"/>
              </w:rPr>
            </w:pPr>
          </w:p>
        </w:tc>
      </w:tr>
      <w:tr>
        <w:trPr>
          <w:trHeight w:val="63"/>
        </w:trPr>
        <w:tc>
          <w:tcPr>
            <w:tcW w:w="2580" w:type="dxa"/>
            <w:vAlign w:val="bottom"/>
          </w:tcPr>
          <w:p>
            <w:pPr>
              <w:spacing w:after="0"/>
              <w:rPr>
                <w:sz w:val="5"/>
                <w:szCs w:val="5"/>
                <w:color w:val="auto"/>
              </w:rPr>
            </w:pPr>
          </w:p>
        </w:tc>
        <w:tc>
          <w:tcPr>
            <w:tcW w:w="8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an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8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Signature Guarantee*: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159" w:name="page160"/>
    <w:bookmarkEnd w:id="1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0" w:name="page161"/>
    <w:bookmarkEnd w:id="16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2033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61" w:name="page162"/>
    <w:bookmarkEnd w:id="16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62" w:name="page163"/>
    <w:bookmarkEnd w:id="162"/>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4.600% Senior Notes due 2033</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AF2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AF7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[US43849RAF29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USU43781AF76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600" w:space="720"/>
            <w:col w:w="2700"/>
          </w:cols>
          <w:pgMar w:left="440" w:top="270" w:right="439" w:bottom="1440" w:gutter="0" w:footer="0" w:header="0"/>
          <w:type w:val="continuous"/>
        </w:sectPr>
      </w:pPr>
    </w:p>
    <w:p>
      <w:pPr>
        <w:spacing w:after="0" w:line="2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2033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164" w:name="page165"/>
    <w:bookmarkEnd w:id="16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4.600% Senior Notes due 2033</w:t>
      </w:r>
    </w:p>
    <w:p>
      <w:pPr>
        <w:spacing w:after="0" w:line="207" w:lineRule="exact"/>
        <w:rPr>
          <w:sz w:val="20"/>
          <w:szCs w:val="20"/>
          <w:color w:val="auto"/>
        </w:rPr>
      </w:pPr>
    </w:p>
    <w:p>
      <w:pPr>
        <w:ind w:left="620" w:hanging="184"/>
        <w:spacing w:after="0"/>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4.600%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4.600% Senior Notes due 2033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166" w:name="page167"/>
    <w:bookmarkEnd w:id="166"/>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Special 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and special mandatory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167" w:name="page168"/>
    <w:bookmarkEnd w:id="16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180340</wp:posOffset>
            </wp:positionV>
            <wp:extent cx="32143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Signature</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5280" w:type="dxa"/>
            <w:vAlign w:val="bottom"/>
            <w:tcBorders>
              <w:bottom w:val="single" w:sz="8" w:color="auto"/>
            </w:tcBorders>
          </w:tcPr>
          <w:p>
            <w:pPr>
              <w:spacing w:after="0"/>
              <w:rPr>
                <w:sz w:val="2"/>
                <w:szCs w:val="2"/>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68"/>
        </w:trPr>
        <w:tc>
          <w:tcPr>
            <w:tcW w:w="5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66" w:right="439" w:bottom="1440" w:gutter="0" w:footer="0" w:header="0"/>
        </w:sectPr>
      </w:pPr>
    </w:p>
    <w:bookmarkStart w:id="169" w:name="page170"/>
    <w:bookmarkEnd w:id="169"/>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3714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1475" cy="825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-185420</wp:posOffset>
            </wp:positionV>
            <wp:extent cx="3714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7147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-185420</wp:posOffset>
            </wp:positionV>
            <wp:extent cx="3429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131" w:lineRule="exact"/>
        <w:rPr>
          <w:sz w:val="20"/>
          <w:szCs w:val="20"/>
          <w:color w:val="auto"/>
        </w:rPr>
      </w:pPr>
    </w:p>
    <w:p>
      <w:pPr>
        <w:ind w:left="424" w:right="60" w:hanging="424"/>
        <w:spacing w:after="0" w:line="266" w:lineRule="auto"/>
        <w:tabs>
          <w:tab w:leader="none" w:pos="424" w:val="left"/>
        </w:tabs>
        <w:numPr>
          <w:ilvl w:val="0"/>
          <w:numId w:val="1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81" w:lineRule="exact"/>
        <w:rPr>
          <w:rFonts w:ascii="MS PGothic" w:cs="MS PGothic" w:eastAsia="MS PGothic" w:hAnsi="MS PGothic"/>
          <w:sz w:val="18"/>
          <w:szCs w:val="18"/>
          <w:color w:val="auto"/>
        </w:rPr>
      </w:pPr>
    </w:p>
    <w:p>
      <w:pPr>
        <w:ind w:left="424" w:hanging="424"/>
        <w:spacing w:after="0"/>
        <w:tabs>
          <w:tab w:leader="none" w:pos="424" w:val="left"/>
        </w:tabs>
        <w:numPr>
          <w:ilvl w:val="0"/>
          <w:numId w:val="1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90"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the Company or subsidiary thereof; or</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the Security Registrar for registration in the name of the Holder, without transfer; or</w:t>
            </w:r>
          </w:p>
        </w:tc>
        <w:tc>
          <w:tcPr>
            <w:tcW w:w="0" w:type="dxa"/>
            <w:vAlign w:val="bottom"/>
          </w:tcPr>
          <w:p>
            <w:pPr>
              <w:spacing w:after="0"/>
              <w:rPr>
                <w:sz w:val="1"/>
                <w:szCs w:val="1"/>
                <w:color w:val="auto"/>
              </w:rPr>
            </w:pPr>
          </w:p>
        </w:tc>
      </w:tr>
      <w:tr>
        <w:trPr>
          <w:trHeight w:val="26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an effective registration statement under the Securities Act of 1933, as amended (the “Securities Act”); or</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   </w:t>
            </w:r>
          </w:p>
        </w:tc>
        <w:tc>
          <w:tcPr>
            <w:tcW w:w="400" w:type="dxa"/>
            <w:vAlign w:val="bottom"/>
            <w:vMerge w:val="continue"/>
          </w:tcPr>
          <w:p>
            <w:pPr>
              <w:spacing w:after="0"/>
              <w:rPr>
                <w:sz w:val="24"/>
                <w:szCs w:val="24"/>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14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(“Rule 144A”)) that purchases for its own account or for the account of a qualified institutional buyer and to whom notice is given that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such transfer is being made in reliance on Rule 144A, in each case pursuant to and in compliance with Rule 144A; or</w:t>
            </w:r>
          </w:p>
        </w:tc>
        <w:tc>
          <w:tcPr>
            <w:tcW w:w="0" w:type="dxa"/>
            <w:vAlign w:val="bottom"/>
          </w:tcPr>
          <w:p>
            <w:pPr>
              <w:spacing w:after="0"/>
              <w:rPr>
                <w:sz w:val="1"/>
                <w:szCs w:val="1"/>
                <w:color w:val="auto"/>
              </w:rPr>
            </w:pPr>
          </w:p>
        </w:tc>
      </w:tr>
      <w:tr>
        <w:trPr>
          <w:trHeight w:val="31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(5)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pursuant to offers and sales to non-U.S. persons that occur outside the United States of America within the meaning of Regulation S under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the Securities Act (and if the transfer is being made prior to the expiration of the Distribution Compliance Period, the Notes shall be held</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immediately thereafter through Euroclear or Clearstream); or</w:t>
            </w:r>
          </w:p>
        </w:tc>
        <w:tc>
          <w:tcPr>
            <w:tcW w:w="0" w:type="dxa"/>
            <w:vAlign w:val="bottom"/>
          </w:tcPr>
          <w:p>
            <w:pPr>
              <w:spacing w:after="0"/>
              <w:rPr>
                <w:sz w:val="1"/>
                <w:szCs w:val="1"/>
                <w:color w:val="auto"/>
              </w:rPr>
            </w:pPr>
          </w:p>
        </w:tc>
      </w:tr>
      <w:tr>
        <w:trPr>
          <w:trHeight w:val="36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(6)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Rule 144 under the Securities Act; or</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another available exemption from registration under the Securities Act.</w:t>
            </w:r>
          </w:p>
        </w:tc>
        <w:tc>
          <w:tcPr>
            <w:tcW w:w="0" w:type="dxa"/>
            <w:vAlign w:val="bottom"/>
          </w:tcPr>
          <w:p>
            <w:pPr>
              <w:spacing w:after="0"/>
              <w:rPr>
                <w:sz w:val="1"/>
                <w:szCs w:val="1"/>
                <w:color w:val="auto"/>
              </w:rPr>
            </w:pPr>
          </w:p>
        </w:tc>
      </w:tr>
    </w:tbl>
    <w:p>
      <w:pPr>
        <w:sectPr>
          <w:pgSz w:w="11900" w:h="16838" w:orient="portrait"/>
          <w:cols w:equalWidth="0" w:num="1">
            <w:col w:w="10944"/>
          </w:cols>
          <w:pgMar w:left="436" w:top="266" w:right="519" w:bottom="1440" w:gutter="0" w:footer="0" w:header="0"/>
        </w:sectPr>
      </w:pPr>
    </w:p>
    <w:bookmarkStart w:id="170" w:name="page171"/>
    <w:bookmarkEnd w:id="170"/>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4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97"/>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20" w:type="dxa"/>
            <w:vAlign w:val="bottom"/>
            <w:vMerge w:val="continue"/>
          </w:tcPr>
          <w:p>
            <w:pPr>
              <w:spacing w:after="0"/>
              <w:rPr>
                <w:sz w:val="15"/>
                <w:szCs w:val="15"/>
                <w:color w:val="auto"/>
              </w:rPr>
            </w:pPr>
          </w:p>
        </w:tc>
        <w:tc>
          <w:tcPr>
            <w:tcW w:w="9400" w:type="dxa"/>
            <w:vAlign w:val="bottom"/>
            <w:gridSpan w:val="2"/>
            <w:vMerge w:val="restart"/>
          </w:tcPr>
          <w:p>
            <w:pPr>
              <w:ind w:left="4440"/>
              <w:spacing w:after="0"/>
              <w:rPr>
                <w:sz w:val="20"/>
                <w:szCs w:val="20"/>
                <w:color w:val="auto"/>
              </w:rPr>
            </w:pPr>
            <w:r>
              <w:rPr>
                <w:rFonts w:ascii="Times New Roman" w:cs="Times New Roman" w:eastAsia="Times New Roman" w:hAnsi="Times New Roman"/>
                <w:sz w:val="18"/>
                <w:szCs w:val="18"/>
                <w:color w:val="auto"/>
              </w:rPr>
              <w:t>Signature of Signature</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94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8440" w:type="dxa"/>
            <w:vAlign w:val="bottom"/>
            <w:gridSpan w:val="2"/>
            <w:vMerge w:val="restart"/>
          </w:tcPr>
          <w:p>
            <w:pPr>
              <w:ind w:left="3360"/>
              <w:spacing w:after="0"/>
              <w:rPr>
                <w:sz w:val="20"/>
                <w:szCs w:val="20"/>
                <w:color w:val="auto"/>
              </w:rPr>
            </w:pPr>
            <w:r>
              <w:rPr>
                <w:rFonts w:ascii="Times New Roman" w:cs="Times New Roman" w:eastAsia="Times New Roman" w:hAnsi="Times New Roman"/>
                <w:sz w:val="18"/>
                <w:szCs w:val="18"/>
                <w:color w:val="auto"/>
              </w:rPr>
              <w:t>NOTICE: To be executed by</w:t>
            </w:r>
          </w:p>
        </w:tc>
        <w:tc>
          <w:tcPr>
            <w:tcW w:w="0" w:type="dxa"/>
            <w:vAlign w:val="bottom"/>
          </w:tcPr>
          <w:p>
            <w:pPr>
              <w:spacing w:after="0"/>
              <w:rPr>
                <w:sz w:val="1"/>
                <w:szCs w:val="1"/>
                <w:color w:val="auto"/>
              </w:rPr>
            </w:pPr>
          </w:p>
        </w:tc>
      </w:tr>
      <w:tr>
        <w:trPr>
          <w:trHeight w:val="63"/>
        </w:trPr>
        <w:tc>
          <w:tcPr>
            <w:tcW w:w="2580" w:type="dxa"/>
            <w:vAlign w:val="bottom"/>
          </w:tcPr>
          <w:p>
            <w:pPr>
              <w:spacing w:after="0"/>
              <w:rPr>
                <w:sz w:val="5"/>
                <w:szCs w:val="5"/>
                <w:color w:val="auto"/>
              </w:rPr>
            </w:pPr>
          </w:p>
        </w:tc>
        <w:tc>
          <w:tcPr>
            <w:tcW w:w="8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an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8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Signature Guarantee*: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171" w:name="page172"/>
    <w:bookmarkEnd w:id="1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72" w:name="page173"/>
    <w:bookmarkEnd w:id="172"/>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2036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73" w:name="page174"/>
    <w:bookmarkEnd w:id="17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74" w:name="page175"/>
    <w:bookmarkEnd w:id="174"/>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AEROSPACE INC.</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4.950% Senior Notes due 2036</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AG0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AG5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[US43849RAG02 (144A / USU43781AG59 (Reg 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680" w:space="720"/>
            <w:col w:w="4620"/>
          </w:cols>
          <w:pgMar w:left="440" w:top="270" w:right="439" w:bottom="1440" w:gutter="0" w:footer="0" w:header="0"/>
          <w:type w:val="continuous"/>
        </w:sectPr>
      </w:pPr>
    </w:p>
    <w:p>
      <w:pPr>
        <w:spacing w:after="0" w:line="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2036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176" w:name="page177"/>
    <w:bookmarkEnd w:id="17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4.950% Senior Notes due 2036</w:t>
      </w:r>
    </w:p>
    <w:p>
      <w:pPr>
        <w:spacing w:after="0" w:line="207" w:lineRule="exact"/>
        <w:rPr>
          <w:sz w:val="20"/>
          <w:szCs w:val="20"/>
          <w:color w:val="auto"/>
        </w:rPr>
      </w:pPr>
    </w:p>
    <w:p>
      <w:pPr>
        <w:ind w:left="620" w:hanging="184"/>
        <w:spacing w:after="0"/>
        <w:tabs>
          <w:tab w:leader="none" w:pos="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4.950%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4.950% Senior Notes due 2036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178" w:name="page179"/>
    <w:bookmarkEnd w:id="178"/>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 Special Mandatory Redemption.</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and special mandatory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179" w:name="page180"/>
    <w:bookmarkEnd w:id="17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180340</wp:posOffset>
            </wp:positionV>
            <wp:extent cx="32143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Signature</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5280" w:type="dxa"/>
            <w:vAlign w:val="bottom"/>
            <w:tcBorders>
              <w:bottom w:val="single" w:sz="8" w:color="auto"/>
            </w:tcBorders>
          </w:tcPr>
          <w:p>
            <w:pPr>
              <w:spacing w:after="0"/>
              <w:rPr>
                <w:sz w:val="2"/>
                <w:szCs w:val="2"/>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68"/>
        </w:trPr>
        <w:tc>
          <w:tcPr>
            <w:tcW w:w="5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66" w:right="439" w:bottom="1440" w:gutter="0" w:footer="0" w:header="0"/>
        </w:sectPr>
      </w:pPr>
    </w:p>
    <w:bookmarkStart w:id="181" w:name="page182"/>
    <w:bookmarkEnd w:id="181"/>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4572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-185420</wp:posOffset>
            </wp:positionV>
            <wp:extent cx="4572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-185420</wp:posOffset>
            </wp:positionV>
            <wp:extent cx="4572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131" w:lineRule="exact"/>
        <w:rPr>
          <w:sz w:val="20"/>
          <w:szCs w:val="20"/>
          <w:color w:val="auto"/>
        </w:rPr>
      </w:pPr>
    </w:p>
    <w:p>
      <w:pPr>
        <w:ind w:left="424" w:right="60" w:hanging="424"/>
        <w:spacing w:after="0" w:line="266" w:lineRule="auto"/>
        <w:tabs>
          <w:tab w:leader="none" w:pos="424" w:val="left"/>
        </w:tabs>
        <w:numPr>
          <w:ilvl w:val="0"/>
          <w:numId w:val="1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81" w:lineRule="exact"/>
        <w:rPr>
          <w:rFonts w:ascii="MS PGothic" w:cs="MS PGothic" w:eastAsia="MS PGothic" w:hAnsi="MS PGothic"/>
          <w:sz w:val="18"/>
          <w:szCs w:val="18"/>
          <w:color w:val="auto"/>
        </w:rPr>
      </w:pPr>
    </w:p>
    <w:p>
      <w:pPr>
        <w:ind w:left="424" w:hanging="424"/>
        <w:spacing w:after="0"/>
        <w:tabs>
          <w:tab w:leader="none" w:pos="424" w:val="left"/>
        </w:tabs>
        <w:numPr>
          <w:ilvl w:val="0"/>
          <w:numId w:val="1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90"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the Company or subsidiary thereof; or</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the Security Registrar for registration in the name of the Holder, without transfer; or</w:t>
            </w:r>
          </w:p>
        </w:tc>
        <w:tc>
          <w:tcPr>
            <w:tcW w:w="0" w:type="dxa"/>
            <w:vAlign w:val="bottom"/>
          </w:tcPr>
          <w:p>
            <w:pPr>
              <w:spacing w:after="0"/>
              <w:rPr>
                <w:sz w:val="1"/>
                <w:szCs w:val="1"/>
                <w:color w:val="auto"/>
              </w:rPr>
            </w:pPr>
          </w:p>
        </w:tc>
      </w:tr>
      <w:tr>
        <w:trPr>
          <w:trHeight w:val="26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an effective registration statement under the Securities Act of 1933, as amended (the “Securities Act”); or</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   </w:t>
            </w:r>
          </w:p>
        </w:tc>
        <w:tc>
          <w:tcPr>
            <w:tcW w:w="400" w:type="dxa"/>
            <w:vAlign w:val="bottom"/>
            <w:vMerge w:val="continue"/>
          </w:tcPr>
          <w:p>
            <w:pPr>
              <w:spacing w:after="0"/>
              <w:rPr>
                <w:sz w:val="24"/>
                <w:szCs w:val="24"/>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14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(“Rule 144A”)) that purchases for its own account or for the account of a qualified institutional buyer and to whom notice is given that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such transfer is being made in reliance on Rule 144A, in each case pursuant to and in compliance with Rule 144A; or</w:t>
            </w:r>
          </w:p>
        </w:tc>
        <w:tc>
          <w:tcPr>
            <w:tcW w:w="0" w:type="dxa"/>
            <w:vAlign w:val="bottom"/>
          </w:tcPr>
          <w:p>
            <w:pPr>
              <w:spacing w:after="0"/>
              <w:rPr>
                <w:sz w:val="1"/>
                <w:szCs w:val="1"/>
                <w:color w:val="auto"/>
              </w:rPr>
            </w:pPr>
          </w:p>
        </w:tc>
      </w:tr>
      <w:tr>
        <w:trPr>
          <w:trHeight w:val="31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(5)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pursuant to offers and sales to non-U.S. persons that occur outside the United States of America within the meaning of Regulation S under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the Securities Act (and if the transfer is being made prior to the expiration of the Distribution Compliance Period, the Notes shall be held</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immediately thereafter through Euroclear or Clearstream); or</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(6)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Rule 144 under the Securities Act; or</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pursuant to another available exemption from registration under the Securities Act.</w:t>
            </w:r>
          </w:p>
        </w:tc>
        <w:tc>
          <w:tcPr>
            <w:tcW w:w="0" w:type="dxa"/>
            <w:vAlign w:val="bottom"/>
          </w:tcPr>
          <w:p>
            <w:pPr>
              <w:spacing w:after="0"/>
              <w:rPr>
                <w:sz w:val="1"/>
                <w:szCs w:val="1"/>
                <w:color w:val="auto"/>
              </w:rPr>
            </w:pPr>
          </w:p>
        </w:tc>
      </w:tr>
    </w:tbl>
    <w:p>
      <w:pPr>
        <w:sectPr>
          <w:pgSz w:w="11900" w:h="16838" w:orient="portrait"/>
          <w:cols w:equalWidth="0" w:num="1">
            <w:col w:w="10944"/>
          </w:cols>
          <w:pgMar w:left="436" w:top="266" w:right="519" w:bottom="1440" w:gutter="0" w:footer="0" w:header="0"/>
        </w:sectPr>
      </w:pPr>
    </w:p>
    <w:bookmarkStart w:id="182" w:name="page183"/>
    <w:bookmarkEnd w:id="182"/>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4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97"/>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20" w:type="dxa"/>
            <w:vAlign w:val="bottom"/>
            <w:vMerge w:val="continue"/>
          </w:tcPr>
          <w:p>
            <w:pPr>
              <w:spacing w:after="0"/>
              <w:rPr>
                <w:sz w:val="15"/>
                <w:szCs w:val="15"/>
                <w:color w:val="auto"/>
              </w:rPr>
            </w:pPr>
          </w:p>
        </w:tc>
        <w:tc>
          <w:tcPr>
            <w:tcW w:w="9400" w:type="dxa"/>
            <w:vAlign w:val="bottom"/>
            <w:gridSpan w:val="2"/>
            <w:vMerge w:val="restart"/>
          </w:tcPr>
          <w:p>
            <w:pPr>
              <w:ind w:left="4440"/>
              <w:spacing w:after="0"/>
              <w:rPr>
                <w:sz w:val="20"/>
                <w:szCs w:val="20"/>
                <w:color w:val="auto"/>
              </w:rPr>
            </w:pPr>
            <w:r>
              <w:rPr>
                <w:rFonts w:ascii="Times New Roman" w:cs="Times New Roman" w:eastAsia="Times New Roman" w:hAnsi="Times New Roman"/>
                <w:sz w:val="18"/>
                <w:szCs w:val="18"/>
                <w:color w:val="auto"/>
              </w:rPr>
              <w:t>Signature of Signature</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94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8440" w:type="dxa"/>
            <w:vAlign w:val="bottom"/>
            <w:gridSpan w:val="2"/>
            <w:vMerge w:val="restart"/>
          </w:tcPr>
          <w:p>
            <w:pPr>
              <w:ind w:left="3360"/>
              <w:spacing w:after="0"/>
              <w:rPr>
                <w:sz w:val="20"/>
                <w:szCs w:val="20"/>
                <w:color w:val="auto"/>
              </w:rPr>
            </w:pPr>
            <w:r>
              <w:rPr>
                <w:rFonts w:ascii="Times New Roman" w:cs="Times New Roman" w:eastAsia="Times New Roman" w:hAnsi="Times New Roman"/>
                <w:sz w:val="18"/>
                <w:szCs w:val="18"/>
                <w:color w:val="auto"/>
              </w:rPr>
              <w:t>NOTICE: To be executed by</w:t>
            </w:r>
          </w:p>
        </w:tc>
        <w:tc>
          <w:tcPr>
            <w:tcW w:w="0" w:type="dxa"/>
            <w:vAlign w:val="bottom"/>
          </w:tcPr>
          <w:p>
            <w:pPr>
              <w:spacing w:after="0"/>
              <w:rPr>
                <w:sz w:val="1"/>
                <w:szCs w:val="1"/>
                <w:color w:val="auto"/>
              </w:rPr>
            </w:pPr>
          </w:p>
        </w:tc>
      </w:tr>
      <w:tr>
        <w:trPr>
          <w:trHeight w:val="63"/>
        </w:trPr>
        <w:tc>
          <w:tcPr>
            <w:tcW w:w="2580" w:type="dxa"/>
            <w:vAlign w:val="bottom"/>
          </w:tcPr>
          <w:p>
            <w:pPr>
              <w:spacing w:after="0"/>
              <w:rPr>
                <w:sz w:val="5"/>
                <w:szCs w:val="5"/>
                <w:color w:val="auto"/>
              </w:rPr>
            </w:pPr>
          </w:p>
        </w:tc>
        <w:tc>
          <w:tcPr>
            <w:tcW w:w="8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an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4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8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Signature Guarantee*: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183" w:name="page184"/>
    <w:bookmarkEnd w:id="1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4" w:name="page185"/>
    <w:bookmarkEnd w:id="184"/>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2046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85" w:name="page186"/>
    <w:bookmarkEnd w:id="18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86" w:name="page187"/>
    <w:bookmarkEnd w:id="186"/>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5.622% Senior Notes due 2046</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AH8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AH3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[US43849RAH84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USU43781AH33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640" w:space="720"/>
            <w:col w:w="266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2046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188" w:name="page189"/>
    <w:bookmarkEnd w:id="18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5.622% Senior Notes due 2046</w:t>
      </w:r>
    </w:p>
    <w:p>
      <w:pPr>
        <w:spacing w:after="0" w:line="207" w:lineRule="exact"/>
        <w:rPr>
          <w:sz w:val="20"/>
          <w:szCs w:val="20"/>
          <w:color w:val="auto"/>
        </w:rPr>
      </w:pPr>
    </w:p>
    <w:p>
      <w:pPr>
        <w:ind w:left="620" w:hanging="184"/>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5.622%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5.622% Senior Notes due 2046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190" w:name="page191"/>
    <w:bookmarkEnd w:id="190"/>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191" w:name="page192"/>
    <w:bookmarkEnd w:id="19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4"/>
                <w:szCs w:val="24"/>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8"/>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6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1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66" w:right="439" w:bottom="1440" w:gutter="0" w:footer="0" w:header="0"/>
        </w:sectPr>
      </w:pPr>
    </w:p>
    <w:bookmarkStart w:id="193" w:name="page194"/>
    <w:bookmarkEnd w:id="193"/>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4572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-185420</wp:posOffset>
            </wp:positionV>
            <wp:extent cx="4572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-185420</wp:posOffset>
            </wp:positionV>
            <wp:extent cx="4572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252" w:lineRule="exact"/>
        <w:rPr>
          <w:sz w:val="20"/>
          <w:szCs w:val="20"/>
          <w:color w:val="auto"/>
        </w:rPr>
      </w:pPr>
    </w:p>
    <w:p>
      <w:pPr>
        <w:ind w:left="424" w:right="40" w:hanging="424"/>
        <w:spacing w:after="0" w:line="266" w:lineRule="auto"/>
        <w:tabs>
          <w:tab w:leader="none" w:pos="424" w:val="left"/>
        </w:tabs>
        <w:numPr>
          <w:ilvl w:val="0"/>
          <w:numId w:val="1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202" w:lineRule="exact"/>
        <w:rPr>
          <w:rFonts w:ascii="MS PGothic" w:cs="MS PGothic" w:eastAsia="MS PGothic" w:hAnsi="MS PGothic"/>
          <w:sz w:val="18"/>
          <w:szCs w:val="18"/>
          <w:color w:val="auto"/>
        </w:rPr>
      </w:pPr>
    </w:p>
    <w:p>
      <w:pPr>
        <w:ind w:left="424" w:hanging="424"/>
        <w:spacing w:after="0"/>
        <w:tabs>
          <w:tab w:leader="none" w:pos="424" w:val="left"/>
        </w:tabs>
        <w:numPr>
          <w:ilvl w:val="0"/>
          <w:numId w:val="1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211" w:lineRule="exact"/>
        <w:rPr>
          <w:sz w:val="20"/>
          <w:szCs w:val="20"/>
          <w:color w:val="auto"/>
        </w:rPr>
      </w:pPr>
    </w:p>
    <w:p>
      <w:pPr>
        <w:ind w:left="424" w:hanging="424"/>
        <w:spacing w:after="0" w:line="207"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the Company or subsidiary thereof;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Security Registrar for registration in the name of the Holder, without transfer;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w:t>
      </w:r>
    </w:p>
    <w:p>
      <w:pPr>
        <w:spacing w:after="0" w:line="265" w:lineRule="exact"/>
        <w:rPr>
          <w:rFonts w:ascii="Times New Roman" w:cs="Times New Roman" w:eastAsia="Times New Roman" w:hAnsi="Times New Roman"/>
          <w:sz w:val="18"/>
          <w:szCs w:val="18"/>
          <w:color w:val="auto"/>
        </w:rPr>
      </w:pPr>
    </w:p>
    <w:p>
      <w:pPr>
        <w:ind w:left="964" w:right="60" w:hanging="964"/>
        <w:spacing w:after="0" w:line="222"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that purchases for its own account or for the account of a qualified institutional buyer and to whom notice is given that such transfer is being made in reliance on Rule 144A, in each case pursuant to and in compliance with Rule 144A; or</w:t>
      </w:r>
    </w:p>
    <w:p>
      <w:pPr>
        <w:spacing w:after="0" w:line="239" w:lineRule="exact"/>
        <w:rPr>
          <w:rFonts w:ascii="Times New Roman" w:cs="Times New Roman" w:eastAsia="Times New Roman" w:hAnsi="Times New Roman"/>
          <w:sz w:val="18"/>
          <w:szCs w:val="18"/>
          <w:color w:val="auto"/>
        </w:rPr>
      </w:pPr>
    </w:p>
    <w:p>
      <w:pPr>
        <w:ind w:left="964" w:hanging="964"/>
        <w:spacing w:after="0" w:line="222"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offers and sales to non-U.S. persons that occur outside the United States of America within the meaning of Regulation S under the Securities Act (and if the transfer is being made prior to the expiration of the Distribution Compliance Period, the Notes shall be held immediately thereafter through Euroclear or Clearstream); or</w:t>
      </w:r>
    </w:p>
    <w:p>
      <w:pPr>
        <w:spacing w:after="0" w:line="239"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Rule 144 under the Securities Act;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another available exemption from registration under the Securities Act.</w:t>
      </w:r>
    </w:p>
    <w:p>
      <w:pPr>
        <w:sectPr>
          <w:pgSz w:w="11900" w:h="16838" w:orient="portrait"/>
          <w:cols w:equalWidth="0" w:num="1">
            <w:col w:w="10924"/>
          </w:cols>
          <w:pgMar w:left="436" w:top="266" w:right="539" w:bottom="1440" w:gutter="0" w:footer="0" w:header="0"/>
        </w:sectPr>
      </w:pPr>
    </w:p>
    <w:bookmarkStart w:id="194" w:name="page195"/>
    <w:bookmarkEnd w:id="194"/>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Signature</w:t>
            </w:r>
          </w:p>
        </w:tc>
      </w:tr>
      <w:tr>
        <w:trPr>
          <w:trHeight w:val="234"/>
        </w:trPr>
        <w:tc>
          <w:tcPr>
            <w:tcW w:w="716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 xml:space="preserve">                                        </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r>
    </w:tbl>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8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xml:space="preserve">                                        </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NOTICE: To be executed by</w:t>
            </w:r>
          </w:p>
        </w:tc>
      </w:tr>
      <w:tr>
        <w:trPr>
          <w:trHeight w:val="216"/>
        </w:trPr>
        <w:tc>
          <w:tcPr>
            <w:tcW w:w="2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 executive officer</w:t>
            </w:r>
          </w:p>
        </w:tc>
      </w:tr>
      <w:tr>
        <w:trPr>
          <w:trHeight w:val="216"/>
        </w:trPr>
        <w:tc>
          <w:tcPr>
            <w:tcW w:w="2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2340" w:type="dxa"/>
            <w:vAlign w:val="bottom"/>
          </w:tcPr>
          <w:p>
            <w:pPr>
              <w:spacing w:after="0"/>
              <w:rPr>
                <w:sz w:val="24"/>
                <w:szCs w:val="24"/>
                <w:color w:val="auto"/>
              </w:rPr>
            </w:pPr>
          </w:p>
        </w:tc>
        <w:tc>
          <w:tcPr>
            <w:tcW w:w="4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Signature Guarantee*:</w:t>
            </w:r>
          </w:p>
        </w:tc>
        <w:tc>
          <w:tcPr>
            <w:tcW w:w="3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7715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4" w:lineRule="exact"/>
        <w:rPr>
          <w:sz w:val="20"/>
          <w:szCs w:val="20"/>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9"/>
        </w:trPr>
        <w:tc>
          <w:tcPr>
            <w:tcW w:w="2920" w:type="dxa"/>
            <w:vAlign w:val="bottom"/>
            <w:gridSpan w:val="2"/>
            <w:vMerge w:val="continue"/>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2">
            <w:col w:w="5680" w:space="100"/>
            <w:col w:w="5240"/>
          </w:cols>
          <w:pgMar w:left="440" w:top="266" w:right="439" w:bottom="1440" w:gutter="0" w:footer="0" w:header="0"/>
          <w:type w:val="continuous"/>
        </w:sectPr>
      </w:pPr>
    </w:p>
    <w:bookmarkStart w:id="196" w:name="page197"/>
    <w:bookmarkEnd w:id="196"/>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2056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197" w:name="page198"/>
    <w:bookmarkEnd w:id="19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198" w:name="page199"/>
    <w:bookmarkEnd w:id="198"/>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5.732% Senior Notes due 2056</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[43849R AJ4 (144A)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AJ9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[US43849RAJ41 (144A)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USU43781AJ98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640" w:space="720"/>
            <w:col w:w="266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2056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200" w:name="page201"/>
    <w:bookmarkEnd w:id="2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5.732% Senior Notes due 2056</w:t>
      </w:r>
    </w:p>
    <w:p>
      <w:pPr>
        <w:spacing w:after="0" w:line="207" w:lineRule="exact"/>
        <w:rPr>
          <w:sz w:val="20"/>
          <w:szCs w:val="20"/>
          <w:color w:val="auto"/>
        </w:rPr>
      </w:pPr>
    </w:p>
    <w:p>
      <w:pPr>
        <w:ind w:left="620" w:hanging="184"/>
        <w:spacing w:after="0"/>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5.732%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5.732% Senior Notes due 2056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202" w:name="page203"/>
    <w:bookmarkEnd w:id="202"/>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203" w:name="page204"/>
    <w:bookmarkEnd w:id="20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4"/>
                <w:szCs w:val="24"/>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8"/>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6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1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66" w:right="439" w:bottom="1440" w:gutter="0" w:footer="0" w:header="0"/>
        </w:sectPr>
      </w:pPr>
    </w:p>
    <w:bookmarkStart w:id="205" w:name="page206"/>
    <w:bookmarkEnd w:id="205"/>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4572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-185420</wp:posOffset>
            </wp:positionV>
            <wp:extent cx="4572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-185420</wp:posOffset>
            </wp:positionV>
            <wp:extent cx="4572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252" w:lineRule="exact"/>
        <w:rPr>
          <w:sz w:val="20"/>
          <w:szCs w:val="20"/>
          <w:color w:val="auto"/>
        </w:rPr>
      </w:pPr>
    </w:p>
    <w:p>
      <w:pPr>
        <w:ind w:left="424" w:right="40" w:hanging="424"/>
        <w:spacing w:after="0" w:line="266" w:lineRule="auto"/>
        <w:tabs>
          <w:tab w:leader="none" w:pos="424" w:val="left"/>
        </w:tabs>
        <w:numPr>
          <w:ilvl w:val="0"/>
          <w:numId w:val="2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202" w:lineRule="exact"/>
        <w:rPr>
          <w:rFonts w:ascii="MS PGothic" w:cs="MS PGothic" w:eastAsia="MS PGothic" w:hAnsi="MS PGothic"/>
          <w:sz w:val="18"/>
          <w:szCs w:val="18"/>
          <w:color w:val="auto"/>
        </w:rPr>
      </w:pPr>
    </w:p>
    <w:p>
      <w:pPr>
        <w:ind w:left="424" w:hanging="424"/>
        <w:spacing w:after="0"/>
        <w:tabs>
          <w:tab w:leader="none" w:pos="424" w:val="left"/>
        </w:tabs>
        <w:numPr>
          <w:ilvl w:val="0"/>
          <w:numId w:val="2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211" w:lineRule="exact"/>
        <w:rPr>
          <w:sz w:val="20"/>
          <w:szCs w:val="20"/>
          <w:color w:val="auto"/>
        </w:rPr>
      </w:pPr>
    </w:p>
    <w:p>
      <w:pPr>
        <w:ind w:left="424" w:hanging="424"/>
        <w:spacing w:after="0" w:line="207"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the Company or subsidiary thereof;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Security Registrar for registration in the name of the Holder, without transfer;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w:t>
      </w:r>
    </w:p>
    <w:p>
      <w:pPr>
        <w:spacing w:after="0" w:line="265" w:lineRule="exact"/>
        <w:rPr>
          <w:rFonts w:ascii="Times New Roman" w:cs="Times New Roman" w:eastAsia="Times New Roman" w:hAnsi="Times New Roman"/>
          <w:sz w:val="18"/>
          <w:szCs w:val="18"/>
          <w:color w:val="auto"/>
        </w:rPr>
      </w:pPr>
    </w:p>
    <w:p>
      <w:pPr>
        <w:ind w:left="964" w:right="60" w:hanging="964"/>
        <w:spacing w:after="0" w:line="222"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that purchases for its own account or for the account of a qualified institutional buyer and to whom notice is given that such transfer is being made in reliance on Rule 144A, in each case pursuant to and in compliance with Rule 144A; or</w:t>
      </w:r>
    </w:p>
    <w:p>
      <w:pPr>
        <w:spacing w:after="0" w:line="239" w:lineRule="exact"/>
        <w:rPr>
          <w:rFonts w:ascii="Times New Roman" w:cs="Times New Roman" w:eastAsia="Times New Roman" w:hAnsi="Times New Roman"/>
          <w:sz w:val="18"/>
          <w:szCs w:val="18"/>
          <w:color w:val="auto"/>
        </w:rPr>
      </w:pPr>
    </w:p>
    <w:p>
      <w:pPr>
        <w:ind w:left="964" w:hanging="964"/>
        <w:spacing w:after="0" w:line="222"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offers and sales to non-U.S. persons that occur outside the United States of America within the meaning of Regulation S under the Securities Act (and if the transfer is being made prior to the expiration of the Distribution Compliance Period, the Notes shall be held immediately thereafter through Euroclear or Clearstream); or</w:t>
      </w:r>
    </w:p>
    <w:p>
      <w:pPr>
        <w:spacing w:after="0" w:line="239"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Rule 144 under the Securities Act;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0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another available exemption from registration under the Securities Act.</w:t>
      </w:r>
    </w:p>
    <w:p>
      <w:pPr>
        <w:sectPr>
          <w:pgSz w:w="11900" w:h="16838" w:orient="portrait"/>
          <w:cols w:equalWidth="0" w:num="1">
            <w:col w:w="10924"/>
          </w:cols>
          <w:pgMar w:left="436" w:top="266" w:right="539" w:bottom="1440" w:gutter="0" w:footer="0" w:header="0"/>
        </w:sectPr>
      </w:pPr>
    </w:p>
    <w:bookmarkStart w:id="206" w:name="page207"/>
    <w:bookmarkEnd w:id="206"/>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Signature</w:t>
            </w:r>
          </w:p>
        </w:tc>
      </w:tr>
      <w:tr>
        <w:trPr>
          <w:trHeight w:val="234"/>
        </w:trPr>
        <w:tc>
          <w:tcPr>
            <w:tcW w:w="716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 xml:space="preserve">                                        </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r>
    </w:tbl>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8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xml:space="preserve">                                        </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NOTICE: To be executed by</w:t>
            </w:r>
          </w:p>
        </w:tc>
      </w:tr>
      <w:tr>
        <w:trPr>
          <w:trHeight w:val="216"/>
        </w:trPr>
        <w:tc>
          <w:tcPr>
            <w:tcW w:w="2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 executive officer</w:t>
            </w:r>
          </w:p>
        </w:tc>
      </w:tr>
      <w:tr>
        <w:trPr>
          <w:trHeight w:val="216"/>
        </w:trPr>
        <w:tc>
          <w:tcPr>
            <w:tcW w:w="2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2340" w:type="dxa"/>
            <w:vAlign w:val="bottom"/>
          </w:tcPr>
          <w:p>
            <w:pPr>
              <w:spacing w:after="0"/>
              <w:rPr>
                <w:sz w:val="24"/>
                <w:szCs w:val="24"/>
                <w:color w:val="auto"/>
              </w:rPr>
            </w:pPr>
          </w:p>
        </w:tc>
        <w:tc>
          <w:tcPr>
            <w:tcW w:w="4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Signature Guarantee*:</w:t>
            </w:r>
          </w:p>
        </w:tc>
        <w:tc>
          <w:tcPr>
            <w:tcW w:w="3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207" w:name="page208"/>
    <w:bookmarkEnd w:id="20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9"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2920" w:type="dxa"/>
            <w:vAlign w:val="bottom"/>
            <w:gridSpan w:val="2"/>
            <w:vMerge w:val="continue"/>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2">
            <w:col w:w="5680" w:space="100"/>
            <w:col w:w="5240"/>
          </w:cols>
          <w:pgMar w:left="440" w:top="266" w:right="439" w:bottom="1440" w:gutter="0" w:footer="0" w:header="0"/>
          <w:type w:val="continuous"/>
        </w:sectPr>
      </w:pPr>
    </w:p>
    <w:bookmarkStart w:id="208" w:name="page209"/>
    <w:bookmarkEnd w:id="208"/>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2066 NOTE</w:t>
      </w:r>
    </w:p>
    <w:p>
      <w:pPr>
        <w:spacing w:after="0" w:line="2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ONLY</w:t>
      </w:r>
      <w:r>
        <w:rPr>
          <w:rFonts w:ascii="Times New Roman" w:cs="Times New Roman" w:eastAsia="Times New Roman" w:hAnsi="Times New Roman"/>
          <w:sz w:val="18"/>
          <w:szCs w:val="18"/>
          <w:color w:val="auto"/>
        </w:rPr>
        <w:t>]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ONE YEAR AFTER THE LATER OF THE ORIGINAL ISSUE DATE HEREOF AND THE LAST DATE ON WHICH HONEYWELL AEROSPACE INC.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2" w:lineRule="exact"/>
        <w:rPr>
          <w:sz w:val="20"/>
          <w:szCs w:val="20"/>
          <w:color w:val="auto"/>
        </w:rPr>
      </w:pPr>
    </w:p>
    <w:p>
      <w:pPr>
        <w:ind w:left="4" w:right="120" w:hanging="4"/>
        <w:spacing w:after="0" w:line="252" w:lineRule="auto"/>
        <w:tabs>
          <w:tab w:leader="none" w:pos="2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OFFERS AND SALES THAT OCCUR OUTSIDE THE UNITED STATES WITHIN THE MEANING OF REGULATION S UNDER THE SECURITIES ACT, OR (E) PURSUANT TO ANOTHER AVAILABLE EXEMPTION FROM THE REGISTRATION REQUIREMENTS OF THE SECURITIES ACT, SUBJECT TO THE ISSUER’S AND THE TRANSFER AGENT’S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88"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ONLY</w:t>
      </w:r>
      <w:r>
        <w:rPr>
          <w:rFonts w:ascii="Times New Roman" w:cs="Times New Roman" w:eastAsia="Times New Roman" w:hAnsi="Times New Roman"/>
          <w:sz w:val="18"/>
          <w:szCs w:val="18"/>
          <w:color w:val="auto"/>
        </w:rPr>
        <w:t>]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04"/>
          </w:cols>
          <w:pgMar w:left="436" w:top="266" w:right="459" w:bottom="1440" w:gutter="0" w:footer="0" w:header="0"/>
        </w:sectPr>
      </w:pPr>
    </w:p>
    <w:bookmarkStart w:id="209" w:name="page210"/>
    <w:bookmarkEnd w:id="20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 ONLY</w:t>
      </w:r>
      <w:r>
        <w:rPr>
          <w:rFonts w:ascii="Times New Roman" w:cs="Times New Roman" w:eastAsia="Times New Roman" w:hAnsi="Times New Roman"/>
          <w:sz w:val="18"/>
          <w:szCs w:val="18"/>
          <w:color w:val="auto"/>
        </w:rPr>
        <w:t>] [BY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440" w:top="270" w:right="459" w:bottom="1440" w:gutter="0" w:footer="0" w:header="0"/>
        </w:sectPr>
      </w:pPr>
    </w:p>
    <w:bookmarkStart w:id="210" w:name="page211"/>
    <w:bookmarkEnd w:id="210"/>
    <w:p>
      <w:pPr>
        <w:jc w:val="center"/>
        <w:ind w:righ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AEROSPACE INC.</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5.852% Senior Notes due 2066</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No.: [43849R AK1 (144A) /</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U43781 AK6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[US43849RAK14 (144A</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USU43781AK61 (Reg 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700" w:space="720"/>
            <w:col w:w="2600"/>
          </w:cols>
          <w:pgMar w:left="440" w:top="270" w:right="439" w:bottom="1440" w:gutter="0" w:footer="0" w:header="0"/>
          <w:type w:val="continuous"/>
        </w:sectPr>
      </w:pPr>
    </w:p>
    <w:p>
      <w:pPr>
        <w:spacing w:after="0" w:line="2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corporation under the Indenture described herein), for value received, hereby promises to pay to [        ] or its registered assigns, the principal sum of [        ] U.S. DOLLARS (U.S. $[        ]) on March 16, 2066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16 and September 16 of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on September 16,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2 and September 2 of each year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39"/>
          </w:cols>
          <w:pgMar w:left="1420" w:top="270" w:right="1440" w:bottom="1440" w:gutter="0" w:footer="0" w:header="0"/>
        </w:sectPr>
      </w:pPr>
    </w:p>
    <w:bookmarkStart w:id="212" w:name="page213"/>
    <w:bookmarkEnd w:id="21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440" w:top="270" w:right="599" w:bottom="1440" w:gutter="0" w:footer="0" w:header="0"/>
        </w:sectPr>
      </w:pPr>
    </w:p>
    <w:bookmarkStart w:id="213" w:name="page214"/>
    <w:bookmarkEnd w:id="21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5.852% Senior Notes due 2066</w:t>
      </w:r>
    </w:p>
    <w:p>
      <w:pPr>
        <w:spacing w:after="0" w:line="207" w:lineRule="exact"/>
        <w:rPr>
          <w:sz w:val="20"/>
          <w:szCs w:val="20"/>
          <w:color w:val="auto"/>
        </w:rPr>
      </w:pPr>
    </w:p>
    <w:p>
      <w:pPr>
        <w:ind w:left="620" w:hanging="184"/>
        <w:spacing w:after="0"/>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Honeywell Aerospace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sum of this Note semiannually in arrears on March 16 and September 16 of each year, commencing September 16, 2026 (each such date on which the Company is required to pay interest being referred to herein as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at the rate of 5.852% per annum from March 16, 2026,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March 2 or September 2 (each being referred to herein as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as the case may be, next preceding such Interest Payment Date.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commercial banks are authorized or required by law, regulation or executive order to close in New York, New York, United States.</w:t>
      </w:r>
    </w:p>
    <w:p>
      <w:pPr>
        <w:spacing w:after="0" w:line="19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Notes and at the same rate on overdue installments of interest (without regard to any applicable grace periods) to the extent lawful from the dates such amounts are due until such amounts are paid or made available for payment. All references to any amount of interest or any other amount payable on or with respect to the Notes shall be deemed to include payment of any interest payable as a consequence of the occurrence and continuation of a “Registration Default,” if applicable, as defined in the Registration Rights Agreement, dated as of March 16, 2026, among the Company, the Guarantor and the representatives of the initial purchasers with respect to the Initial Notes party thereto.</w:t>
      </w:r>
    </w:p>
    <w:p>
      <w:pPr>
        <w:spacing w:after="0" w:line="187" w:lineRule="exact"/>
        <w:rPr>
          <w:sz w:val="20"/>
          <w:szCs w:val="20"/>
          <w:color w:val="auto"/>
        </w:rPr>
      </w:pPr>
    </w:p>
    <w:p>
      <w:pPr>
        <w:ind w:left="620" w:hanging="184"/>
        <w:spacing w:after="0"/>
        <w:tabs>
          <w:tab w:leader="none" w:pos="6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Initially, Deutsche Bank Trust Company Americas will act as paying agent. The Company may change any paying agent without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w:t>
      </w:r>
    </w:p>
    <w:p>
      <w:pPr>
        <w:spacing w:after="0" w:line="207" w:lineRule="exact"/>
        <w:rPr>
          <w:sz w:val="20"/>
          <w:szCs w:val="20"/>
          <w:color w:val="auto"/>
        </w:rPr>
      </w:pPr>
    </w:p>
    <w:p>
      <w:pPr>
        <w:ind w:left="620" w:hanging="184"/>
        <w:spacing w:after="0"/>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one of the 5.852% Senior Notes due 2066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the Indenture, dated as of March 16, 2026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First Supplemental Indenture, dated as of March 16,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This Note is a “Security” and the Notes are “Securities” under the Indenture.</w:t>
      </w:r>
    </w:p>
    <w:p>
      <w:pPr>
        <w:sectPr>
          <w:pgSz w:w="11900" w:h="16838" w:orient="portrait"/>
          <w:cols w:equalWidth="0" w:num="1">
            <w:col w:w="11000"/>
          </w:cols>
          <w:pgMar w:left="440" w:top="270" w:right="459" w:bottom="1440" w:gutter="0" w:footer="0" w:header="0"/>
        </w:sectPr>
      </w:pPr>
    </w:p>
    <w:bookmarkStart w:id="214" w:name="page215"/>
    <w:bookmarkEnd w:id="214"/>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on which the Indenture is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183" w:lineRule="exact"/>
        <w:rPr>
          <w:sz w:val="20"/>
          <w:szCs w:val="20"/>
          <w:color w:val="auto"/>
        </w:rPr>
      </w:pPr>
    </w:p>
    <w:p>
      <w:pPr>
        <w:ind w:left="620" w:hanging="184"/>
        <w:spacing w:after="0"/>
        <w:tabs>
          <w:tab w:leader="none" w:pos="6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shall register the transfer or exchange of Notes in accordance with the Indenture. The Company may require a Holder, among other things, to furnish appropriate endorsements and transfer documents and to pay certain transfer taxes or similar governmental charges payable in connection therewith as permitted by the Indenture. The Company need not issue, authenticate, register the transfer of or exchange any Notes or portions thereof for a period of fifteen (15) days before the sending of a notice of redemption, nor need the Company register the transfer or exchange of any Note selected for redemption in whole or in part.</w:t>
      </w:r>
    </w:p>
    <w:p>
      <w:pPr>
        <w:spacing w:after="0" w:line="187" w:lineRule="exact"/>
        <w:rPr>
          <w:sz w:val="20"/>
          <w:szCs w:val="20"/>
          <w:color w:val="auto"/>
        </w:rPr>
      </w:pPr>
    </w:p>
    <w:p>
      <w:pPr>
        <w:ind w:left="620" w:hanging="184"/>
        <w:spacing w:after="0"/>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Notes may be amended, or default may be waived, with the consent of the Holders of a majority in principal amount of the outstanding Notes. Without notice to or the consent of any Holder, the Company and the Trustee may amend or supplement the Indenture or the Notes to, among other things, cure any ambiguity, defect or inconsistency.</w:t>
      </w:r>
    </w:p>
    <w:p>
      <w:pPr>
        <w:spacing w:after="0" w:line="176" w:lineRule="exact"/>
        <w:rPr>
          <w:sz w:val="20"/>
          <w:szCs w:val="20"/>
          <w:color w:val="auto"/>
        </w:rPr>
      </w:pPr>
    </w:p>
    <w:p>
      <w:pPr>
        <w:ind w:left="620" w:hanging="184"/>
        <w:spacing w:after="0"/>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The Notes are subject to optional redemption as further described in the Indenture. There is no sinking fund or mandatory redemption applicable to the Notes.</w:t>
      </w:r>
    </w:p>
    <w:p>
      <w:pPr>
        <w:spacing w:after="0" w:line="162" w:lineRule="exact"/>
        <w:rPr>
          <w:sz w:val="20"/>
          <w:szCs w:val="20"/>
          <w:color w:val="auto"/>
        </w:rPr>
      </w:pPr>
    </w:p>
    <w:p>
      <w:pPr>
        <w:ind w:left="620" w:hanging="184"/>
        <w:spacing w:after="0"/>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w:t>
      </w:r>
    </w:p>
    <w:p>
      <w:pPr>
        <w:sectPr>
          <w:pgSz w:w="11900" w:h="16838" w:orient="portrait"/>
          <w:cols w:equalWidth="0" w:num="1">
            <w:col w:w="10980"/>
          </w:cols>
          <w:pgMar w:left="440" w:top="270" w:right="479" w:bottom="1440" w:gutter="0" w:footer="0" w:header="0"/>
        </w:sectPr>
      </w:pPr>
    </w:p>
    <w:bookmarkStart w:id="215" w:name="page216"/>
    <w:bookmarkEnd w:id="21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w:t>
      </w:r>
    </w:p>
    <w:p>
      <w:pPr>
        <w:spacing w:after="0" w:line="192" w:lineRule="exact"/>
        <w:rPr>
          <w:sz w:val="20"/>
          <w:szCs w:val="20"/>
          <w:color w:val="auto"/>
        </w:rPr>
      </w:pPr>
    </w:p>
    <w:p>
      <w:pPr>
        <w:ind w:left="620" w:hanging="184"/>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signs the certificate of authentication on this Note by manual or PDF or other electronically imaged (such as DocuSign or Adobe Sign) signature.</w:t>
      </w:r>
    </w:p>
    <w:p>
      <w:pPr>
        <w:spacing w:after="0" w:line="162" w:lineRule="exact"/>
        <w:rPr>
          <w:sz w:val="20"/>
          <w:szCs w:val="20"/>
          <w:color w:val="auto"/>
        </w:rPr>
      </w:pPr>
    </w:p>
    <w:p>
      <w:pPr>
        <w:ind w:left="620" w:hanging="184"/>
        <w:spacing w:after="0"/>
        <w:tabs>
          <w:tab w:leader="none" w:pos="6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700" w:hanging="264"/>
        <w:spacing w:after="0"/>
        <w:tabs>
          <w:tab w:leader="none" w:pos="7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w:t>
      </w:r>
    </w:p>
    <w:p>
      <w:pPr>
        <w:sectPr>
          <w:pgSz w:w="11900" w:h="16838" w:orient="portrait"/>
          <w:cols w:equalWidth="0" w:num="1">
            <w:col w:w="11000"/>
          </w:cols>
          <w:pgMar w:left="440" w:top="270" w:right="45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Note on the books of the Issuer. The agent may substitute another to act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4"/>
                <w:szCs w:val="24"/>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8"/>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6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1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66" w:right="439" w:bottom="1440" w:gutter="0" w:footer="0" w:header="0"/>
        </w:sectPr>
      </w:pPr>
    </w:p>
    <w:bookmarkStart w:id="217" w:name="page218"/>
    <w:bookmarkEnd w:id="217"/>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REGISTRATION OF TRANSFERS OF TRANSFER RESTRICTED NOTES</w:t>
      </w:r>
    </w:p>
    <w:p>
      <w:pPr>
        <w:spacing w:after="0" w:line="207"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-185420</wp:posOffset>
            </wp:positionV>
            <wp:extent cx="4572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-185420</wp:posOffset>
            </wp:positionV>
            <wp:extent cx="4572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-185420</wp:posOffset>
            </wp:positionV>
            <wp:extent cx="4572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252" w:lineRule="exact"/>
        <w:rPr>
          <w:sz w:val="20"/>
          <w:szCs w:val="20"/>
          <w:color w:val="auto"/>
        </w:rPr>
      </w:pPr>
    </w:p>
    <w:p>
      <w:pPr>
        <w:ind w:left="424" w:right="40" w:hanging="424"/>
        <w:spacing w:after="0" w:line="266" w:lineRule="auto"/>
        <w:tabs>
          <w:tab w:leader="none" w:pos="424" w:val="left"/>
        </w:tabs>
        <w:numPr>
          <w:ilvl w:val="0"/>
          <w:numId w:val="2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202" w:lineRule="exact"/>
        <w:rPr>
          <w:rFonts w:ascii="MS PGothic" w:cs="MS PGothic" w:eastAsia="MS PGothic" w:hAnsi="MS PGothic"/>
          <w:sz w:val="18"/>
          <w:szCs w:val="18"/>
          <w:color w:val="auto"/>
        </w:rPr>
      </w:pPr>
    </w:p>
    <w:p>
      <w:pPr>
        <w:ind w:left="424" w:hanging="424"/>
        <w:spacing w:after="0"/>
        <w:tabs>
          <w:tab w:leader="none" w:pos="424" w:val="left"/>
        </w:tabs>
        <w:numPr>
          <w:ilvl w:val="0"/>
          <w:numId w:val="2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211" w:lineRule="exact"/>
        <w:rPr>
          <w:sz w:val="20"/>
          <w:szCs w:val="20"/>
          <w:color w:val="auto"/>
        </w:rPr>
      </w:pPr>
    </w:p>
    <w:p>
      <w:pPr>
        <w:ind w:left="424" w:hanging="424"/>
        <w:spacing w:after="0" w:line="207"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the Company or subsidiary thereof;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Security Registrar for registration in the name of the Holder, without transfer;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w:t>
      </w:r>
    </w:p>
    <w:p>
      <w:pPr>
        <w:spacing w:after="0" w:line="265" w:lineRule="exact"/>
        <w:rPr>
          <w:rFonts w:ascii="Times New Roman" w:cs="Times New Roman" w:eastAsia="Times New Roman" w:hAnsi="Times New Roman"/>
          <w:sz w:val="18"/>
          <w:szCs w:val="18"/>
          <w:color w:val="auto"/>
        </w:rPr>
      </w:pPr>
    </w:p>
    <w:p>
      <w:pPr>
        <w:ind w:left="964" w:right="60" w:hanging="964"/>
        <w:spacing w:after="0" w:line="222"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that purchases for its own account or for the account of a qualified institutional buyer and to whom notice is given that such transfer is being made in reliance on Rule 144A, in each case pursuant to and in compliance with Rule 144A; or</w:t>
      </w:r>
    </w:p>
    <w:p>
      <w:pPr>
        <w:spacing w:after="0" w:line="239" w:lineRule="exact"/>
        <w:rPr>
          <w:rFonts w:ascii="Times New Roman" w:cs="Times New Roman" w:eastAsia="Times New Roman" w:hAnsi="Times New Roman"/>
          <w:sz w:val="18"/>
          <w:szCs w:val="18"/>
          <w:color w:val="auto"/>
        </w:rPr>
      </w:pPr>
    </w:p>
    <w:p>
      <w:pPr>
        <w:ind w:left="964" w:hanging="964"/>
        <w:spacing w:after="0" w:line="222"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offers and sales to non-U.S. persons that occur outside the United States of America within the meaning of Regulation S under the Securities Act (and if the transfer is being made prior to the expiration of the Distribution Compliance Period, the Notes shall be held immediately thereafter through Euroclear or Clearstream); or</w:t>
      </w:r>
    </w:p>
    <w:p>
      <w:pPr>
        <w:spacing w:after="0" w:line="239"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Rule 144 under the Securities Act; or</w:t>
      </w:r>
    </w:p>
    <w:p>
      <w:pPr>
        <w:spacing w:after="0" w:line="265"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another available exemption from registration under the Securities Act.</w:t>
      </w:r>
    </w:p>
    <w:p>
      <w:pPr>
        <w:sectPr>
          <w:pgSz w:w="11900" w:h="16838" w:orient="portrait"/>
          <w:cols w:equalWidth="0" w:num="1">
            <w:col w:w="10924"/>
          </w:cols>
          <w:pgMar w:left="436" w:top="266" w:right="539" w:bottom="1440" w:gutter="0" w:footer="0" w:header="0"/>
        </w:sectPr>
      </w:pPr>
    </w:p>
    <w:bookmarkStart w:id="218" w:name="page219"/>
    <w:bookmarkEnd w:id="218"/>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one of the boxes is checked, the Transfer Agent will refuse to register any of the Notes evidenced by this certificate in the name of any Person other than the registered Holder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box (6) or (7) is checked, the Company or the Transfer Agent may require, prior to registering any such transfer of the Notes, such legal opinions, certifications and other information as the Company or the Transfer Agent has reasonably requested to confirm that such transfer is being made pursuant to an exemption from, or in a transaction not subject to, the registration requirements of the Securities Act.</w:t>
      </w:r>
    </w:p>
    <w:p>
      <w:pPr>
        <w:spacing w:after="0" w:line="21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Signature</w:t>
            </w:r>
          </w:p>
        </w:tc>
      </w:tr>
      <w:tr>
        <w:trPr>
          <w:trHeight w:val="234"/>
        </w:trPr>
        <w:tc>
          <w:tcPr>
            <w:tcW w:w="716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 xml:space="preserve">                                        </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r>
    </w:tbl>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8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xml:space="preserve">                                        </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NOTICE: To be executed by</w:t>
            </w:r>
          </w:p>
        </w:tc>
      </w:tr>
      <w:tr>
        <w:trPr>
          <w:trHeight w:val="216"/>
        </w:trPr>
        <w:tc>
          <w:tcPr>
            <w:tcW w:w="2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 executive officer</w:t>
            </w:r>
          </w:p>
        </w:tc>
      </w:tr>
      <w:tr>
        <w:trPr>
          <w:trHeight w:val="216"/>
        </w:trPr>
        <w:tc>
          <w:tcPr>
            <w:tcW w:w="2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2340" w:type="dxa"/>
            <w:vAlign w:val="bottom"/>
          </w:tcPr>
          <w:p>
            <w:pPr>
              <w:spacing w:after="0"/>
              <w:rPr>
                <w:sz w:val="24"/>
                <w:szCs w:val="24"/>
                <w:color w:val="auto"/>
              </w:rPr>
            </w:pPr>
          </w:p>
        </w:tc>
        <w:tc>
          <w:tcPr>
            <w:tcW w:w="4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Signature Guarantee*:</w:t>
            </w:r>
          </w:p>
        </w:tc>
        <w:tc>
          <w:tcPr>
            <w:tcW w:w="3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ectPr>
          <w:pgSz w:w="11900" w:h="16838" w:orient="portrait"/>
          <w:cols w:equalWidth="0" w:num="1">
            <w:col w:w="11024"/>
          </w:cols>
          <w:pgMar w:left="436" w:top="270" w:right="439" w:bottom="1440" w:gutter="0" w:footer="0" w:header="0"/>
        </w:sectPr>
      </w:pPr>
    </w:p>
    <w:bookmarkStart w:id="219" w:name="page220"/>
    <w:bookmarkEnd w:id="2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Notes or a part of another Global Note have been made:</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9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96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0" w:type="dxa"/>
            <w:vAlign w:val="bottom"/>
          </w:tcPr>
          <w:p>
            <w:pPr>
              <w:spacing w:after="0"/>
              <w:rPr>
                <w:sz w:val="1"/>
                <w:szCs w:val="1"/>
                <w:color w:val="auto"/>
              </w:rPr>
            </w:pPr>
          </w:p>
        </w:tc>
      </w:tr>
      <w:tr>
        <w:trPr>
          <w:trHeight w:val="148"/>
        </w:trPr>
        <w:tc>
          <w:tcPr>
            <w:tcW w:w="2920" w:type="dxa"/>
            <w:vAlign w:val="bottom"/>
            <w:gridSpan w:val="2"/>
            <w:vMerge w:val="continue"/>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0" w:type="dxa"/>
            <w:vAlign w:val="bottom"/>
          </w:tcPr>
          <w:p>
            <w:pPr>
              <w:spacing w:after="0"/>
              <w:rPr>
                <w:sz w:val="1"/>
                <w:szCs w:val="1"/>
                <w:color w:val="auto"/>
              </w:rPr>
            </w:pPr>
          </w:p>
        </w:tc>
      </w:tr>
      <w:tr>
        <w:trPr>
          <w:trHeight w:val="148"/>
        </w:trPr>
        <w:tc>
          <w:tcPr>
            <w:tcW w:w="2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bl>
    <w:p>
      <w:pPr>
        <w:sectPr>
          <w:pgSz w:w="11900" w:h="16838" w:orient="portrait"/>
          <w:cols w:equalWidth="0" w:num="2">
            <w:col w:w="5680" w:space="100"/>
            <w:col w:w="5240"/>
          </w:cols>
          <w:pgMar w:left="440" w:top="266" w:right="439" w:bottom="1440" w:gutter="0" w:footer="0" w:header="0"/>
          <w:type w:val="continuous"/>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 favor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HOLDERS,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as Trustee for the Holders of the Notes Specified Below of</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$1,250,000,000 3.900% Senior Notes due 2028</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$1,250,000,000 4.000% Senior Notes due 2029</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$500,000,000 Floating Rate Senior Notes due 2029</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$2,000,000,000 4.300% Senior Notes due 2031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$1,750,000,000 4.600% Senior Notes due 2033</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$3,250,000,000 4.950% Senior Notes due 2036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$1,000,000,000 5.622% Senior Notes due 2046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$3,500,000,000 5.732% Senior Notes due 2056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$1,500,000,000 5.852% Senior Notes due 2066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March 16, 2026</w:t>
      </w:r>
    </w:p>
    <w:p>
      <w:pPr>
        <w:sectPr>
          <w:pgSz w:w="11900" w:h="16838" w:orient="portrait"/>
          <w:cols w:equalWidth="0" w:num="1">
            <w:col w:w="10020"/>
          </w:cols>
          <w:pgMar w:left="1440" w:top="117" w:right="439" w:bottom="1440" w:gutter="0" w:footer="0" w:header="0"/>
        </w:sectPr>
      </w:pPr>
    </w:p>
    <w:bookmarkStart w:id="221" w:name="page222"/>
    <w:bookmarkEnd w:id="221"/>
    <w:p>
      <w:pPr>
        <w:ind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 AGREEMENT, dated as of March 16, 2026 (as amended from time to time, this “</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made by Honeywell International Inc., a Delaware corporation (the “</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in favor of (a) the Holders (as defined in the Indenture (as defined below)) the following securities of Honeywell Aerospace Inc., a Delaware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$1,250,000,000 aggregate principal amount of 3.900% Senior Notes due 2028, $1,250,000,000 aggregate principal amount of 4.000% Senior Notes due 2029, $500,000,000 aggregate principal amount of Floating Rate Senior Notes due 2029, $2,000,000,000 aggregate principal amount of 4.300% Senior Notes due 2031, $1,750,000,000 aggregate principal amount of 4.600% Senior Notes due 2033, $3,250,000,000 aggregate principal amount of 4.950% Senior Notes due 2036, $1,000,000,000 aggregate principal amount of</w:t>
      </w:r>
    </w:p>
    <w:p>
      <w:pPr>
        <w:spacing w:after="0" w:line="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5.622% Senior Notes due 2046, $3,500,000,000 aggregate principal amount of 5.732% Senior Notes due 2056 and $1,500,000,000 aggregate principal amount of 5.852% Senior Notes due 2066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(b) the Issuer and (c) Deutsche Bank Trust Company Americas, a New York banking corporation,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under the Indenture.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Guarantee.</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Guarantor hereby irrevocably and unconditionally guarantees, as a primary obligor and not merely as a surety, to the Holders from time to time of the Notes the full and punctual payment of the principal of, premium, if any, and interest on each series of Notes, when and as the same become due and payable, whether at stated maturity, upon redemption, by declaration of acceleration or otherwise, as well as all other obligations of the Issuer to the Holders and the Trustee under the Indenture (as defined below) or the Notes and any other amounts due and owing under the Indenture (the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according to the terms of the Notes and as set forth in the Indenture dated as of March 16, 2026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Issuer and the Trustee, as supplemented by the first supplemental indenture thereto, dated as of March 16, 2026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the Base Indenture and the First Supplemental Indenture, as each may be amended, modified or otherwise supplemented from time to time after the date hereof with applicability to the Notes,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Issuer and the Trustee, and the Notes, in each case subject to any applicable grace period or notice requirement or both. The guarantee hereunder constitutes a guarantee of payment when due (whether or not any bankruptcy, insolvency, receivership or other similar proceeding shall have stayed the accrual or collection of any of the Obligations or operated as a discharge thereof) and not merely of collection.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Guarantee Absolute.</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Guarantor guarantees that the Obligations will be paid strictly in accordance with the terms of the Indenture and the Notes, regardless of any law, regulation or order now or hereafter in effect in any jurisdiction affecting any of such terms or the rights of Holders of the Notes with respect thereto. The liability of the Guarantor under this Guarantee shall (subject to Section 3 hereof) be absolute and unconditional irrespective of:</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any invalidity, illegality or unenforceability of the Indenture, the Notes or any other agreement or instrument relating thereto;</w:t>
      </w:r>
    </w:p>
    <w:p>
      <w:pPr>
        <w:sectPr>
          <w:pgSz w:w="11900" w:h="16838" w:orient="portrait"/>
          <w:cols w:equalWidth="0" w:num="1">
            <w:col w:w="10980"/>
          </w:cols>
          <w:pgMar w:left="440" w:top="266" w:right="479" w:bottom="1440" w:gutter="0" w:footer="0" w:header="0"/>
        </w:sectPr>
      </w:pPr>
    </w:p>
    <w:bookmarkStart w:id="222" w:name="page223"/>
    <w:bookmarkEnd w:id="222"/>
    <w:p>
      <w:pPr>
        <w:ind w:right="160" w:firstLine="987"/>
        <w:spacing w:after="0" w:line="282"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 in the time, manner or place of payment of, or in any other term of, all or any of the Obligations, or any other amendment or waiver of or any consent to departure from the Indenture; or</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The obligation of the Guarantor to make any payment hereunder may be satisfied by causing the Issuer to make such payment. The Guarantor indemnifies the Trustee, jointly and severally with the Issuer to the same extent as the Issuer’s indemnity for the Trustee in Section 6.07 of the Indenture, which is incorporated herein as if fully set forth herein. Notwithstanding anything contained herein to the contrary, nothing shall be construed to impose upon the Guarantor any obligations greater than, in addition to, or other than, the obligations of the Issuer under the Indenture and the Notes.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 Termination of Guarantee.</w:t>
      </w:r>
    </w:p>
    <w:p>
      <w:pPr>
        <w:spacing w:after="0" w:line="117" w:lineRule="exact"/>
        <w:rPr>
          <w:sz w:val="20"/>
          <w:szCs w:val="20"/>
          <w:color w:val="auto"/>
        </w:rPr>
      </w:pPr>
    </w:p>
    <w:p>
      <w:pPr>
        <w:ind w:right="120" w:firstLine="987"/>
        <w:spacing w:after="0" w:line="282" w:lineRule="auto"/>
        <w:tabs>
          <w:tab w:leader="none" w:pos="12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3(b) hereof, this Guarantee shall terminate, and the obligations of the Guarantor under this Guarantee shall cease to exist, with respect to a particular series of Notes, upon payment in full of the Obligations with respect to such series of Notes.</w:t>
      </w:r>
    </w:p>
    <w:p>
      <w:pPr>
        <w:spacing w:after="0" w:line="53"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Section 3(a) hereof, this Guarantee shall automatically and unconditionally terminate, and all obligations of the Guarantor under this Guarantee shall cease to exist, upon the distribution by the Guarantor to its stockholders of all of the shares of common stock of the Issuer (the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Upon the satisfaction of the conditions in the immediately preceding sentence, this Guarantee shall be deemed terminated, without any action on the part of the Trustee or any Holder of the Notes; provided, however, that upon delivery by the Issuer or the Guarantor to the Trustee of an officer’s certificate to the effect that such conditions have been satisfied, the Trustee shall execute any documents reasonably requested by the Issuer or the Guarantor to evidence such termination.</w:t>
      </w:r>
    </w:p>
    <w:p>
      <w:pPr>
        <w:spacing w:after="0" w:line="79"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including Sections 3(a) and 3(b) hereof, the Guarantor shall remain liable for any obligations with respect to a particular series of Notes that have become due and payable by the Guarantor pursuant to this Guarantee prior to the effective date of termination of this Guarantee with respect to such series of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Waiver; Subrogation.</w:t>
      </w:r>
    </w:p>
    <w:p>
      <w:pPr>
        <w:spacing w:after="0" w:line="117" w:lineRule="exact"/>
        <w:rPr>
          <w:sz w:val="20"/>
          <w:szCs w:val="20"/>
          <w:color w:val="auto"/>
        </w:rPr>
      </w:pPr>
    </w:p>
    <w:p>
      <w:pPr>
        <w:jc w:val="both"/>
        <w:ind w:right="40" w:firstLine="987"/>
        <w:spacing w:after="0" w:line="266" w:lineRule="auto"/>
        <w:tabs>
          <w:tab w:leader="none" w:pos="12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Notes or the indebtedness evidenced thereby and all demands whatsoever.</w:t>
      </w:r>
    </w:p>
    <w:p>
      <w:pPr>
        <w:spacing w:after="0" w:line="67"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shall be subrogated to all rights of the Trustee or the Holders of any Notes against the Issuer in respect of any amounts paid to the Trustee or such Holder by the Guarantor pursuant to the provisions of this Guarantee;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Guarantor shall not be entitled to enforce, or to receive any payments arising out of, or based upon, such right of subrogation until all Obligations shall have been paid in full to the Trustee and the 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23" w:name="page224"/>
    <w:bookmarkEnd w:id="2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No Waiver; Remedies.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No failure on the part of the Trustee or any Holder of any series of Notes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 Transfer of Interest.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This Guarantee shall be binding upon the Guarantor, its successors and assigns, and shall inure to the benefit of and be enforceable by any Holder of Notes, the Trustee, and by their respective successors, transferees and assigns, pursuant to the terms hereof. This Guarantee shall not be deemed to create any right in, or to be in whole or in part for the benefit of any 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 Amendment.</w:t>
      </w:r>
    </w:p>
    <w:p>
      <w:pPr>
        <w:spacing w:after="0" w:line="225"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Guarantor may without the consent of the Trustee or any Holder of Notes of any series amend this Guarantee at any time to register the Guarantee under the Securities Act of 1933, as amended, to qualify the Guarantee under the TIA (as defined below), in accordance with the Indenture or for any other purpose;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amendment for such other purpose adversely affects the rights of the Trustee or any Holder of any series of Notes in any material respect, the prior written consent of the Trustee or each Holder affected, as the case may be, shall be required. The Trustee shall be entitled to conclusively rely (without liability and without independent investigation) on an officer’s certificate and opinion of counsel as conclusive evidence that such amendment complies with the applicable provisions of the Indenture and this Guarantee.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8. Governing Law.</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 WITHOUT REGARD TO ANY CONFLICT OF LAWS PROVISIONS THEREOF THAT WOULD RESULT IN THE APPLICATION OF THE LAWS OF ANY OTHER JURISDICTION.</w:t>
      </w:r>
    </w:p>
    <w:p>
      <w:pPr>
        <w:spacing w:after="0" w:line="176" w:lineRule="exact"/>
        <w:rPr>
          <w:sz w:val="20"/>
          <w:szCs w:val="20"/>
          <w:color w:val="auto"/>
        </w:rPr>
      </w:pPr>
    </w:p>
    <w:p>
      <w:pPr>
        <w:jc w:val="both"/>
        <w:ind w:right="160" w:firstLine="991"/>
        <w:spacing w:after="0" w:line="289" w:lineRule="auto"/>
        <w:rPr>
          <w:sz w:val="20"/>
          <w:szCs w:val="20"/>
          <w:color w:val="auto"/>
        </w:rPr>
      </w:pPr>
      <w:r>
        <w:rPr>
          <w:rFonts w:ascii="Times New Roman" w:cs="Times New Roman" w:eastAsia="Times New Roman" w:hAnsi="Times New Roman"/>
          <w:sz w:val="17"/>
          <w:szCs w:val="17"/>
          <w:color w:val="auto"/>
        </w:rPr>
        <w:t>EACH OF THE GUARANTOR AND THE TRUSTEE BY ITS ACCEPTANCE THEREOF, HEREBY IRREVOCABLY WAIVES, TO THE FULLEST EXTENT PERMITTED BY APPLICABLE LAW, ANY AND ALL RIGHT TO TRIAL BY JURY IN ANY LEGAL PROCEEDING ARISING OUT OF OR RELATING TO THIS GUARANTEE, THE NOTES OR THE TRANSACTIONS CONTEMPLATED THEREBY.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24" w:name="page225"/>
    <w:bookmarkEnd w:id="2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 No Recourse Against Others.</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 director, officer, employee, stockholder, partner or other owner of the Guarantor, as such, shall not have any liability for any obligations of the Guarantor under this Guarantee or for any claim based on, in respect of or by reason of such obligations or their creation.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 Reports by Guarantor.</w:t>
      </w:r>
    </w:p>
    <w:p>
      <w:pPr>
        <w:spacing w:after="0" w:line="2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Guarantor shall file with the Trustee and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and transmit to Holders, such information, documents and other reports, and such summaries thereof, as may be required pursuant to the Trust Indenture Act of 1939, as amended, as then in effect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xml:space="preserve">”), at the times and in the manner provided pursuant to the TIA;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information, documents or reports required to be filed with the Commission pursuant to Section 13 or 15(d) of the Securities Exchange Act of 1934, as amended, shall be filed with the Trustee within 15 days after the same is so filed with the Commission. The Guarantor shall be deemed to have complied with the previous sentence to the extent that such information, documents and reports are filed with the Commission via EDGAR (or any successor electronic delivery procedure);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Trustee shall have no obligation to determine whether or not such information, documents or reports have been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EDGAR system (or its successor).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 Separability.</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In case any provision in this Guarantee shall be invalid, illegal or unenforceable, the validity, legality and enforceability of the remaining provisions hereof shall not in any way be affected or impaired thereby, it being intended that all of the provisions hereof shall be enforceable to the full extent permitted by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12. Headings.</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The section headings of this Guarantee have been inserted for convenience of reference only, are not to be considered a part of this Guarantee and shall in no way modify or restrict any of the terms or provisions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13. Notices, Etc., to the Guarantor.</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(as defined in the Indenture) of Holders or other document provided or permitted by this Guarantee to be made upon, given or furnished to, or filed with, the Guarantor by the Trustee or by any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 855 South Mint Street, Charlotte, NC 28202, Attention: Thilo Huber, Vice President and Treasurer, Email: corporate.finance@honeywell.com. Where this Guarantee provides for notice to the Trustee, such notice shall be sufficient for every purpose hereunder (unless otherwise herein expressly provided) if in writing and mailed by first-class mail, via facsimile, or by PDF attachment to electronic transmission to the Trustee at 1 Columbus Circle, Trust and Securities Services, 4th Floor, Mail stop: NYC01-0417, New York, NY 10019, USA, facsimile: +1-732-578-</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25" w:name="page226"/>
    <w:bookmarkEnd w:id="22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4635 , Attention: Corporates Team, AA8810. Each party may, in its discretion, agree to accept notices and other communications delivered or furnished to it hereunder by electronic communication pursuant to procedures approved by them, respectively, provided that approval of such procedures may be limited to particular notices or communications. Any such notices and other communications furnished by electronic communication shall be in the form of attachments in .pdf format.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14. Counterparts.</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This Guarantee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Facsimile, documents executed, scanned and transmitted electronically and electronic signatures, including those created or transmitted through a software platform or application, shall be deemed original signatures for purposes of this Guarantee and all Notes and all matters and agreements related thereto, with such facsimile, scanned and electronic signatures having the same legal effect as original signatures. The parties agree that this Guarantee or any Note or any instrument, agreement or document necessary for the consummation of the transactions contemplated by this Guarantee or the Notes or related hereto or thereto (including, without limitation, addendums, amendments, notices, instructions, communications with respect to the delivery of securities or the wire transfer of funds or other communications) (“</w:t>
      </w:r>
      <w:r>
        <w:rPr>
          <w:rFonts w:ascii="Times New Roman" w:cs="Times New Roman" w:eastAsia="Times New Roman" w:hAnsi="Times New Roman"/>
          <w:sz w:val="17"/>
          <w:szCs w:val="17"/>
          <w:b w:val="1"/>
          <w:bCs w:val="1"/>
          <w:color w:val="auto"/>
        </w:rPr>
        <w:t>Executed Documentation</w:t>
      </w:r>
      <w:r>
        <w:rPr>
          <w:rFonts w:ascii="Times New Roman" w:cs="Times New Roman" w:eastAsia="Times New Roman" w:hAnsi="Times New Roman"/>
          <w:sz w:val="17"/>
          <w:szCs w:val="17"/>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w:t>
      </w:r>
    </w:p>
    <w:p>
      <w:pPr>
        <w:spacing w:after="0" w:line="1" w:lineRule="exact"/>
        <w:rPr>
          <w:sz w:val="20"/>
          <w:szCs w:val="20"/>
          <w:color w:val="auto"/>
        </w:rPr>
      </w:pPr>
    </w:p>
    <w:p>
      <w:pPr>
        <w:ind w:left="4" w:right="100" w:hanging="4"/>
        <w:spacing w:after="0" w:line="252" w:lineRule="auto"/>
        <w:tabs>
          <w:tab w:leader="none" w:pos="24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party has been sent by an authorized officer of such party.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 Trustee Disclaimer.</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Trustee makes no representation as to the validity, adequacy or sufficiency of this Guarantee. The recitals and statements herein are deemed to be those of the Guarantor and not the Trustee and the Trustee assumes no responsibility for the same and the Trustee does not make any representation with respect to such matters. The Trustee shall have all of the rights (including indemnification rights), powers, benefits, privileges, protections, indemnities, limitations on liability and immunities granted to the Trustee under the Indenture, all of which are incorporated herein mutatis mutandis.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16. Sanctions.</w:t>
      </w:r>
    </w:p>
    <w:p>
      <w:pPr>
        <w:spacing w:after="0" w:line="225" w:lineRule="exact"/>
        <w:rPr>
          <w:sz w:val="20"/>
          <w:szCs w:val="20"/>
          <w:color w:val="auto"/>
        </w:rPr>
      </w:pPr>
    </w:p>
    <w:p>
      <w:pPr>
        <w:ind w:right="60" w:firstLine="987"/>
        <w:spacing w:after="0" w:line="254"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Guarantor nor its Subsidiaries (as defined in the Indenture) shall use, and the Guarantor shall use commercially reasonable efforts to procure that it and its Subsidiaries’ respective directors, officers and employees, in each case when acting on behalf of the Company or its Subsidiaries shall not use, the proceeds of any Notes (i) in furtherance of a corrupt offer, payment, promise to pay, or authorization of the payment or giving of money, or anything else of material value, to any Person (as defined in the Indenture) in a manner which constitutes (x) a violation of the Bribery Act, (y) a violation of the FCPA or (z) a material violation of any other Anti-Corruption Laws, (ii) for the purpose of funding or financing any activities, business or transaction of or with any Sanctioned Person, or in any Sanctioned Country (unless such activity, business or transaction would not result in a violation of applicable Sanctions by any party hereto), or (iii) in any manner that would result in the violation of any Sanctions applicable to any party hereto.</w:t>
      </w:r>
    </w:p>
    <w:p>
      <w:pPr>
        <w:spacing w:after="0" w:line="83" w:lineRule="exact"/>
        <w:rPr>
          <w:rFonts w:ascii="Times New Roman" w:cs="Times New Roman" w:eastAsia="Times New Roman" w:hAnsi="Times New Roman"/>
          <w:sz w:val="18"/>
          <w:szCs w:val="18"/>
          <w:color w:val="auto"/>
        </w:rPr>
      </w:pPr>
    </w:p>
    <w:p>
      <w:pPr>
        <w:jc w:val="both"/>
        <w:ind w:right="260" w:firstLine="987"/>
        <w:spacing w:after="0" w:line="289" w:lineRule="auto"/>
        <w:tabs>
          <w:tab w:leader="none" w:pos="1246"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represents and warrants that it has implemented and maintains in effect policies and procedures designed to promote compliance by the Guarantor and its Subsidiaries with applicable Sanctions, and the Guarantor and its Subsidiaries are in compliance with applicable Sanctions in all material respects. None of the Guarantor, its Subsidiaries, or any of their respective officers or directors are Sanctioned Persons.</w:t>
      </w:r>
    </w:p>
    <w:p>
      <w:pPr>
        <w:spacing w:after="0" w:line="45" w:lineRule="exact"/>
        <w:rPr>
          <w:rFonts w:ascii="Times New Roman" w:cs="Times New Roman" w:eastAsia="Times New Roman" w:hAnsi="Times New Roman"/>
          <w:sz w:val="17"/>
          <w:szCs w:val="17"/>
          <w:color w:val="auto"/>
        </w:rPr>
      </w:pPr>
    </w:p>
    <w:p>
      <w:pPr>
        <w:ind w:firstLine="987"/>
        <w:spacing w:after="0" w:line="254"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the target of any comprehensive (but not list based) Sanctions that broadly prohibit dealings with such country, region or territory (as of the date of this Agreement, Cuba, Iran, North Korea, the Crimea, the so-called Donetsk People’s Republic, the so-called Luhansk People’s Republic regions of Ukraine and non-government controlled areas of the Zaporizhzhia and Kherson regions of Ukraine).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or by the United Nations Security Council, His Majesty’s Treasury of the United Kingdom, Canada, the European Union or any EU member state, (b) any Person located, organized or resident in a Sanctioned Country to the extent such Person is subject to Sanctions or (c) any Person controlled or more than</w:t>
      </w: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percent owned by any such Person.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Canada, the European Union or His Majesty’s Treasury of the United Kingdom. “</w:t>
      </w:r>
      <w:r>
        <w:rPr>
          <w:rFonts w:ascii="Times New Roman" w:cs="Times New Roman" w:eastAsia="Times New Roman" w:hAnsi="Times New Roman"/>
          <w:sz w:val="18"/>
          <w:szCs w:val="18"/>
          <w:b w:val="1"/>
          <w:bCs w:val="1"/>
          <w:color w:val="auto"/>
        </w:rPr>
        <w:t>Bribery Act</w:t>
      </w:r>
      <w:r>
        <w:rPr>
          <w:rFonts w:ascii="Times New Roman" w:cs="Times New Roman" w:eastAsia="Times New Roman" w:hAnsi="Times New Roman"/>
          <w:sz w:val="18"/>
          <w:szCs w:val="18"/>
          <w:color w:val="auto"/>
        </w:rPr>
        <w:t>” means the United Kingdom Bribery Act of 2010.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United States Foreign Corrupt Practices Act of 1977.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anti-bribery or anti-corruption laws and government rules and regulations of any jurisdiction applicable to the Guarantor or its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27" w:name="page228"/>
    <w:bookmarkEnd w:id="22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Guarantee Agreement</w:t>
      </w:r>
      <w:r>
        <w:rPr>
          <w:rFonts w:ascii="Times New Roman" w:cs="Times New Roman" w:eastAsia="Times New Roman" w:hAnsi="Times New Roman"/>
          <w:sz w:val="18"/>
          <w:szCs w:val="18"/>
          <w:color w:val="auto"/>
        </w:rPr>
        <w:t>]</w:t>
      </w:r>
    </w:p>
    <w:p>
      <w:pPr>
        <w:sectPr>
          <w:pgSz w:w="11900" w:h="16838" w:orient="portrait"/>
          <w:cols w:equalWidth="0" w:num="1">
            <w:col w:w="10420"/>
          </w:cols>
          <w:pgMar w:left="440" w:top="270" w:right="10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Treasurer and Director</w:t>
      </w:r>
    </w:p>
    <w:p>
      <w:pPr>
        <w:spacing w:after="0" w:line="20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Guarantee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under the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Denise Kellerk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Denise Kellerk</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Guarantee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This REGISTRATION RIGHTS AGREEMENT, dated March 16,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Morgan Stanley &amp; Co. LLC and Goldman Sachs &amp; Co. LLC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as representatives of the initial purchasers named in Schedules I-A and I-B of the Purchase Agreement (as defined below) (such purchasers, together with the Representatives, the “</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to the Purchase Agreement, dated March 10,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which (i) the Company issued and sold to the New Money Purchasers (as defined therein) an aggregate of $10,000,000,000 principal amount of Senior Notes, comprised of $1,250,000,000 principal amount of 3.900%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$1,250,000,000 principal amount of 4.000% Senior Notes due 2029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$500,000,000 principal amount of Floating Rate Senior Notes due 2029 (the “</w:t>
      </w:r>
      <w:r>
        <w:rPr>
          <w:rFonts w:ascii="Times New Roman" w:cs="Times New Roman" w:eastAsia="Times New Roman" w:hAnsi="Times New Roman"/>
          <w:sz w:val="18"/>
          <w:szCs w:val="18"/>
          <w:u w:val="single" w:color="auto"/>
          <w:color w:val="auto"/>
        </w:rPr>
        <w:t>2029 Floating Rate Notes</w:t>
      </w:r>
      <w:r>
        <w:rPr>
          <w:rFonts w:ascii="Times New Roman" w:cs="Times New Roman" w:eastAsia="Times New Roman" w:hAnsi="Times New Roman"/>
          <w:sz w:val="18"/>
          <w:szCs w:val="18"/>
          <w:color w:val="auto"/>
        </w:rPr>
        <w:t>”), $2,000,000,000 principal amount of 4.300%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$1,750,000,000 principal amount of 4.600% Senior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and $3,250,000,000 principal amount of 4.950%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together with the 2028 Notes, the 2029 Notes, the 2029 Floating Rate Notes, the 2031 Notes and the 2033 Notes, the “</w:t>
      </w:r>
      <w:r>
        <w:rPr>
          <w:rFonts w:ascii="Times New Roman" w:cs="Times New Roman" w:eastAsia="Times New Roman" w:hAnsi="Times New Roman"/>
          <w:sz w:val="18"/>
          <w:szCs w:val="18"/>
          <w:u w:val="single" w:color="auto"/>
          <w:color w:val="auto"/>
        </w:rPr>
        <w:t>New Money Notes</w:t>
      </w:r>
      <w:r>
        <w:rPr>
          <w:rFonts w:ascii="Times New Roman" w:cs="Times New Roman" w:eastAsia="Times New Roman" w:hAnsi="Times New Roman"/>
          <w:sz w:val="18"/>
          <w:szCs w:val="18"/>
          <w:color w:val="auto"/>
        </w:rPr>
        <w:t>”), and (ii) the Selling Securityholders (as defined therein) sold to Exchange Notes Purchasers (as defined therein) an aggregate of $6,000,000,000 principal amount of Senior Notes, comprised of $1,000,000,000 principal amount of 5.622% Senior Notes due 2046 (the “</w:t>
      </w:r>
      <w:r>
        <w:rPr>
          <w:rFonts w:ascii="Times New Roman" w:cs="Times New Roman" w:eastAsia="Times New Roman" w:hAnsi="Times New Roman"/>
          <w:sz w:val="18"/>
          <w:szCs w:val="18"/>
          <w:u w:val="single" w:color="auto"/>
          <w:color w:val="auto"/>
        </w:rPr>
        <w:t>2046 Notes</w:t>
      </w:r>
      <w:r>
        <w:rPr>
          <w:rFonts w:ascii="Times New Roman" w:cs="Times New Roman" w:eastAsia="Times New Roman" w:hAnsi="Times New Roman"/>
          <w:sz w:val="18"/>
          <w:szCs w:val="18"/>
          <w:color w:val="auto"/>
        </w:rPr>
        <w:t>”), $3,500,000,000 principal amount of 5.732% Senior Notes due 2056 (the “</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and $1,500,000,000 principal amount of 5.852% Senior Notes due 2066 (the “</w:t>
      </w:r>
      <w:r>
        <w:rPr>
          <w:rFonts w:ascii="Times New Roman" w:cs="Times New Roman" w:eastAsia="Times New Roman" w:hAnsi="Times New Roman"/>
          <w:sz w:val="18"/>
          <w:szCs w:val="18"/>
          <w:u w:val="single" w:color="auto"/>
          <w:color w:val="auto"/>
        </w:rPr>
        <w:t>2066 Notes</w:t>
      </w:r>
      <w:r>
        <w:rPr>
          <w:rFonts w:ascii="Times New Roman" w:cs="Times New Roman" w:eastAsia="Times New Roman" w:hAnsi="Times New Roman"/>
          <w:sz w:val="18"/>
          <w:szCs w:val="18"/>
          <w:color w:val="auto"/>
        </w:rPr>
        <w:t>” and, together with the 2046 Notes and the 2056 Notes, the “</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and together with the New Money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 The Securities were issued under an indenture dated as of March 16, 2026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Deutsche Bank Trust Company Americas,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registrar, paying agent and authenticating agent, as supplemented by the First Supplemental Indenture dated March 16, 2026 between the Company and the Trustee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connection with the Purchase Agreement, the Company has agreed to provide the registration rights set forth in this Agreement with respect to the Securities at the time of any Registered Exchange Offer (as defined herein) or Shelf Registration (as defined herein). The execution and delivery of this Agreement is a condition to the closing under the Purchase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foregoing, the parties hereto agree as follows:</w:t>
      </w:r>
    </w:p>
    <w:p>
      <w:pPr>
        <w:spacing w:after="0" w:line="225" w:lineRule="exact"/>
        <w:rPr>
          <w:sz w:val="20"/>
          <w:szCs w:val="20"/>
          <w:color w:val="auto"/>
        </w:rPr>
      </w:pPr>
    </w:p>
    <w:p>
      <w:pPr>
        <w:ind w:left="980" w:right="2120" w:hanging="544"/>
        <w:spacing w:after="0" w:line="407" w:lineRule="auto"/>
        <w:tabs>
          <w:tab w:leader="none" w:pos="60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capitalized defined terms shall have the following meanings: “</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has the meaning set forth in Section 7(a) hereof.</w:t>
      </w:r>
    </w:p>
    <w:p>
      <w:pPr>
        <w:spacing w:after="0" w:line="5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direct or indirect common control with such specified Person. For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ectPr>
          <w:pgSz w:w="11900" w:h="16838" w:orient="portrait"/>
          <w:cols w:equalWidth="0" w:num="1">
            <w:col w:w="11020"/>
          </w:cols>
          <w:pgMar w:left="440" w:top="117" w:right="439" w:bottom="1440" w:gutter="0" w:footer="0" w:header="0"/>
        </w:sectPr>
      </w:pPr>
    </w:p>
    <w:bookmarkStart w:id="231" w:name="page232"/>
    <w:bookmarkEnd w:id="2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Registration Rights Agreement, as it may be amended, supplemented or modified from time to time.</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which is not a day on which banking institutions, at the place where any specified act pursuant to this Agreement is to occur, are authorized or obligated by law to close.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have the meaning set forth in Section 2(c)(i)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Offer Registration Period</w:t>
      </w:r>
      <w:r>
        <w:rPr>
          <w:rFonts w:ascii="Times New Roman" w:cs="Times New Roman" w:eastAsia="Times New Roman" w:hAnsi="Times New Roman"/>
          <w:sz w:val="18"/>
          <w:szCs w:val="18"/>
          <w:color w:val="auto"/>
        </w:rPr>
        <w:t>” means the 90-day period following the consummation of the Registered Exchange Offer, exclusive of any period during which any stop order shall be in effect suspending the effectiveness of the Exchange Offer Registration Statement; provided that the Exchange Offer Registration Period shall not extend beyond the date on which Exchanging Dealers are no longer required to deliver a prospectus in connection with the resale of any Exchange Securities.</w:t>
      </w:r>
    </w:p>
    <w:p>
      <w:pPr>
        <w:spacing w:after="0" w:line="180"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Offer Registration Statement</w:t>
      </w:r>
      <w:r>
        <w:rPr>
          <w:rFonts w:ascii="Times New Roman" w:cs="Times New Roman" w:eastAsia="Times New Roman" w:hAnsi="Times New Roman"/>
          <w:sz w:val="18"/>
          <w:szCs w:val="18"/>
          <w:color w:val="auto"/>
        </w:rPr>
        <w:t>” means a registration statement of the Company on an appropriate form under the Securities Act with respect to the Registered Exchange Offer, all amendments and supplements to such registration statement, including post-effective amendments, in each case including the Prospectus contained therein, all exhibits thereto and all material incorporated by reference therein.</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Securities</w:t>
      </w:r>
      <w:r>
        <w:rPr>
          <w:rFonts w:ascii="Times New Roman" w:cs="Times New Roman" w:eastAsia="Times New Roman" w:hAnsi="Times New Roman"/>
          <w:sz w:val="18"/>
          <w:szCs w:val="18"/>
          <w:color w:val="auto"/>
        </w:rPr>
        <w:t>” means debt securities of the Company identical in all material respects to the Securities (except that the interest rate step-up provisions and the transfer restrictions will be modified or eliminated, as appropriate), to be issued under the Indenture in exchange for Securities pursuant to the Registered Exchange Offer.</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Dealer</w:t>
      </w:r>
      <w:r>
        <w:rPr>
          <w:rFonts w:ascii="Times New Roman" w:cs="Times New Roman" w:eastAsia="Times New Roman" w:hAnsi="Times New Roman"/>
          <w:sz w:val="18"/>
          <w:szCs w:val="18"/>
          <w:color w:val="auto"/>
        </w:rPr>
        <w:t>” means any Holder which is a broker-dealer electing to exchange Securities acquired for its own account as a result of market-making activities or other trading activities for Exchange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Honeywell International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holder of the Securities or of any other securities into which the Securities are exchanged.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Honeywell Aerospace Spin-Off</w:t>
      </w:r>
      <w:r>
        <w:rPr>
          <w:rFonts w:ascii="Times New Roman" w:cs="Times New Roman" w:eastAsia="Times New Roman" w:hAnsi="Times New Roman"/>
          <w:sz w:val="18"/>
          <w:szCs w:val="18"/>
          <w:color w:val="auto"/>
        </w:rPr>
        <w:t>” has the meaning set forth in the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Holder Parties</w:t>
      </w:r>
      <w:r>
        <w:rPr>
          <w:rFonts w:ascii="Times New Roman" w:cs="Times New Roman" w:eastAsia="Times New Roman" w:hAnsi="Times New Roman"/>
          <w:sz w:val="18"/>
          <w:szCs w:val="18"/>
          <w:color w:val="auto"/>
        </w:rPr>
        <w:t>” has the meaning set forth in Section 6(a)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32" w:name="page233"/>
    <w:bookmarkEnd w:id="2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Underwriter Parties</w:t>
      </w:r>
      <w:r>
        <w:rPr>
          <w:rFonts w:ascii="Times New Roman" w:cs="Times New Roman" w:eastAsia="Times New Roman" w:hAnsi="Times New Roman"/>
          <w:sz w:val="18"/>
          <w:szCs w:val="18"/>
          <w:color w:val="auto"/>
        </w:rPr>
        <w:t>” has the meaning set forth in Section 6(a) hereof.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has the meaning set forth in the preamble hereto.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set forth in Section 6(a)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means the Holders of a majority of the aggregate principal amount of securities registered under a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20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Underwriters</w:t>
      </w:r>
      <w:r>
        <w:rPr>
          <w:rFonts w:ascii="Times New Roman" w:cs="Times New Roman" w:eastAsia="Times New Roman" w:hAnsi="Times New Roman"/>
          <w:sz w:val="18"/>
          <w:szCs w:val="18"/>
          <w:color w:val="auto"/>
        </w:rPr>
        <w:t>” means the investment banker or investment bankers and manager or managers that shall administer an offering of securities under a Shelf Registration Statement.</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3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(including, without limitation, a prospectus that discloses information previously omitted from a prospectus filed as part of an effective registration statement in reliance upon Rule 430A under the Securities Act), as amended or supplemented by any prospectus supplement, with respect to the terms of the offering of any portion of the Securities or the Exchange Securities, covered by such Registration Statement, and all amendments and supplements to the Prospectus, including post-effective amendments.</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Purchase Agreement dated March 10, 2026 among the Company, the Guarantor and each of the Initial Purchasers listed in Schedule I-A and I-B thereto.</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 means the proposed offer to the Holders to issue and deliver to such Holders, in exchange for the Securities, a like principal amount of the Exchange Securities.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has the meaning set forth in Section 7(a)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 Completion Deadline</w:t>
      </w:r>
      <w:r>
        <w:rPr>
          <w:rFonts w:ascii="Times New Roman" w:cs="Times New Roman" w:eastAsia="Times New Roman" w:hAnsi="Times New Roman"/>
          <w:sz w:val="18"/>
          <w:szCs w:val="18"/>
          <w:color w:val="auto"/>
        </w:rPr>
        <w:t>” has the meaning set forth in Section 2(b) hereof.</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the Securities; provided that the Securities shall cease to be Registrable Securities upon the earliest to occur of the following: (i) when a Registration Statement with respect to such Securities has become effective under the Securities Act and such Securities have been exchanged or disposed of pursuant to such Registration Statement, (ii) when such Securities cease to be outstanding or (iii) except in the case of Securities that otherwise remain Registrable Securities and that are held by an Initial Purchaser and that are ineligible to be exchanged in the Registered Exchange Offer, when the Registered Exchange Offer is consummated.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33" w:name="page234"/>
    <w:bookmarkEnd w:id="233"/>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Exchange Offer Registration Statement or Shelf Registration Statement that covers any of the Securities or the Exchange Securities pursuant to the provisions of this Agreement, all amendments and supplements to such registration statement, including, without limitation, post-effective amendments, in each case including the Prospectus contained therein, all exhibits thereto and all material incorporated by reference therein.</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means a registration effected pursuant to Section 3 hereof.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Period</w:t>
      </w:r>
      <w:r>
        <w:rPr>
          <w:rFonts w:ascii="Times New Roman" w:cs="Times New Roman" w:eastAsia="Times New Roman" w:hAnsi="Times New Roman"/>
          <w:sz w:val="18"/>
          <w:szCs w:val="18"/>
          <w:color w:val="auto"/>
        </w:rPr>
        <w:t>” has the meaning set forth in Section 3(b) hereof.</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“shelf” registration statement of the Company pursuant to the provisions of Section 3 hereof which covers some of or all the Securities or Exchange Securities, as applicable, on an appropriate form under Rule 415 under the Securities Act, or any similar rule that may be adopted by the Commission, all amendments and supplements to such registration statement, including post-effective amendments, in each case including the Prospectus contained therein, all exhibits thereto and all material incorporated by reference therein.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Request</w:t>
      </w:r>
      <w:r>
        <w:rPr>
          <w:rFonts w:ascii="Times New Roman" w:cs="Times New Roman" w:eastAsia="Times New Roman" w:hAnsi="Times New Roman"/>
          <w:sz w:val="18"/>
          <w:szCs w:val="18"/>
          <w:color w:val="auto"/>
        </w:rPr>
        <w:t>” has the meaning set forth in Section 3 hereof.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means the staff of the Commission.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any underwriter of securities in connection with an offering thereof under a Shelf Registration Statement.</w:t>
      </w:r>
    </w:p>
    <w:p>
      <w:pPr>
        <w:spacing w:after="0" w:line="225" w:lineRule="exact"/>
        <w:rPr>
          <w:sz w:val="20"/>
          <w:szCs w:val="20"/>
          <w:color w:val="auto"/>
        </w:rPr>
      </w:pPr>
    </w:p>
    <w:p>
      <w:pPr>
        <w:ind w:left="620" w:hanging="184"/>
        <w:spacing w:after="0"/>
        <w:tabs>
          <w:tab w:leader="none" w:pos="6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Exchange Offer; Resales of Exchange Securities by Exchanging Dealers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any applicable law or applicable interpretation of the Staff, the Company shall prepare and use commercially reasonable efforts to file with the Commission the Exchange Offer Registration Statement with respect to the Registered Exchange Offer. The Company shall use commercially reasonable efforts to cause the Exchange Offer Registration Statement to be declared effective under the Securities Act, with sufficient time to complete the Registered Exchange Offer as provided herein, after the earlier of (A) the consummation of the Honeywell Aerospace Spin-Off or (B) a successor assumes the obligations of the Company under this Agreement pursuant to Article 10 of the Indenture and Guarantor ceases to guarantee the Securities.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34" w:name="page235"/>
    <w:bookmarkEnd w:id="234"/>
    <w:p>
      <w:pPr>
        <w:ind w:left="4" w:firstLine="1428"/>
        <w:spacing w:after="0" w:line="249" w:lineRule="auto"/>
        <w:tabs>
          <w:tab w:leader="none" w:pos="1691"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effectiveness of the Exchange Offer Registration Statement, the Company shall (i) use commercially reasonable efforts to complete the Registered Exchange Offer not later than 60 days after the Exchange Offer Registration Statement becomes effective (or if such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is not a Business Day, the next succeeding Business Day), provided, however, that the Company shall use reasonable best efforts to cause the Registered Exchange Offer to be completed no later than the 365th day (or if such 365th day is not a Business Day, the next succeeding Business Day) after the earlier of (A) the consummation of the Honeywell Aerospace Spin-Off or (B) a successor assumes the obligations of the Company under this Agreement pursuant to Article 10 of the Indenture and Guarantor ceases to guarantee the Securities (the “</w:t>
      </w:r>
      <w:r>
        <w:rPr>
          <w:rFonts w:ascii="Times New Roman" w:cs="Times New Roman" w:eastAsia="Times New Roman" w:hAnsi="Times New Roman"/>
          <w:sz w:val="17"/>
          <w:szCs w:val="17"/>
          <w:u w:val="single" w:color="auto"/>
          <w:color w:val="auto"/>
        </w:rPr>
        <w:t>Registered Exchange Offer Completion Deadline</w:t>
      </w:r>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7"/>
          <w:szCs w:val="17"/>
          <w:color w:val="auto"/>
        </w:rPr>
      </w:pPr>
    </w:p>
    <w:p>
      <w:pPr>
        <w:ind w:left="4" w:right="80" w:hanging="4"/>
        <w:spacing w:after="0" w:line="260" w:lineRule="auto"/>
        <w:tabs>
          <w:tab w:leader="none" w:pos="26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issue, promptly after the expiration of such Registered Exchange Offer, the Exchange Securities in exchange for all Securities validly tendered prior to the expiration of such Registered Exchange Offer.</w:t>
      </w:r>
    </w:p>
    <w:p>
      <w:pPr>
        <w:spacing w:after="0" w:line="7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Registered Exchange Offer, the Company shall:</w:t>
      </w:r>
    </w:p>
    <w:p>
      <w:pPr>
        <w:spacing w:after="0" w:line="117" w:lineRule="exact"/>
        <w:rPr>
          <w:rFonts w:ascii="Times New Roman" w:cs="Times New Roman" w:eastAsia="Times New Roman" w:hAnsi="Times New Roman"/>
          <w:sz w:val="18"/>
          <w:szCs w:val="18"/>
          <w:color w:val="auto"/>
        </w:rPr>
      </w:pPr>
    </w:p>
    <w:p>
      <w:pPr>
        <w:jc w:val="both"/>
        <w:ind w:left="1424" w:right="100" w:firstLine="391"/>
        <w:spacing w:after="0" w:line="261" w:lineRule="auto"/>
        <w:tabs>
          <w:tab w:leader="none" w:pos="2022"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or otherwise make available to each Holder a copy of the Prospectus forming part of the Exchange Offer Registration Statement, together with any appropriate letter of transmittal and related documents; provided, however, Holders will be deemed to have received the documents referred to above upon delivery of such documents to The Depository Trust Company (“DTC”) for distribution to its participants;</w:t>
      </w:r>
    </w:p>
    <w:p>
      <w:pPr>
        <w:spacing w:after="0" w:line="71" w:lineRule="exact"/>
        <w:rPr>
          <w:rFonts w:ascii="Times New Roman" w:cs="Times New Roman" w:eastAsia="Times New Roman" w:hAnsi="Times New Roman"/>
          <w:sz w:val="18"/>
          <w:szCs w:val="18"/>
          <w:color w:val="auto"/>
        </w:rPr>
      </w:pPr>
    </w:p>
    <w:p>
      <w:pPr>
        <w:ind w:left="1424" w:right="180" w:firstLine="391"/>
        <w:spacing w:after="0" w:line="282" w:lineRule="auto"/>
        <w:tabs>
          <w:tab w:leader="none" w:pos="2072"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Registered Exchange Offer open for not less than 20 Business Days from the date notice thereof is mailed to the Holders (or such shorter or longer period if permitted or required by applicable law);</w:t>
      </w:r>
    </w:p>
    <w:p>
      <w:pPr>
        <w:spacing w:after="0" w:line="53" w:lineRule="exact"/>
        <w:rPr>
          <w:rFonts w:ascii="Times New Roman" w:cs="Times New Roman" w:eastAsia="Times New Roman" w:hAnsi="Times New Roman"/>
          <w:sz w:val="18"/>
          <w:szCs w:val="18"/>
          <w:color w:val="auto"/>
        </w:rPr>
      </w:pPr>
    </w:p>
    <w:p>
      <w:pPr>
        <w:ind w:left="1424" w:right="220" w:firstLine="391"/>
        <w:spacing w:after="0" w:line="282" w:lineRule="auto"/>
        <w:tabs>
          <w:tab w:leader="none" w:pos="2122"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services of a depositary for the Registered Exchange Offer with an address in the Borough of Manhattan, The City of New York; and</w:t>
      </w:r>
    </w:p>
    <w:p>
      <w:pPr>
        <w:spacing w:after="0" w:line="53" w:lineRule="exact"/>
        <w:rPr>
          <w:rFonts w:ascii="Times New Roman" w:cs="Times New Roman" w:eastAsia="Times New Roman" w:hAnsi="Times New Roman"/>
          <w:sz w:val="18"/>
          <w:szCs w:val="18"/>
          <w:color w:val="auto"/>
        </w:rPr>
      </w:pPr>
    </w:p>
    <w:p>
      <w:pPr>
        <w:ind w:left="2124" w:hanging="309"/>
        <w:spacing w:after="0"/>
        <w:tabs>
          <w:tab w:leader="none" w:pos="2124"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applicable laws.</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close of the Registered Exchange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Offer:</w:t>
      </w:r>
    </w:p>
    <w:p>
      <w:pPr>
        <w:spacing w:after="0" w:line="117" w:lineRule="exact"/>
        <w:rPr>
          <w:sz w:val="20"/>
          <w:szCs w:val="20"/>
          <w:color w:val="auto"/>
        </w:rPr>
      </w:pPr>
    </w:p>
    <w:p>
      <w:pPr>
        <w:ind w:left="1424" w:right="600" w:firstLine="391"/>
        <w:spacing w:after="0" w:line="282" w:lineRule="auto"/>
        <w:tabs>
          <w:tab w:leader="none" w:pos="202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accept for exchange all Securities tendered and not validly withdrawn pursuant to the Registered Exchange Offer;</w:t>
      </w:r>
    </w:p>
    <w:p>
      <w:pPr>
        <w:spacing w:after="0" w:line="53" w:lineRule="exact"/>
        <w:rPr>
          <w:rFonts w:ascii="Times New Roman" w:cs="Times New Roman" w:eastAsia="Times New Roman" w:hAnsi="Times New Roman"/>
          <w:sz w:val="18"/>
          <w:szCs w:val="18"/>
          <w:color w:val="auto"/>
        </w:rPr>
      </w:pPr>
    </w:p>
    <w:p>
      <w:pPr>
        <w:ind w:left="2084" w:hanging="269"/>
        <w:spacing w:after="0"/>
        <w:tabs>
          <w:tab w:leader="none" w:pos="208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for cancellation all Securities so accepted for exchange; and</w:t>
      </w:r>
    </w:p>
    <w:p>
      <w:pPr>
        <w:spacing w:after="0" w:line="117" w:lineRule="exact"/>
        <w:rPr>
          <w:rFonts w:ascii="Times New Roman" w:cs="Times New Roman" w:eastAsia="Times New Roman" w:hAnsi="Times New Roman"/>
          <w:sz w:val="18"/>
          <w:szCs w:val="18"/>
          <w:color w:val="auto"/>
        </w:rPr>
      </w:pPr>
    </w:p>
    <w:p>
      <w:pPr>
        <w:ind w:left="1424" w:right="240" w:firstLine="391"/>
        <w:spacing w:after="0" w:line="282" w:lineRule="auto"/>
        <w:tabs>
          <w:tab w:leader="none" w:pos="212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instruct the Trustee to promptly authenticate and deliver to each Holder of Securities so accepted for exchange, Exchange Securities equal in principal amount to the Securities of such Holder so accepted for exchange.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35" w:name="page236"/>
    <w:bookmarkEnd w:id="235"/>
    <w:p>
      <w:pPr>
        <w:ind w:left="1684" w:hanging="252"/>
        <w:spacing w:after="0"/>
        <w:tabs>
          <w:tab w:leader="none" w:pos="168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to participating in the Registered Exchange Offer, a Holder will be required to represent to the Company that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and any Exchange Securities received by it will be acquired in the ordinary course of its business, (ii) at the time of the commencement of the Registered Exchange Offer it has no arrangement or understanding with any Person to participate and is not engaged and does not intend to engage in the distribution (within the meaning of the Securities Act) of the Exchange Securities in violation of the provisions of the Securities Act, (iii) it is not an “affiliate” (within the meaning of Rule 405 under the Securities Act) of the Company or, if it is an “affiliate” of the Company, it will comply (at its own expense) with the registration and prospectus delivery requirements of the Securities Act to the extent applicable, (iv) it is not a broker-dealer tendering Securities that it acquired directly from the Company for its own account and (v) if such Holder is a broker-dealer that will receive Exchange Securities for its own account in exchange for Securities that were acquired as a result of market-making or other trading activities, then such Holder will deliver a Prospectus in connection with any resale of such Exchange Securities.</w:t>
      </w:r>
    </w:p>
    <w:p>
      <w:pPr>
        <w:spacing w:after="0" w:line="85" w:lineRule="exact"/>
        <w:rPr>
          <w:rFonts w:ascii="Times New Roman" w:cs="Times New Roman" w:eastAsia="Times New Roman" w:hAnsi="Times New Roman"/>
          <w:sz w:val="18"/>
          <w:szCs w:val="18"/>
          <w:color w:val="auto"/>
        </w:rPr>
      </w:pPr>
    </w:p>
    <w:p>
      <w:pPr>
        <w:ind w:left="4" w:right="300" w:firstLine="1428"/>
        <w:spacing w:after="0" w:line="261" w:lineRule="auto"/>
        <w:tabs>
          <w:tab w:leader="none" w:pos="166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pursuant to current interpretations by the Staff of Section 5 of the Securities Act, and in the absence of an applicable exemption therefrom, each Exchanging Dealer is required to deliver a Prospectus in connection with any resale of any Exchange Securities received by such Exchanging Dealer pursuant to the Registered Exchange Offer in exchange for Securities acquired for its own account as a result of market-making activities or other trading activities. Accordingly, the Company shall:</w:t>
      </w:r>
    </w:p>
    <w:p>
      <w:pPr>
        <w:spacing w:after="0" w:line="71" w:lineRule="exact"/>
        <w:rPr>
          <w:rFonts w:ascii="Times New Roman" w:cs="Times New Roman" w:eastAsia="Times New Roman" w:hAnsi="Times New Roman"/>
          <w:sz w:val="18"/>
          <w:szCs w:val="18"/>
          <w:color w:val="auto"/>
        </w:rPr>
      </w:pPr>
    </w:p>
    <w:p>
      <w:pPr>
        <w:ind w:left="1424" w:firstLine="391"/>
        <w:spacing w:after="0" w:line="253" w:lineRule="auto"/>
        <w:tabs>
          <w:tab w:leader="none" w:pos="2022"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in a “Plan of Distribution” section contained in the Prospectus forming a part of the Exchange Offer Registration Statement that any Exchanging Dealer who holds Securities acquired for its own account as a result of market-making activities or other trading activities may exchange such Securities for Exchange Securities pursuant to the Registered Exchange Offer; however, such Exchanging Dealer may be deemed to be an “underwriter” within the meaning of the Securities Act and must, therefore, deliver a prospectus meeting the requirements of the Securities Act in connection with any resales of the Exchange Securities received by such Exchanging Dealer in the Registered Exchange Offer, which prospectus delivery requirement may be satisfied by the delivery by such Exchanging Dealer of the Prospectus contained in the Exchange Offer Registration Statement. Such “Plan of Distribution” section shall also contain all other information with respect to such resales by Exchanging Dealers that the Commission or Staff may require in order to permit such resales pursuant thereto, but such “Plan of Distribution” shall not name any such Exchanging Dealer or disclose the amount of Securities held by such Exchanging Dealer except to the extent required by the Commission or the Staff.</w:t>
      </w:r>
    </w:p>
    <w:p>
      <w:pPr>
        <w:spacing w:after="0" w:line="86" w:lineRule="exact"/>
        <w:rPr>
          <w:rFonts w:ascii="Times New Roman" w:cs="Times New Roman" w:eastAsia="Times New Roman" w:hAnsi="Times New Roman"/>
          <w:sz w:val="18"/>
          <w:szCs w:val="18"/>
          <w:color w:val="auto"/>
        </w:rPr>
      </w:pPr>
    </w:p>
    <w:p>
      <w:pPr>
        <w:ind w:left="1424" w:right="260" w:firstLine="391"/>
        <w:spacing w:after="0" w:line="266" w:lineRule="auto"/>
        <w:tabs>
          <w:tab w:leader="none" w:pos="2072"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keep the Exchange Offer Registration Statement continuously effective under the Securities Act during the Exchange Offer Registration Period for delivery by Exchanging Dealers in connection with sales of Exchange Securities received pursuant to the Registered Exchange Offer, as contemplated by Section 4(h) below.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36" w:name="page237"/>
    <w:bookmarkEnd w:id="236"/>
    <w:p>
      <w:pPr>
        <w:ind w:firstLine="436"/>
        <w:spacing w:after="0" w:line="253" w:lineRule="auto"/>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Shelf Registration</w:t>
      </w:r>
      <w:r>
        <w:rPr>
          <w:rFonts w:ascii="Times New Roman" w:cs="Times New Roman" w:eastAsia="Times New Roman" w:hAnsi="Times New Roman"/>
          <w:sz w:val="18"/>
          <w:szCs w:val="18"/>
          <w:color w:val="auto"/>
        </w:rPr>
        <w:t>. If, (i) because of any change in law or applicable interpretations thereof by the Staff, the Company determines that it is not permitted to effect the Registered Exchange Offer as contemplated by Section 2 hereof, (ii) for any other reason the Registered Exchange Offer is not completed by the Registered Exchange Offer Completion Deadline, (iii) any Holder informs the Company prior to the day that is 20 days following the completion of the Registered Exchange Offer that it was prohibited by law or Commission policy from participating in the Registered Exchange Offer (other than due solely to the status of such Holder as an affiliate of the Company within the meaning of the Securities Act) (a “</w:t>
      </w:r>
      <w:r>
        <w:rPr>
          <w:rFonts w:ascii="Times New Roman" w:cs="Times New Roman" w:eastAsia="Times New Roman" w:hAnsi="Times New Roman"/>
          <w:sz w:val="18"/>
          <w:szCs w:val="18"/>
          <w:u w:val="single" w:color="auto"/>
          <w:color w:val="auto"/>
        </w:rPr>
        <w:t>Shelf Request</w:t>
      </w:r>
      <w:r>
        <w:rPr>
          <w:rFonts w:ascii="Times New Roman" w:cs="Times New Roman" w:eastAsia="Times New Roman" w:hAnsi="Times New Roman"/>
          <w:sz w:val="18"/>
          <w:szCs w:val="18"/>
          <w:color w:val="auto"/>
        </w:rPr>
        <w:t>”), or (iv) in the case of any Holder that participates in the Registered Exchange Offer, such Holder does not receive freely tradable Exchange Securities in exchange for tendered Securities, other than by reason of such Holder being an affiliate of the Company within the meaning of the Securities Act (it being understood that, for purposes of this Section 3, the requirement that an Exchanging Dealer deliver a Prospectus in connection with resales of Exchange Securities acquired in the Registered Exchange Offer in exchange for Securities acquired as a result of market making activities or other trading activities shall not result in such Exchange Securities being not “freely tradable”), the following provisions shall apply:</w:t>
      </w:r>
    </w:p>
    <w:p>
      <w:pPr>
        <w:spacing w:after="0" w:line="86"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file with the Commission and thereafter use commercially reasonable efforts to cause to be declared effective under the Securities Act a Shelf Registration Statement by the Registered Exchange Offer Completion Deadline, or shall, if permitted by Rule 430B under the Securities Act, otherwise designate an existing effective registration statement with the Commission for use by the Holders as a Shelf Registration Statement, relating to the offer and sale of the Securities or the Exchange Securities, as applicable, by the Holders from time to time in accordance with the methods of distribution elected by such Holders and set forth in such Shelf Registration Statement, and any such existing registration statement, as so designated, shall be referred to herein as, and governed by the provisions herein applicable to, a Shelf Registration Statement.</w:t>
      </w:r>
    </w:p>
    <w:p>
      <w:pPr>
        <w:spacing w:after="0" w:line="80" w:lineRule="exact"/>
        <w:rPr>
          <w:rFonts w:ascii="Times New Roman" w:cs="Times New Roman" w:eastAsia="Times New Roman" w:hAnsi="Times New Roman"/>
          <w:sz w:val="18"/>
          <w:szCs w:val="18"/>
          <w:color w:val="auto"/>
        </w:rPr>
      </w:pPr>
    </w:p>
    <w:p>
      <w:pPr>
        <w:ind w:right="60" w:firstLine="1428"/>
        <w:spacing w:after="0" w:line="254" w:lineRule="auto"/>
        <w:tabs>
          <w:tab w:leader="none" w:pos="168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keep the Shelf Registration Statement continuously effective in order to permit the Prospectus forming part thereof to be usable by Holders until the earlier of two years from the date of the effectiveness of the Shelf Registration Statement and the date that the Securities cease to be Registrable Securities (in any such case, such period being called the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Company shall be deemed not to have used commercially reasonable efforts to keep the Shelf Registration Statement effective during the Shelf Registration Period if it voluntarily takes any action that would result in Holders of securities covered thereby not being able to offer and sell such securities during that period, unless (i) such action is required by applicable law or (ii) such action is taken by the Company in good faith and for valid business reasons (not including avoidance of the Company’s obligation hereunder), including the acquisition or divestiture of assets, so long as the Company promptly thereafter complies with the requirements of Section 4(k) hereof, if applicable.</w:t>
      </w:r>
    </w:p>
    <w:p>
      <w:pPr>
        <w:spacing w:after="0" w:line="83" w:lineRule="exact"/>
        <w:rPr>
          <w:rFonts w:ascii="Times New Roman" w:cs="Times New Roman" w:eastAsia="Times New Roman" w:hAnsi="Times New Roman"/>
          <w:sz w:val="18"/>
          <w:szCs w:val="18"/>
          <w:color w:val="auto"/>
        </w:rPr>
      </w:pPr>
    </w:p>
    <w:p>
      <w:pPr>
        <w:ind w:right="280" w:firstLine="436"/>
        <w:spacing w:after="0" w:line="282" w:lineRule="auto"/>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any Shelf Registration Statement and, to the extent applicable, any Exchange Offer Registration Statement, the following provisions shall apply:</w:t>
      </w:r>
    </w:p>
    <w:p>
      <w:pPr>
        <w:spacing w:after="0" w:line="53" w:lineRule="exact"/>
        <w:rPr>
          <w:rFonts w:ascii="Times New Roman" w:cs="Times New Roman" w:eastAsia="Times New Roman" w:hAnsi="Times New Roman"/>
          <w:sz w:val="18"/>
          <w:szCs w:val="18"/>
          <w:color w:val="auto"/>
        </w:rPr>
      </w:pPr>
    </w:p>
    <w:p>
      <w:pPr>
        <w:ind w:right="180" w:firstLine="1428"/>
        <w:spacing w:after="0" w:line="261" w:lineRule="auto"/>
        <w:tabs>
          <w:tab w:leader="none" w:pos="167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you, prior to the filing or designation thereof with the Commission, a copy of any Registration Statement, each amendment thereof and each amendment or supplement, if any, to the Prospectus included therein and shall use commercially reasonable efforts to reflect in each such document, when so filed or designated with the Commission, such comments as you may reasonably propose and to which the Company does not reasonably object.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37" w:name="page238"/>
    <w:bookmarkEnd w:id="237"/>
    <w:p>
      <w:pPr>
        <w:ind w:left="4" w:right="340" w:firstLine="1428"/>
        <w:spacing w:after="0" w:line="276" w:lineRule="auto"/>
        <w:tabs>
          <w:tab w:leader="none" w:pos="1691"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ensure that (i) any Registration Statement and any amendment thereto and any Prospectus forming part thereof and any amendment or supplement thereto complies in all material respects with the Securities Act and the rules and regulations thereunder,</w:t>
      </w:r>
    </w:p>
    <w:p>
      <w:pPr>
        <w:ind w:left="4" w:right="40" w:hanging="4"/>
        <w:spacing w:after="0" w:line="252" w:lineRule="auto"/>
        <w:tabs>
          <w:tab w:leader="none" w:pos="26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Statement and any amendment thereto does not, when it becomes effective (or, in the case of a previously filed registration statement that is effective at the time it is designated as a Shelf Registration Statement, when it is so designated), contain an untrue statement of a material fact or omit to state a material fact required to be stated therein or necessary to make the statements therein not misleading and (iii) any Prospectus forming part of any Registration Statement, and any amendment or supplement to such Prospectus, does not include an untrue statement of a material fact or omit to state a material fact necessary in order to make the statements therein, in the light of the circumstances under which they were made, not misleading.</w:t>
      </w:r>
    </w:p>
    <w:p>
      <w:pPr>
        <w:spacing w:after="0" w:line="81" w:lineRule="exact"/>
        <w:rPr>
          <w:rFonts w:ascii="Times New Roman" w:cs="Times New Roman" w:eastAsia="Times New Roman" w:hAnsi="Times New Roman"/>
          <w:sz w:val="18"/>
          <w:szCs w:val="18"/>
          <w:color w:val="auto"/>
        </w:rPr>
      </w:pPr>
    </w:p>
    <w:p>
      <w:pPr>
        <w:ind w:left="4" w:right="180" w:firstLine="1428"/>
        <w:spacing w:after="0" w:line="282" w:lineRule="auto"/>
        <w:tabs>
          <w:tab w:leader="none" w:pos="168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shall notify you and, in the case of a Shelf Registration Statement, the Holders of securities covered thereby, and, if requested by you or any such Holder, confirm such notification in writing:</w:t>
      </w:r>
    </w:p>
    <w:p>
      <w:pPr>
        <w:spacing w:after="0" w:line="53" w:lineRule="exact"/>
        <w:rPr>
          <w:rFonts w:ascii="Times New Roman" w:cs="Times New Roman" w:eastAsia="Times New Roman" w:hAnsi="Times New Roman"/>
          <w:sz w:val="18"/>
          <w:szCs w:val="18"/>
          <w:color w:val="auto"/>
        </w:rPr>
      </w:pPr>
    </w:p>
    <w:p>
      <w:pPr>
        <w:ind w:left="1424" w:right="20" w:firstLine="391"/>
        <w:spacing w:after="0" w:line="258" w:lineRule="auto"/>
        <w:tabs>
          <w:tab w:leader="none" w:pos="2022"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and any amendment thereto has been filed (or, in the case of a previously filed registration statement that is effective at the time it is designated as a Shelf Registration Statement, when it is so designated) with the Commission and when the Registration Statement or any post-effective amendment thereto has become effective (or, in the case of a previously filed registration statement that is effective at the time it is designated as a Shelf Registration Statement, when it is so designated); and</w:t>
      </w:r>
    </w:p>
    <w:p>
      <w:pPr>
        <w:spacing w:after="0" w:line="75" w:lineRule="exact"/>
        <w:rPr>
          <w:rFonts w:ascii="Times New Roman" w:cs="Times New Roman" w:eastAsia="Times New Roman" w:hAnsi="Times New Roman"/>
          <w:sz w:val="18"/>
          <w:szCs w:val="18"/>
          <w:color w:val="auto"/>
        </w:rPr>
      </w:pPr>
    </w:p>
    <w:p>
      <w:pPr>
        <w:ind w:left="1424" w:firstLine="391"/>
        <w:spacing w:after="0" w:line="282" w:lineRule="auto"/>
        <w:tabs>
          <w:tab w:leader="none" w:pos="2072"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amendments or supplements to the Registration Statement or the Prospectus included therein or for additional information.</w:t>
      </w:r>
    </w:p>
    <w:p>
      <w:pPr>
        <w:spacing w:after="0" w:line="161" w:lineRule="exact"/>
        <w:rPr>
          <w:rFonts w:ascii="Times New Roman" w:cs="Times New Roman" w:eastAsia="Times New Roman" w:hAnsi="Times New Roman"/>
          <w:sz w:val="18"/>
          <w:szCs w:val="18"/>
          <w:color w:val="auto"/>
        </w:rPr>
      </w:pPr>
    </w:p>
    <w:p>
      <w:pPr>
        <w:ind w:left="4" w:right="320" w:firstLine="1979"/>
        <w:spacing w:after="0" w:line="289" w:lineRule="auto"/>
        <w:tabs>
          <w:tab w:leader="none" w:pos="2242" w:val="left"/>
        </w:tabs>
        <w:numPr>
          <w:ilvl w:val="3"/>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notify you and, in the case of a Shelf Registration Statement, the Holders of securities covered thereby, and, in the case of an Exchange Offer Registration Statement, any Exchanging Dealer which has provided in writing to the Company a telephone or e-mail and address for notices, and, if requested by you or any such Holder or Exchanging Dealer, confirm such notification in writing:</w:t>
      </w:r>
    </w:p>
    <w:p>
      <w:pPr>
        <w:spacing w:after="0" w:line="50" w:lineRule="exact"/>
        <w:rPr>
          <w:sz w:val="20"/>
          <w:szCs w:val="20"/>
          <w:color w:val="auto"/>
        </w:rPr>
      </w:pPr>
    </w:p>
    <w:p>
      <w:pPr>
        <w:ind w:left="1424" w:right="460" w:firstLine="391"/>
        <w:spacing w:after="0" w:line="282" w:lineRule="auto"/>
        <w:tabs>
          <w:tab w:leader="none" w:pos="202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the initiation of any proceedings for that purpose;</w:t>
      </w:r>
    </w:p>
    <w:p>
      <w:pPr>
        <w:spacing w:after="0" w:line="53" w:lineRule="exact"/>
        <w:rPr>
          <w:rFonts w:ascii="Times New Roman" w:cs="Times New Roman" w:eastAsia="Times New Roman" w:hAnsi="Times New Roman"/>
          <w:sz w:val="18"/>
          <w:szCs w:val="18"/>
          <w:color w:val="auto"/>
        </w:rPr>
      </w:pPr>
    </w:p>
    <w:p>
      <w:pPr>
        <w:ind w:left="1424" w:right="540" w:firstLine="391"/>
        <w:spacing w:after="0" w:line="282" w:lineRule="auto"/>
        <w:tabs>
          <w:tab w:leader="none" w:pos="207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of the securities included therein for sale in any jurisdiction or the initiation or threatening of any proceeding for such purpose; and</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238" w:name="page239"/>
    <w:bookmarkEnd w:id="238"/>
    <w:p>
      <w:pPr>
        <w:ind w:left="1420" w:firstLine="391"/>
        <w:spacing w:after="0" w:line="261" w:lineRule="auto"/>
        <w:tabs>
          <w:tab w:leader="none" w:pos="211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determination by the Company that use of the Prospectus must be suspended due to the happening of any event that requires the making of any changes in the Registration Statement or the Prospectus so that, as of such date, the statements therein are not misleading and do not omit to state a material fact required to be stated therein or necessary to make the statements therein (in the case of the Prospectus, in the light of the circumstances under which they were made) not misleading.</w:t>
      </w:r>
    </w:p>
    <w:p>
      <w:pPr>
        <w:spacing w:after="0" w:line="180" w:lineRule="exact"/>
        <w:rPr>
          <w:sz w:val="20"/>
          <w:szCs w:val="20"/>
          <w:color w:val="auto"/>
        </w:rPr>
      </w:pPr>
    </w:p>
    <w:p>
      <w:pPr>
        <w:ind w:right="80" w:firstLine="440"/>
        <w:spacing w:after="0" w:line="276" w:lineRule="auto"/>
        <w:rPr>
          <w:sz w:val="20"/>
          <w:szCs w:val="20"/>
          <w:color w:val="auto"/>
        </w:rPr>
      </w:pPr>
      <w:r>
        <w:rPr>
          <w:rFonts w:ascii="Times New Roman" w:cs="Times New Roman" w:eastAsia="Times New Roman" w:hAnsi="Times New Roman"/>
          <w:sz w:val="17"/>
          <w:szCs w:val="17"/>
          <w:color w:val="auto"/>
        </w:rPr>
        <w:t>Each such Holder or Exchanging Dealer agrees by its acquisition of such securities to be sold by such Holder or Exchanging Dealer, that, upon being so notified by the Company of a determination by the Company to suspend the use of the Prospectus described in clause (iii) of this paragraph (c)</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 such Holder or Exchanging Dealer will forthwith discontinue disposition of such securities under such Registration Statement or Prospectus, until such Holder’s or Exchanging Dealer’s receipt of the copies of the supplemented or amended Prospectus contemplated by paragraph 4(k) hereof, or until it is notified in writing by the Company that the use of the applicable Prospectus may be resumed.</w:t>
      </w:r>
    </w:p>
    <w:p>
      <w:pPr>
        <w:spacing w:after="0" w:line="78" w:lineRule="exact"/>
        <w:rPr>
          <w:sz w:val="20"/>
          <w:szCs w:val="20"/>
          <w:color w:val="auto"/>
        </w:rPr>
      </w:pPr>
    </w:p>
    <w:p>
      <w:pPr>
        <w:ind w:right="240" w:firstLine="1428"/>
        <w:spacing w:after="0" w:line="282" w:lineRule="auto"/>
        <w:tabs>
          <w:tab w:leader="none" w:pos="168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obtain the withdrawal of any order suspending the effectiveness of any Registration Statement at the earliest possible time.</w:t>
      </w:r>
    </w:p>
    <w:p>
      <w:pPr>
        <w:spacing w:after="0" w:line="53" w:lineRule="exact"/>
        <w:rPr>
          <w:rFonts w:ascii="Times New Roman" w:cs="Times New Roman" w:eastAsia="Times New Roman" w:hAnsi="Times New Roman"/>
          <w:sz w:val="18"/>
          <w:szCs w:val="18"/>
          <w:color w:val="auto"/>
        </w:rPr>
      </w:pPr>
    </w:p>
    <w:p>
      <w:pPr>
        <w:ind w:right="340" w:firstLine="1428"/>
        <w:spacing w:after="0" w:line="261" w:lineRule="auto"/>
        <w:tabs>
          <w:tab w:leader="none" w:pos="167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Holder of securities included within the coverage of any Shelf Registration Statement, without charge, at least one copy of such Shelf Registration Statement and any post-effective amendment thereto, including financial statements and schedules, and, if the Holder so requests in writing, any documents incorporated by reference therein and all exhibits thereto (including those incorporated by reference therein).</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65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during the Shelf Registration Period, deliver to each Holder of securities included within the coverage of any Shelf Registration Statement, without charge, as many copies of the Prospectus (including each preliminary Prospectus) included in such Shelf Registration Statement and any amendment or supplement thereto as such Holder may reasonably request; and the Company consents to the use of the Prospectus or any amendment or supplement thereto by each of the selling Holders of securities in connection with the offering and sale of the securities covered by the Prospectus or any amendment or supplement thereto.</w:t>
      </w:r>
    </w:p>
    <w:p>
      <w:pPr>
        <w:spacing w:after="0" w:line="75" w:lineRule="exact"/>
        <w:rPr>
          <w:rFonts w:ascii="Times New Roman" w:cs="Times New Roman" w:eastAsia="Times New Roman" w:hAnsi="Times New Roman"/>
          <w:sz w:val="18"/>
          <w:szCs w:val="18"/>
          <w:color w:val="auto"/>
        </w:rPr>
      </w:pPr>
    </w:p>
    <w:p>
      <w:pPr>
        <w:ind w:right="160" w:firstLine="1428"/>
        <w:spacing w:after="0" w:line="266" w:lineRule="auto"/>
        <w:tabs>
          <w:tab w:leader="none" w:pos="168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Exchanging Dealer which so requests, without charge, at least one copy of the Exchange Offer Registration Statement and any post-effective amendment thereto, including financial statements and schedules and, if the Exchanging Dealer so requests in writing, any documents incorporated by reference therein and all exhibits thereto (including those incorporated by reference therein).</w:t>
      </w:r>
    </w:p>
    <w:p>
      <w:pPr>
        <w:spacing w:after="0" w:line="67" w:lineRule="exact"/>
        <w:rPr>
          <w:rFonts w:ascii="Times New Roman" w:cs="Times New Roman" w:eastAsia="Times New Roman" w:hAnsi="Times New Roman"/>
          <w:sz w:val="18"/>
          <w:szCs w:val="18"/>
          <w:color w:val="auto"/>
        </w:rPr>
      </w:pPr>
    </w:p>
    <w:p>
      <w:pPr>
        <w:ind w:right="280" w:firstLine="1428"/>
        <w:spacing w:after="0" w:line="258" w:lineRule="auto"/>
        <w:tabs>
          <w:tab w:leader="none" w:pos="168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during the Exchange Offer Registration Period, promptly deliver to each Exchanging Dealer, without charge, as many copies of the Prospectus included in such Exchange Offer Registration Statement and any amendment or supplement thereto as such Exchanging Dealer may reasonably request for delivery by such Exchanging Dealer in connection with a sale of Exchange Securities received by it pursuant to the Registered Exchange Offer; and the Company consents to the use of the Prospectus or any amendment or supplement thereto by any such Exchanging Dealer, as aforesaid, and by any other Persons, if any, subject to similar Prospectus delivery requirements.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39" w:name="page240"/>
    <w:bookmarkEnd w:id="239"/>
    <w:p>
      <w:pPr>
        <w:ind w:left="-60" w:right="120" w:firstLine="1428"/>
        <w:spacing w:after="0" w:line="255" w:lineRule="auto"/>
        <w:tabs>
          <w:tab w:leader="none" w:pos="158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the Registered Exchange Offer or any other offering of securities pursuant to any Registration Statement, the Company shall register or qualify or cooperate with the Holders of securities included therein and their respective counsel in connection with the registration or qualification of such securities for offer and sale under the securities or blue sky laws of such jurisdictions as any such Holder reasonably requests in writing and do any and all other acts or things necessary or advisable to enable the offer and sale in such jurisdictions of the securities covered by such Registration Statement;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will not be required to qualify generally to do business in any jurisdiction where it is not then so qualified or to take any action which would subject it to general service of process or to taxation in any such jurisdiction where it is not then so subject.</w:t>
      </w:r>
    </w:p>
    <w:p>
      <w:pPr>
        <w:spacing w:after="0" w:line="80" w:lineRule="exact"/>
        <w:rPr>
          <w:rFonts w:ascii="Times New Roman" w:cs="Times New Roman" w:eastAsia="Times New Roman" w:hAnsi="Times New Roman"/>
          <w:sz w:val="18"/>
          <w:szCs w:val="18"/>
          <w:color w:val="auto"/>
        </w:rPr>
      </w:pPr>
    </w:p>
    <w:p>
      <w:pPr>
        <w:ind w:left="-60" w:right="100" w:firstLine="1428"/>
        <w:spacing w:after="0" w:line="261" w:lineRule="auto"/>
        <w:tabs>
          <w:tab w:leader="none" w:pos="158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the Company shall cooperate with the Holders of Securities to facilitate the timely preparation and delivery of certificates representing Securities or Exchange Securities, as applicable, to be sold pursuant to such Shelf Registration Statement free of any restrictive legends and in such denominations and registered in such names as Holders may request prior to sales of securities pursuant to such Shelf Registration Statement.</w:t>
      </w:r>
    </w:p>
    <w:p>
      <w:pPr>
        <w:spacing w:after="0" w:line="71" w:lineRule="exact"/>
        <w:rPr>
          <w:rFonts w:ascii="Times New Roman" w:cs="Times New Roman" w:eastAsia="Times New Roman" w:hAnsi="Times New Roman"/>
          <w:sz w:val="18"/>
          <w:szCs w:val="18"/>
          <w:color w:val="auto"/>
        </w:rPr>
      </w:pPr>
    </w:p>
    <w:p>
      <w:pPr>
        <w:ind w:left="-60" w:right="20" w:firstLine="1428"/>
        <w:spacing w:after="0" w:line="261" w:lineRule="auto"/>
        <w:tabs>
          <w:tab w:leader="none" w:pos="162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paragraph (c)(2)(iii) above, the Company shall promptly prepare a post-effective amendment to any Registration Statement or an amendment or supplement to the related Prospectus or file any other required document so that, as thereafter delivered to purchasers of the securities included therein, the Prospectus will not include an untrue statement of a material fact or omit to state any material fact necessary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60" w:right="40" w:firstLine="1428"/>
        <w:spacing w:after="0" w:line="258" w:lineRule="auto"/>
        <w:tabs>
          <w:tab w:leader="none" w:pos="158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(or the designation date, in the case of a previously filed registration statement that is effective at the time it is designated as a Shelf Registration Statement) of any such Registration Statement hereunder, the Company shall provide a CUSIP number for the Securities or Exchange Securities, as the case may be, registered under such Registration Statement, and provide the Trustee with printed certificates for such Securities or Exchange Securities, in a form, if requested by the applicable Holder or Holder’s counsel, eligible for deposit with DTC or any successor thereto under the Indenture.</w:t>
      </w:r>
    </w:p>
    <w:p>
      <w:pPr>
        <w:spacing w:after="0" w:line="75" w:lineRule="exact"/>
        <w:rPr>
          <w:rFonts w:ascii="Times New Roman" w:cs="Times New Roman" w:eastAsia="Times New Roman" w:hAnsi="Times New Roman"/>
          <w:sz w:val="18"/>
          <w:szCs w:val="18"/>
          <w:color w:val="auto"/>
        </w:rPr>
      </w:pPr>
    </w:p>
    <w:p>
      <w:pPr>
        <w:ind w:left="-60" w:firstLine="1428"/>
        <w:spacing w:after="0" w:line="256" w:lineRule="auto"/>
        <w:tabs>
          <w:tab w:leader="none" w:pos="167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comply with all applicable rules and regulations of the Commission to the extent and so long as they are applicable to the Registered Exchange Offer or the Shelf Registration and will make generally available to its security holders a consolidated earnings statement (which need not be audited) covering a twelve-month period commencing after the effective date (or the designation date, in the case of a previously filed registration statement that is effective at the time it is designated as a Shelf Registration Statement) of the Registration Statement and ending not later than 15 months thereafter, as soon as practicable after the end of such period, which consolidated earnings statement shall satisfy the provisions of Section 11(a) of the Securities Act and Rule 158 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500" w:top="270" w:right="499" w:bottom="1440" w:gutter="0" w:footer="0" w:header="0"/>
        </w:sectPr>
      </w:pPr>
    </w:p>
    <w:bookmarkStart w:id="240" w:name="page241"/>
    <w:bookmarkEnd w:id="240"/>
    <w:p>
      <w:pPr>
        <w:ind w:left="-20" w:right="60" w:firstLine="1428"/>
        <w:spacing w:after="0" w:line="266" w:lineRule="auto"/>
        <w:tabs>
          <w:tab w:leader="none" w:pos="166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cause the Indenture, if not already so qualified, to be qualified under the Trust Indenture Act of 1939, as amended, on or prior to the effective date (or the designation date, in the case of a previously filed registration statement that is effective at the time it is designated as a Shelf Registration Statement) of any Shelf Registration Statement or Exchange Offer Registration Statement.</w:t>
      </w:r>
    </w:p>
    <w:p>
      <w:pPr>
        <w:spacing w:after="0" w:line="67" w:lineRule="exact"/>
        <w:rPr>
          <w:rFonts w:ascii="Times New Roman" w:cs="Times New Roman" w:eastAsia="Times New Roman" w:hAnsi="Times New Roman"/>
          <w:sz w:val="18"/>
          <w:szCs w:val="18"/>
          <w:color w:val="auto"/>
        </w:rPr>
      </w:pPr>
    </w:p>
    <w:p>
      <w:pPr>
        <w:ind w:left="-20" w:right="20" w:firstLine="1428"/>
        <w:spacing w:after="0" w:line="253" w:lineRule="auto"/>
        <w:tabs>
          <w:tab w:leader="none" w:pos="166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Holder of securities to be sold pursuant to any Shelf Registration Statement to furnish to the Company in writing such information regarding the Holder and the distribution of such securities as the Company may from time to time reasonably require for inclusion in such Registration Statement. The Company may exclude from any such Registration Statement the securities of any such Holder who fails to furnish such information within a reasonable time after receiving such request. Each Holder as to which any Shelf Registration is being effected agrees to furnish promptly to the Company all information required to be disclosed in order to make the information previously furnished to the Company by such Holder not materially misleading. Each Holder further agrees that, neither such Holder nor any underwriter participating in any disposition pursuant to any Shelf Registration Statement on such Holder’s behalf, will make any offer relating to the securities to be sold pursuant to such Shelf Registration Statement that would constitute an issuer free writing prospectus (as defined in Rule 433 under the Securities Act) or that would otherwise constitute a “free writing prospectus” (as defined in Rule 405 under the Securities Act) required to be filed by the Company with the Commission or retained by the Company under Rule 433 of the Securities Act, unless it has obtained the prior written consent of the Company (and except for as otherwise provided in any underwriting agreement entered into by the Company and any such underwriter).</w:t>
      </w:r>
    </w:p>
    <w:p>
      <w:pPr>
        <w:spacing w:after="0" w:line="83" w:lineRule="exact"/>
        <w:rPr>
          <w:rFonts w:ascii="Times New Roman" w:cs="Times New Roman" w:eastAsia="Times New Roman" w:hAnsi="Times New Roman"/>
          <w:sz w:val="18"/>
          <w:szCs w:val="18"/>
          <w:color w:val="auto"/>
        </w:rPr>
      </w:pPr>
    </w:p>
    <w:p>
      <w:pPr>
        <w:ind w:left="-20" w:firstLine="1428"/>
        <w:spacing w:after="0" w:line="258" w:lineRule="auto"/>
        <w:tabs>
          <w:tab w:leader="none" w:pos="166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of Securities or Exchange Securities, as applicable, covered by a Shelf Registration Statement, promptly incorporate in a Prospectus supplement or post-effective amendment to the Shelf Registration Statement, such information with respect to such Holder as such Holder reasonably requests to be included therein and to which the Company does not reasonably object and shall make all required filings of such Prospectus supplement or post-effective amendment as soon as notified of the information with respect to such Holder to be incorporated in such Prospectus supplement or post-effective amendment.</w:t>
      </w:r>
    </w:p>
    <w:p>
      <w:pPr>
        <w:spacing w:after="0" w:line="75" w:lineRule="exact"/>
        <w:rPr>
          <w:rFonts w:ascii="Times New Roman" w:cs="Times New Roman" w:eastAsia="Times New Roman" w:hAnsi="Times New Roman"/>
          <w:sz w:val="18"/>
          <w:szCs w:val="18"/>
          <w:color w:val="auto"/>
        </w:rPr>
      </w:pPr>
    </w:p>
    <w:p>
      <w:pPr>
        <w:ind w:left="-20" w:right="120" w:firstLine="1428"/>
        <w:spacing w:after="0" w:line="258" w:lineRule="auto"/>
        <w:tabs>
          <w:tab w:leader="none" w:pos="166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any Shelf Registration Statement, the Company shall enter into such customary agreements (including underwriting agreements) and take all other appropriate actions in order to expedite or facilitate the registration or the disposition of the Securities, and in connection therewith, if an underwriting agreement is entered into, cause the same to contain indemnification provisions and procedures no less favorable than those set forth in Section 6 hereof (or such other provisions and procedures acceptable to the Majority Holders and the Managing Underwriters, if any), with respect to all parties to be indemnified pursuant to Section 6 hereof from Holders of Securities to the Company.</w:t>
      </w:r>
    </w:p>
    <w:p>
      <w:pPr>
        <w:spacing w:after="0" w:line="75" w:lineRule="exact"/>
        <w:rPr>
          <w:sz w:val="20"/>
          <w:szCs w:val="20"/>
          <w:color w:val="auto"/>
        </w:rPr>
      </w:pPr>
    </w:p>
    <w:p>
      <w:pPr>
        <w:ind w:left="-20" w:firstLine="1428"/>
        <w:spacing w:after="0" w:line="258" w:lineRule="auto"/>
        <w:tabs>
          <w:tab w:leader="none" w:pos="167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in any way paragraph (q)(i), no Holder may participate in any underwritten registration hereunder unless such Holder (x) agrees to sell such Holder’s securities to be covered by such registration on the basis provided in any underwriting arrangements approved by the Majority Holders and the Managing Underwriters and (y) completes and executes in a timely manner all customary questionnaires, powers of attorney, underwriting agreements and other documents reasonably required by the Company or the Managing Underwriters in connection with such underwriting arrangements.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241" w:name="page242"/>
    <w:bookmarkEnd w:id="241"/>
    <w:p>
      <w:pPr>
        <w:ind w:left="4" w:firstLine="1428"/>
        <w:spacing w:after="0" w:line="266" w:lineRule="auto"/>
        <w:tabs>
          <w:tab w:leader="none" w:pos="1661"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Shelf Registration Statement, the Company shall (i) make reasonably available for inspection by the Holders of securities to be registered thereunder, any underwriter participating in any disposition pursuant to such Registration Statement, and any attorney, accountant or other agent retained by the Holders or any such underwriter, all relevant financial and other records, pertinent corporate documents and properties of the Company and its subsidiaries reasonably requested by such Person; (ii) cause the Company’s officers, directors and employees to supply all relevant information reasonably requested by the Holders or any such underwriter, attorney, accountant or agent in connection with any such Registration Statement as is customary for due diligence examinations in connection with primary underwritten offerings;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any information that is nonpublic at the time of delivery of such information shall be kept confidential by the Holders or any such underwriter, attorney, accountant or agent, unless such disclosure is made in connection with a court proceeding or required by law, or such information becomes available to the public generally or through a third party without an accompanying obligation of confidentiality; (iii) make such representations and warranties to the Holders of securities registered thereunder and the underwriters, if any, in form, substance and scope as are customarily made by issuers to underwriters in primary underwritten offerings; (iv) obtain opinions of counsel to the Company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(v) obtain comfort letters (or, in the case of any Person that does not satisfy the conditions for receipt of a comfort letter specified in AS 6101, an “agreed-upon procedures” letter under AT Section 201)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or incorporated by reference in the Registration Statement), addressed to each selling Holder of securities registered thereunder and the underwriters, if any, in customary form and covering matters of the type customarily covered in comfort letters in connection with primary underwritten offerings; and</w:t>
      </w:r>
    </w:p>
    <w:p>
      <w:pPr>
        <w:spacing w:after="0" w:line="6" w:lineRule="exact"/>
        <w:rPr>
          <w:rFonts w:ascii="Times New Roman" w:cs="Times New Roman" w:eastAsia="Times New Roman" w:hAnsi="Times New Roman"/>
          <w:sz w:val="17"/>
          <w:szCs w:val="17"/>
          <w:color w:val="auto"/>
        </w:rPr>
      </w:pPr>
    </w:p>
    <w:p>
      <w:pPr>
        <w:ind w:left="4" w:right="60" w:hanging="4"/>
        <w:spacing w:after="0" w:line="253" w:lineRule="auto"/>
        <w:tabs>
          <w:tab w:leader="none" w:pos="30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documents and certificates as may be reasonably requested by the Majority Holders and the Managing Underwriters, if any, including those to evidence compliance with Section 4(k) and with any customary conditions contained in the underwriting agreement or other agreement entered into by the Company. The foregoing actions set forth in clauses (iii), (iv), (v) and (vi) of this Section 4(r) shall be performed at each closing under any underwriting or similar agreement as and to the extent required thereunder.</w:t>
      </w:r>
    </w:p>
    <w:p>
      <w:pPr>
        <w:spacing w:after="0" w:line="80"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2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Except as otherwise provided in Section 4, the Company shall bear all expenses incurred in connection with the performance of its obligations under Sections 2, 3 and 4 hereof and, in the event of any Shelf Registration Statement, will reimburse the Holders for the reasonable fees and disbursements of one firm or counsel designated by the Majority Holders to act as counsel for the Holders in connection therewith. Notwithstanding the foregoing, the Holders of the securities being registered shall pay all agency or brokerage fees and commissions and underwriting discounts and commissions attributable to the sale of such securities and the fees and disbursements of any counsel or other advisors or experts retained by such Holders (severally or jointly), other than the counsel specifically referred to above in this Section 5, transfer taxes on resale of any of the securities by such Holders and any advertising expenses incurred by or on behalf of such Holders in connection with any offers they may make.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42" w:name="page243"/>
    <w:bookmarkEnd w:id="242"/>
    <w:p>
      <w:pPr>
        <w:ind w:firstLine="436"/>
        <w:spacing w:after="0" w:line="252" w:lineRule="auto"/>
        <w:tabs>
          <w:tab w:leader="none" w:pos="6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 (a) In connection with any Registration Statement, the Company agrees to indemnify and hold harmless each Holder of securities covered thereby (including with respect to any Prospectus delivery as contemplated in Section 4(h) hereof, each Exchanging Dealer), the directors, officers, employees and agents of each such Holder, and each other Person, if any, who controls any such Holder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Indemnified Holder Parties</w:t>
      </w:r>
      <w:r>
        <w:rPr>
          <w:rFonts w:ascii="Times New Roman" w:cs="Times New Roman" w:eastAsia="Times New Roman" w:hAnsi="Times New Roman"/>
          <w:sz w:val="18"/>
          <w:szCs w:val="18"/>
          <w:color w:val="auto"/>
        </w:rPr>
        <w:t>”) against any and all losses, claims, damages and liabilities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joint or several, to which they or any of them may become subject under the Securities Act, the Exchange Act or other Federal or state statutory law or regulation, at common law or otherwise, insofar as such losses, claims, damages or liabilities (or actions in respect thereof) solely arise out of or are solely based upon any untrue statement or alleged untrue statement of a material fact contained in the Registration Statement as originally filed or in any amendment thereof, or in any preliminary Prospectus or Prospectus, or in any amendment thereof or supplement thereto, or solely arise out of or are solely based upon the omission or alleged omission to state therein a material fact required to be stated therein or necessary to make the statements therein not misleading, and agrees to reimburse each such Indemnified Holder Party, as incurred, for any legal or other expenses reasonably incurred by them in connection with investigating or defending any such Losses;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liable to any Indemnified Holder Party in any such case to the extent that any such untrue statement or alleged untrue statement or omission or alleged omission was made in such Registration Statement or Prospectus, or amendment or supplement, in reliance upon and in conformity with written information furnished to the Company by any Holder expressly for use therein. This indemnity agreement will be in addition to any liability which the Company may otherwise have.</w:t>
      </w:r>
    </w:p>
    <w:p>
      <w:pPr>
        <w:spacing w:after="0" w:line="196" w:lineRule="exact"/>
        <w:rPr>
          <w:sz w:val="20"/>
          <w:szCs w:val="20"/>
          <w:color w:val="auto"/>
        </w:rPr>
      </w:pPr>
    </w:p>
    <w:p>
      <w:pPr>
        <w:ind w:firstLine="1432"/>
        <w:spacing w:after="0" w:line="272" w:lineRule="auto"/>
        <w:rPr>
          <w:sz w:val="20"/>
          <w:szCs w:val="20"/>
          <w:color w:val="auto"/>
        </w:rPr>
      </w:pPr>
      <w:r>
        <w:rPr>
          <w:rFonts w:ascii="Times New Roman" w:cs="Times New Roman" w:eastAsia="Times New Roman" w:hAnsi="Times New Roman"/>
          <w:sz w:val="17"/>
          <w:szCs w:val="17"/>
          <w:color w:val="auto"/>
        </w:rPr>
        <w:t>The Company also agrees to indemnify any underwriters of Securities registered under a Shelf Registration Statement, their officers, directors, employees and agents and each Person who controls such underwriters (collectively, the “</w:t>
      </w:r>
      <w:r>
        <w:rPr>
          <w:rFonts w:ascii="Times New Roman" w:cs="Times New Roman" w:eastAsia="Times New Roman" w:hAnsi="Times New Roman"/>
          <w:sz w:val="17"/>
          <w:szCs w:val="17"/>
          <w:u w:val="single" w:color="auto"/>
          <w:color w:val="auto"/>
        </w:rPr>
        <w:t>Indemnified Underwriter Parties</w:t>
      </w:r>
      <w:r>
        <w:rPr>
          <w:rFonts w:ascii="Times New Roman" w:cs="Times New Roman" w:eastAsia="Times New Roman" w:hAnsi="Times New Roman"/>
          <w:sz w:val="17"/>
          <w:szCs w:val="17"/>
          <w:color w:val="auto"/>
        </w:rPr>
        <w:t xml:space="preserve">”) for any Losses on substantially the same basis as that of the indemnification of the Indemnified Holder Parties provided in this Section 6(a), agrees to reimburse each such Indemnified Underwriter Party, as incurred, for any legal or other expenses reasonably incurred by them in connection with investigating or defending any such Losses, and shall, if requested by any Holder, enter into an underwriting agreement reflecting such agreement, as provided in Section 4(q) 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shall not be liable to any Indemnified Underwriter Party in any such case to the extent that any such untrue statement or alleged untrue statement or omission or alleged omission was made in such Registration Statement or Prospectus, or amendment or supplement, in reliance upon and in conformity with written information furnished to the Company by any underwriter expressly for use therein.</w:t>
      </w:r>
    </w:p>
    <w:p>
      <w:pPr>
        <w:spacing w:after="0" w:line="172" w:lineRule="exact"/>
        <w:rPr>
          <w:sz w:val="20"/>
          <w:szCs w:val="20"/>
          <w:color w:val="auto"/>
        </w:rPr>
      </w:pPr>
    </w:p>
    <w:p>
      <w:pPr>
        <w:ind w:right="40" w:firstLine="1428"/>
        <w:spacing w:after="0" w:line="261" w:lineRule="auto"/>
        <w:tabs>
          <w:tab w:leader="none" w:pos="168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securities covered by a Registration Statement (including with respect to any Prospectus delivery as contemplated in Section 4(h) hereof, each Exchanging Dealer) severally and not jointly agrees to (i) indemnify and hold harmless the Company, each of its directors and each officer who signed the Registration Statement and each other Person, if any, who controls the Company within the meaning of Section 15 of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43" w:name="page244"/>
    <w:bookmarkEnd w:id="243"/>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or Section 20 of the Exchange Act, each other Indemnified Holder Party, and each Indemnified Underwriter Party to the same extent as the foregoing indemnity from the Company to the Indemnified Holder Parties or Indemnified Underwriter Parties, as the case may be, but only with reference to written information relating to such Holder furnished to the Company by or on behalf of such Holder specifically for inclusion in the documents referred to in the foregoing indemnity and (ii) reimburse the Company and each other aforementioned Person, as incurred, for any legal or other expenses reasonably incurred by it in connection with the investigation or defending of any such Loss. This indemnity agreement will be in addition to any liability which any such Holder may otherwise have.</w:t>
      </w:r>
    </w:p>
    <w:p>
      <w:pPr>
        <w:spacing w:after="0" w:line="187" w:lineRule="exact"/>
        <w:rPr>
          <w:sz w:val="20"/>
          <w:szCs w:val="20"/>
          <w:color w:val="auto"/>
        </w:rPr>
      </w:pPr>
    </w:p>
    <w:p>
      <w:pPr>
        <w:ind w:right="20" w:firstLine="1428"/>
        <w:spacing w:after="0" w:line="252" w:lineRule="auto"/>
        <w:tabs>
          <w:tab w:leader="none" w:pos="167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of notice of the commencement of any litigation or proceeding, such indemnified party will, if a claim is to be made hereunder against the Company in respect thereof, notify the Company in writing of the commencement thereof; provided that (i) the omission to so notify the Company will not relieve it from any liability which it may have hereunder except to the extent it has been materially prejudiced by such failure and (ii) the omission to so notify the Company will not relieve it from any liability which it may have to an indemnified party otherwise than on account of this Agreement. In case any such proceedings are brought against any indemnified party and it notifies the Company of the commencement thereof, the Company will be entitled to participate therein and, to the extent that it may elect by written notice delivered to such indemnified party, to assume the defense thereof, with counsel reasonably satisfactory to such indemnified party, provided that if the defendants in any such proceedings include both such indemnified party and the Company and such indemnified party shall have reasonably concluded that there may be legal defenses available to it which are different from or additional to those available to the Company, such indemnified party shall have the right to select separate counsel to assert such legal defenses and to otherwise participate in the defense of such proceedings on behalf of such indemnified party. Upon receipt of notice from the Company to such indemnified party of its election so to assume the defense of such proceedings and approval by such indemnified party of counsel, the Company shall not be liable to such indemnified party for expenses incurred by such indemnified party in connection with the defense thereof (other than reasonable costs of investigation) unless (i) such indemnified party shall have employed separate counsel in connection with the assertion of legal defenses in accordance with the proviso to the immediately preceding sentence (it being understood, however, that the Company shall not be liable for the expenses of more than one separate counsel (in addition to any local counsel) representing the indemnified parties who are parties to such proceedings), (ii) the Company shall not have employed counsel reasonably satisfactory to such indemnified party to represent such indemnified party within a reasonable time after notice to the Company of commencement of the proceedings or (iii) the Company has authorized in writing the employment of counsel for such indemnified party.</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shall not be liable for any settlement of any litigation, action or proceeding effected without its written consent (which consent shall not be unreasonably withheld or delayed), but if settled with its written consent or if there be a final judgment for the plaintiff in any such proceedings, the Company agrees to indemnify and hold harmless each indemnified party from and against any and all Losses by reason of such settlement or judgment. The Company shall not, without the prior written consent of an indemnified party (which consent shall not be unreasonably withheld or delayed), effect any settlement of 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4" w:name="page245"/>
    <w:bookmarkEnd w:id="24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pending or threatened proceedings in respect of which indemnity could have been sought hereunder by such indemnified party unless such settlement</w:t>
      </w:r>
    </w:p>
    <w:p>
      <w:pPr>
        <w:spacing w:after="0" w:line="27" w:lineRule="exact"/>
        <w:rPr>
          <w:sz w:val="20"/>
          <w:szCs w:val="20"/>
          <w:color w:val="auto"/>
        </w:rPr>
      </w:pPr>
    </w:p>
    <w:p>
      <w:pPr>
        <w:jc w:val="both"/>
        <w:ind w:left="4" w:hanging="4"/>
        <w:spacing w:after="0" w:line="255" w:lineRule="auto"/>
        <w:tabs>
          <w:tab w:leader="none" w:pos="21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such indemnified party in form and substance reasonably satisfactory to such indemnified party from all liability on claims that are the subject matter of such proceedings and (ii) does not include any statement as to or any admission of default, culpability or a failure to act by or on behalf of any indemnified party.</w:t>
      </w:r>
    </w:p>
    <w:p>
      <w:pPr>
        <w:spacing w:after="0" w:line="186"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indemnity, reimbursement and contribution obligations of the Company under this Section 6 shall be in addition to any liability which the Company may otherwise have to an indemnified party and shall be binding upon and inure to the benefit of any successors, assigns, heirs and personal representatives of the Company and any indemnified party.</w:t>
      </w:r>
    </w:p>
    <w:p>
      <w:pPr>
        <w:spacing w:after="0" w:line="68" w:lineRule="exact"/>
        <w:rPr>
          <w:sz w:val="20"/>
          <w:szCs w:val="20"/>
          <w:color w:val="auto"/>
        </w:rPr>
      </w:pPr>
    </w:p>
    <w:p>
      <w:pPr>
        <w:ind w:left="4" w:right="60" w:firstLine="1428"/>
        <w:spacing w:after="0" w:line="251" w:lineRule="auto"/>
        <w:tabs>
          <w:tab w:leader="none" w:pos="169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6 is unavailable to or insufficient to hold harmless an indemnified party for any reason, then each applicable indemnifying party, in lieu of indemnifying such indemnified party, shall have a joint and several obligation to contribute to the aggregate Losses (including legal or other expenses reasonably incurred in connection with investigating or defending same) to which such indemnified party may be subject in such proportion as is appropriate to reflect the relative benefits received by such indemnifying party, on the one hand, and such indemnified party, on the other hand, from the Registration Statement which resulted in such Losses. If the allocation provided by the immediately preceding sentence is unavailable for any reason, the indemnifying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Company shall be deemed to be equal to the sum of (x) the aggregate principal amount of Securities issued in the Exchange Offer (before deducting expenses) and (y) the total amount of Additional Interest which the Company was not required to pay as a result of registering the securities covered by the Registration Statement which resulted in such Losses, and benefits received by (i) any Holders shall be deemed to be equal to the value of receiving Securities or Exchange Securities, as applicable, registered under the Securities Act and (ii) any underwriters shall be deemed to equal the total underwriting discounts and commissions actually received by the underwriters in connection with the resale of securities. Relative fault shall be determined by reference to whether any alleged untrue statement or omission relates to information provided by the indemnifying party, on the one hand, or by the indemnified party, on the other hand. The parties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6, each Person who controls a Holder or an underwriter, as the case may be, within the meaning of either the Securities Act or the Exchange Act and each director, officer, employee and agent of such Holder or underwriter, as the case may be, shall have the same rights to contribution as such Holder or underwriter, as the case may be,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45" w:name="page246"/>
    <w:bookmarkEnd w:id="245"/>
    <w:p>
      <w:pPr>
        <w:jc w:val="both"/>
        <w:ind w:right="100" w:firstLine="1428"/>
        <w:spacing w:after="0" w:line="266" w:lineRule="auto"/>
        <w:tabs>
          <w:tab w:leader="none" w:pos="167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6 will remain in full force and effect, regardless of any investigation made by or on behalf of any Holder, the Company or any underwriter or any of the officers, directors or controlling Persons referred to in this Section 6, and will survive the sale by a Holder of securities covered by a Registration Statement.</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Defaults and Additional Interest</w:t>
      </w:r>
      <w:r>
        <w:rPr>
          <w:rFonts w:ascii="Times New Roman" w:cs="Times New Roman" w:eastAsia="Times New Roman" w:hAnsi="Times New Roman"/>
          <w:sz w:val="18"/>
          <w:szCs w:val="18"/>
          <w:color w:val="auto"/>
        </w:rPr>
        <w:t>. (a) If any of the following events (each a “</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shall occur, then the Company shall pay certain additional interest (“</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to the Holders of the Securities affected thereby in accordance with Section 7(b):</w:t>
      </w:r>
    </w:p>
    <w:p>
      <w:pPr>
        <w:spacing w:after="0" w:line="53" w:lineRule="exact"/>
        <w:rPr>
          <w:rFonts w:ascii="Times New Roman" w:cs="Times New Roman" w:eastAsia="Times New Roman" w:hAnsi="Times New Roman"/>
          <w:sz w:val="18"/>
          <w:szCs w:val="18"/>
          <w:color w:val="auto"/>
        </w:rPr>
      </w:pPr>
    </w:p>
    <w:p>
      <w:pPr>
        <w:ind w:left="1420" w:right="100" w:firstLine="391"/>
        <w:spacing w:after="0" w:line="266" w:lineRule="auto"/>
        <w:tabs>
          <w:tab w:leader="none" w:pos="2018"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Exchange Offer with respect to the Securities has not been completed, or if a Shelf Registration Statement is required pursuant to the terms of this Agreement and does not become effective, by the Registered Exchange Offer Completion Deadline;</w:t>
      </w:r>
    </w:p>
    <w:p>
      <w:pPr>
        <w:spacing w:after="0" w:line="67" w:lineRule="exact"/>
        <w:rPr>
          <w:rFonts w:ascii="Times New Roman" w:cs="Times New Roman" w:eastAsia="Times New Roman" w:hAnsi="Times New Roman"/>
          <w:sz w:val="18"/>
          <w:szCs w:val="18"/>
          <w:color w:val="auto"/>
        </w:rPr>
      </w:pPr>
    </w:p>
    <w:p>
      <w:pPr>
        <w:jc w:val="both"/>
        <w:ind w:left="1420" w:firstLine="391"/>
        <w:spacing w:after="0" w:line="266" w:lineRule="auto"/>
        <w:tabs>
          <w:tab w:leader="none" w:pos="2068"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receives a Shelf Request pursuant to Section 3, the Shelf Registration Statement required to be filed thereby has not become effective by the later of (a) the Registered Exchange Offer Completion Deadline or (b) 90 days after delivery of such Shelf Request (or if such 90th day is not a Business Day, the next succeeding Business Day); or</w:t>
      </w:r>
    </w:p>
    <w:p>
      <w:pPr>
        <w:spacing w:after="0" w:line="67" w:lineRule="exact"/>
        <w:rPr>
          <w:rFonts w:ascii="Times New Roman" w:cs="Times New Roman" w:eastAsia="Times New Roman" w:hAnsi="Times New Roman"/>
          <w:sz w:val="18"/>
          <w:szCs w:val="18"/>
          <w:color w:val="auto"/>
        </w:rPr>
      </w:pPr>
    </w:p>
    <w:p>
      <w:pPr>
        <w:jc w:val="both"/>
        <w:ind w:left="1420" w:right="40" w:firstLine="391"/>
        <w:spacing w:after="0" w:line="258" w:lineRule="auto"/>
        <w:tabs>
          <w:tab w:leader="none" w:pos="2118"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if required by this Agreement, has become effective and thereafter, (a) on more than two occasions in any 12-month period during the Shelf Registration Period, the Shelf Registration Statement ceases to be effective or the Prospectus contained therein ceases to be usable or (b) the Shelf Registration Statement ceases to be effective or the Prospectus contained therein ceases to be usable at any time during the Shelf Registration Period, and such failure to remain effective or be usable exists for more than 30 days (whether or not consecutive) in any 12-month period.</w:t>
      </w:r>
    </w:p>
    <w:p>
      <w:pPr>
        <w:spacing w:after="0" w:line="183" w:lineRule="exact"/>
        <w:rPr>
          <w:rFonts w:ascii="Times New Roman" w:cs="Times New Roman" w:eastAsia="Times New Roman" w:hAnsi="Times New Roman"/>
          <w:sz w:val="18"/>
          <w:szCs w:val="18"/>
          <w:color w:val="auto"/>
        </w:rPr>
      </w:pPr>
    </w:p>
    <w:p>
      <w:pPr>
        <w:ind w:right="40" w:firstLine="1428"/>
        <w:spacing w:after="0" w:line="253" w:lineRule="auto"/>
        <w:tabs>
          <w:tab w:leader="none" w:pos="168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shall accrue (in addition to stated interest on the Securities) on the aggregate principal amount of the Securities affected by the Registration Default from and including the date on which the first such Registration Default shall occur to but excluding the date on which all Registration Defaults have been cured, at a rate per annum equal to 0.25% of the principal amount of the Securities (which rate will be increased by an additional 0.25% per annum for each subsequent 90-day period that such Additional Interest continues to accrue, provided that the rate at which such Additional Interest accrues may in no event exceed 0.50% per annum). Accrued Additional Interest, if any, shall be paid in cash in arrears on the applicable interest payment dates for the applicable Securities; and the amount of accrued Additional Interest shall be determined on the basis of the number of days actually elapsed. Any accrued and unpaid interest (including Additional Interest) on any of the Securities shall, upon the issuance of an Exchange Security in exchange therefor, shall cease to be payable to the Holder thereof but such accrued and unpaid interest (including Additional Interest) shall be payable on the next applicable interest payment date for such Exchange Security to the Holder thereof on the related record date. Any Additional Interest payable by the Company shall constitute liquidated damages and shall be the exclusive remedy, monetary or otherwise, available to Holders with respect to a Registration Default.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46" w:name="page247"/>
    <w:bookmarkEnd w:id="246"/>
    <w:p>
      <w:pPr>
        <w:ind w:left="620" w:hanging="184"/>
        <w:spacing w:after="0"/>
        <w:tabs>
          <w:tab w:leader="none" w:pos="62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60" w:firstLine="1428"/>
        <w:spacing w:after="0" w:line="266" w:lineRule="auto"/>
        <w:tabs>
          <w:tab w:leader="none" w:pos="167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The Company has not, as of the date hereof, entered into, nor shall it, on or after the date hereof, enter into, any agreement with respect to its securities that limits the rights granted to the Holders herein or otherwise conflicts with the provisions hereof.</w:t>
      </w:r>
    </w:p>
    <w:p>
      <w:pPr>
        <w:spacing w:after="0" w:line="175"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qualified, modified or supplemented, and waivers or consents to departures from the provisions hereof may not be given, unless the Company has obtained the written consent of the Holders of at least a majority of the then outstanding aggregate principal amount of Securities (or, after the consummation of any Registered Exchange Offer in accordance with Section 2 hereof, of Exchange Securities). Notwithstanding the foregoing, a waiver or consent to departure from the provisions hereof with respect to a matter that relates exclusively to the rights of Holders whose securities are being sold pursuant to a Registration Statement and that does not directly or indirectly affect the rights of other Holders may be given by the Majority Holders, determined on the basis of securities being sold rather than registered under such Registration Statement.</w:t>
      </w:r>
    </w:p>
    <w:p>
      <w:pPr>
        <w:spacing w:after="0" w:line="188"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or permitted hereunder shall be made in writing by hand-delivery, first-class mail, e-mail, or air courier guaranteeing overnight delivery:</w:t>
      </w:r>
    </w:p>
    <w:p>
      <w:pPr>
        <w:spacing w:after="0" w:line="53" w:lineRule="exact"/>
        <w:rPr>
          <w:rFonts w:ascii="Times New Roman" w:cs="Times New Roman" w:eastAsia="Times New Roman" w:hAnsi="Times New Roman"/>
          <w:sz w:val="18"/>
          <w:szCs w:val="18"/>
          <w:color w:val="auto"/>
        </w:rPr>
      </w:pPr>
    </w:p>
    <w:p>
      <w:pPr>
        <w:ind w:left="1420" w:right="40" w:firstLine="391"/>
        <w:spacing w:after="0" w:line="266" w:lineRule="auto"/>
        <w:tabs>
          <w:tab w:leader="none" w:pos="2018"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at the most current address given by such Holder to the Company in accordance with the provisions of this Section 8(c), which address initially is, with respect to each Holder, the address of such Holder maintained by the registrar under the Indenture;</w:t>
      </w:r>
    </w:p>
    <w:p>
      <w:pPr>
        <w:spacing w:after="0" w:line="6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you, initially at the address set forth in the Purchase Agreement; and</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initially at its address set forth in the Purchase Agreement.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when actually received. So long as the Securities are in global form registered in the name of DTC or its nominee, Holders will be deemed to have received any notices referred to hereunder upon receipt of such notice by DTC for distribution to its participants.</w:t>
      </w:r>
    </w:p>
    <w:p>
      <w:pPr>
        <w:spacing w:after="0" w:line="176" w:lineRule="exact"/>
        <w:rPr>
          <w:sz w:val="20"/>
          <w:szCs w:val="20"/>
          <w:color w:val="auto"/>
        </w:rPr>
      </w:pPr>
    </w:p>
    <w:p>
      <w:pPr>
        <w:jc w:val="center"/>
        <w:ind w:left="520" w:right="360"/>
        <w:spacing w:after="0" w:line="454" w:lineRule="auto"/>
        <w:rPr>
          <w:sz w:val="20"/>
          <w:szCs w:val="20"/>
          <w:color w:val="auto"/>
        </w:rPr>
      </w:pPr>
      <w:r>
        <w:rPr>
          <w:rFonts w:ascii="Times New Roman" w:cs="Times New Roman" w:eastAsia="Times New Roman" w:hAnsi="Times New Roman"/>
          <w:sz w:val="18"/>
          <w:szCs w:val="18"/>
          <w:color w:val="auto"/>
        </w:rPr>
        <w:t>The Trustee or the Company by notice to the other may designate additional or different addresses for subsequent notices or communications. 17</w:t>
      </w:r>
    </w:p>
    <w:p>
      <w:pPr>
        <w:sectPr>
          <w:pgSz w:w="11900" w:h="16838" w:orient="portrait"/>
          <w:cols w:equalWidth="0" w:num="1">
            <w:col w:w="11000"/>
          </w:cols>
          <w:pgMar w:left="440" w:top="270" w:right="459" w:bottom="1440" w:gutter="0" w:footer="0" w:header="0"/>
        </w:sectPr>
      </w:pPr>
    </w:p>
    <w:bookmarkStart w:id="247" w:name="page248"/>
    <w:bookmarkEnd w:id="247"/>
    <w:p>
      <w:pPr>
        <w:jc w:val="both"/>
        <w:ind w:right="40" w:firstLine="1428"/>
        <w:spacing w:after="0" w:line="261" w:lineRule="auto"/>
        <w:tabs>
          <w:tab w:leader="none" w:pos="168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This Agreement shall inure to the benefit of and be binding upon the successors and assigns of each of the parties, including, without the need for an express assignment or any consent by the Company or subsequent Holders of Securities and/or Exchange Securities. The Company hereby agrees to extend the benefits of this Agreement to any Holder of Securities and/or Exchange Securities and any such Holder may specifically enforce the provisions of this Agreement as if an original party hereto.</w:t>
      </w:r>
    </w:p>
    <w:p>
      <w:pPr>
        <w:spacing w:after="0" w:line="71" w:lineRule="exact"/>
        <w:rPr>
          <w:rFonts w:ascii="Times New Roman" w:cs="Times New Roman" w:eastAsia="Times New Roman" w:hAnsi="Times New Roman"/>
          <w:sz w:val="18"/>
          <w:szCs w:val="18"/>
          <w:color w:val="auto"/>
        </w:rPr>
      </w:pPr>
    </w:p>
    <w:p>
      <w:pPr>
        <w:ind w:firstLine="1428"/>
        <w:spacing w:after="0" w:line="312" w:lineRule="auto"/>
        <w:tabs>
          <w:tab w:leader="none" w:pos="1677"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31" w:lineRule="exact"/>
        <w:rPr>
          <w:rFonts w:ascii="Times New Roman" w:cs="Times New Roman" w:eastAsia="Times New Roman" w:hAnsi="Times New Roman"/>
          <w:sz w:val="17"/>
          <w:szCs w:val="17"/>
          <w:color w:val="auto"/>
        </w:rPr>
      </w:pPr>
    </w:p>
    <w:p>
      <w:pPr>
        <w:ind w:left="1660" w:hanging="232"/>
        <w:spacing w:after="0"/>
        <w:tabs>
          <w:tab w:leader="none" w:pos="1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hereof.</w:t>
      </w:r>
    </w:p>
    <w:p>
      <w:pPr>
        <w:spacing w:after="0" w:line="98" w:lineRule="exact"/>
        <w:rPr>
          <w:rFonts w:ascii="Times New Roman" w:cs="Times New Roman" w:eastAsia="Times New Roman" w:hAnsi="Times New Roman"/>
          <w:sz w:val="18"/>
          <w:szCs w:val="18"/>
          <w:color w:val="auto"/>
        </w:rPr>
      </w:pPr>
    </w:p>
    <w:p>
      <w:pPr>
        <w:ind w:right="260" w:firstLine="1428"/>
        <w:spacing w:after="0" w:line="282" w:lineRule="auto"/>
        <w:tabs>
          <w:tab w:leader="none" w:pos="168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CONFLICT OF LAW PROVISIONS THEREOF).</w:t>
      </w:r>
    </w:p>
    <w:p>
      <w:pPr>
        <w:spacing w:after="0" w:line="53"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the rights and privileges of the parties shall be enforceable to the fullest extent permitted by law.</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64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Held by the Company, etc</w:t>
      </w:r>
      <w:r>
        <w:rPr>
          <w:rFonts w:ascii="Times New Roman" w:cs="Times New Roman" w:eastAsia="Times New Roman" w:hAnsi="Times New Roman"/>
          <w:sz w:val="18"/>
          <w:szCs w:val="18"/>
          <w:color w:val="auto"/>
        </w:rPr>
        <w:t>. Whenever the consent or approval of Holders of a specified percentage of principal amount of Securities or Exchange Securities is required hereunder, Securities or Exchange Securities, as applicable, held by the Company or its Affiliates (other than subsequent Holders of Securities or Exchange Securities if such subsequent Holders are deemed to be Affiliates solely by reason of their holdings of such Securities or Exchange Securities) shall not be counted in determining whether such consent or approval was given by the Holders of such required percentage.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that the foregoing correctly sets forth the agreement between the Company and you.</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HONEYWELL AEROSPACE INC.</w:t>
      </w:r>
    </w:p>
    <w:p>
      <w:pPr>
        <w:spacing w:after="0" w:line="23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Treasurer and Director</w:t>
      </w:r>
    </w:p>
    <w:p>
      <w:pPr>
        <w:sectPr>
          <w:pgSz w:w="11900" w:h="16838" w:orient="portrait"/>
          <w:cols w:equalWidth="0" w:num="1">
            <w:col w:w="9579"/>
          </w:cols>
          <w:pgMar w:left="880" w:top="270"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 as of the date first above written on behalf of each of the Initial Purchasers: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Julie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Julie Blanco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Jonathan Zwart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1)"/>
      <w:numFmt w:val="lowerLetter"/>
      <w:start w:val="1"/>
    </w:lvl>
  </w:abstractNum>
  <w:abstractNum w:abstractNumId="2">
    <w:nsid w:val="5D888A08"/>
    <w:multiLevelType w:val="hybridMultilevel"/>
    <w:lvl w:ilvl="0">
      <w:lvlJc w:val="left"/>
      <w:lvlText w:val="(%1)"/>
      <w:numFmt w:val="decimal"/>
      <w:start w:val="1"/>
    </w:lvl>
  </w:abstractNum>
  <w:abstractNum w:abstractNumId="3">
    <w:nsid w:val="2A082C70"/>
    <w:multiLevelType w:val="hybridMultilevel"/>
    <w:lvl w:ilvl="0">
      <w:lvlJc w:val="left"/>
      <w:lvlText w:val="(%1)"/>
      <w:numFmt w:val="decimal"/>
      <w:start w:val="2"/>
    </w:lvl>
  </w:abstractNum>
  <w:abstractNum w:abstractNumId="4">
    <w:nsid w:val="5EC6AFD4"/>
    <w:multiLevelType w:val="hybridMultilevel"/>
    <w:lvl w:ilvl="0">
      <w:lvlJc w:val="left"/>
      <w:lvlText w:val="(%1)"/>
      <w:numFmt w:val="decimal"/>
      <w:start w:val="8"/>
    </w:lvl>
  </w:abstractNum>
  <w:abstractNum w:abstractNumId="5">
    <w:nsid w:val="19E21BB2"/>
    <w:multiLevelType w:val="hybridMultilevel"/>
    <w:lvl w:ilvl="0">
      <w:lvlJc w:val="left"/>
      <w:lvlText w:val="(%1)"/>
      <w:numFmt w:val="decimal"/>
      <w:start w:val="11"/>
    </w:lvl>
  </w:abstractNum>
  <w:abstractNum w:abstractNumId="6">
    <w:nsid w:val="75E0858A"/>
    <w:multiLevelType w:val="hybridMultilevel"/>
    <w:lvl w:ilvl="0">
      <w:lvlJc w:val="left"/>
      <w:lvlText w:val="(%1)"/>
      <w:numFmt w:val="lowerLetter"/>
      <w:start w:val="1"/>
    </w:lvl>
  </w:abstractNum>
  <w:abstractNum w:abstractNumId="7">
    <w:nsid w:val="57A61A29"/>
    <w:multiLevelType w:val="hybridMultilevel"/>
    <w:lvl w:ilvl="0">
      <w:lvlJc w:val="left"/>
      <w:lvlText w:val="(%1)"/>
      <w:numFmt w:val="lowerLetter"/>
      <w:start w:val="2"/>
    </w:lvl>
  </w:abstractNum>
  <w:abstractNum w:abstractNumId="8">
    <w:nsid w:val="5399C654"/>
    <w:multiLevelType w:val="hybridMultilevel"/>
    <w:lvl w:ilvl="0">
      <w:lvlJc w:val="left"/>
      <w:lvlText w:val="(%1)"/>
      <w:numFmt w:val="lowerLetter"/>
      <w:start w:val="4"/>
    </w:lvl>
  </w:abstractNum>
  <w:abstractNum w:abstractNumId="9">
    <w:nsid w:val="20EE1348"/>
    <w:multiLevelType w:val="hybridMultilevel"/>
    <w:lvl w:ilvl="0">
      <w:lvlJc w:val="left"/>
      <w:lvlText w:val="(%1)"/>
      <w:numFmt w:val="lowerLetter"/>
      <w:start w:val="2"/>
    </w:lvl>
  </w:abstractNum>
  <w:abstractNum w:abstractNumId="10">
    <w:nsid w:val="4427069A"/>
    <w:multiLevelType w:val="hybridMultilevel"/>
    <w:lvl w:ilvl="0">
      <w:lvlJc w:val="left"/>
      <w:lvlText w:val="(%1)"/>
      <w:numFmt w:val="lowerLetter"/>
      <w:start w:val="5"/>
    </w:lvl>
  </w:abstractNum>
  <w:abstractNum w:abstractNumId="11">
    <w:nsid w:val="B37E80A"/>
    <w:multiLevelType w:val="hybridMultilevel"/>
    <w:lvl w:ilvl="0">
      <w:lvlJc w:val="left"/>
      <w:lvlText w:val="(%1)"/>
      <w:numFmt w:val="lowerLetter"/>
      <w:start w:val="1"/>
    </w:lvl>
  </w:abstractNum>
  <w:abstractNum w:abstractNumId="12">
    <w:nsid w:val="2157F6BC"/>
    <w:multiLevelType w:val="hybridMultilevel"/>
    <w:lvl w:ilvl="0">
      <w:lvlJc w:val="left"/>
      <w:lvlText w:val="(%1)"/>
      <w:numFmt w:val="lowerLetter"/>
      <w:start w:val="6"/>
    </w:lvl>
  </w:abstractNum>
  <w:abstractNum w:abstractNumId="13">
    <w:nsid w:val="704E1DD5"/>
    <w:multiLevelType w:val="hybridMultilevel"/>
    <w:lvl w:ilvl="0">
      <w:lvlJc w:val="left"/>
      <w:lvlText w:val="(%1)"/>
      <w:numFmt w:val="lowerLetter"/>
      <w:start w:val="1"/>
    </w:lvl>
  </w:abstractNum>
  <w:abstractNum w:abstractNumId="14">
    <w:nsid w:val="57D2F10E"/>
    <w:multiLevelType w:val="hybridMultilevel"/>
    <w:lvl w:ilvl="0">
      <w:lvlJc w:val="left"/>
      <w:lvlText w:val="(%1)"/>
      <w:numFmt w:val="lowerLetter"/>
      <w:start w:val="1"/>
    </w:lvl>
  </w:abstractNum>
  <w:abstractNum w:abstractNumId="15">
    <w:nsid w:val="BFFAE18"/>
    <w:multiLevelType w:val="hybridMultilevel"/>
    <w:lvl w:ilvl="0">
      <w:lvlJc w:val="left"/>
      <w:lvlText w:val="(%1)"/>
      <w:numFmt w:val="lowerLetter"/>
      <w:start w:val="5"/>
    </w:lvl>
  </w:abstractNum>
  <w:abstractNum w:abstractNumId="16">
    <w:nsid w:val="E3E47A8"/>
    <w:multiLevelType w:val="hybridMultilevel"/>
    <w:lvl w:ilvl="0">
      <w:lvlJc w:val="left"/>
      <w:lvlText w:val="(%1)"/>
      <w:numFmt w:val="lowerLetter"/>
      <w:start w:val="2"/>
    </w:lvl>
  </w:abstractNum>
  <w:abstractNum w:abstractNumId="17">
    <w:nsid w:val="2E48F044"/>
    <w:multiLevelType w:val="hybridMultilevel"/>
    <w:lvl w:ilvl="0">
      <w:lvlJc w:val="left"/>
      <w:lvlText w:val="(%1)"/>
      <w:numFmt w:val="lowerLetter"/>
      <w:start w:val="1"/>
    </w:lvl>
  </w:abstractNum>
  <w:abstractNum w:abstractNumId="18">
    <w:nsid w:val="49D0FEAC"/>
    <w:multiLevelType w:val="hybridMultilevel"/>
    <w:lvl w:ilvl="0">
      <w:lvlJc w:val="left"/>
      <w:lvlText w:val="(%1)"/>
      <w:numFmt w:val="lowerLetter"/>
      <w:start w:val="1"/>
    </w:lvl>
  </w:abstractNum>
  <w:abstractNum w:abstractNumId="19">
    <w:nsid w:val="4BEE5A5B"/>
    <w:multiLevelType w:val="hybridMultilevel"/>
    <w:lvl w:ilvl="0">
      <w:lvlJc w:val="left"/>
      <w:lvlText w:val="(%1)"/>
      <w:numFmt w:val="lowerLetter"/>
      <w:start w:val="5"/>
    </w:lvl>
  </w:abstractNum>
  <w:abstractNum w:abstractNumId="20">
    <w:nsid w:val="5551B9F3"/>
    <w:multiLevelType w:val="hybridMultilevel"/>
    <w:lvl w:ilvl="0">
      <w:lvlJc w:val="left"/>
      <w:lvlText w:val="(%1)"/>
      <w:numFmt w:val="lowerLetter"/>
      <w:start w:val="1"/>
    </w:lvl>
  </w:abstractNum>
  <w:abstractNum w:abstractNumId="21">
    <w:nsid w:val="24F6AB8E"/>
    <w:multiLevelType w:val="hybridMultilevel"/>
    <w:lvl w:ilvl="0">
      <w:lvlJc w:val="left"/>
      <w:lvlText w:val="(%1)"/>
      <w:numFmt w:val="lowerLetter"/>
      <w:start w:val="7"/>
    </w:lvl>
  </w:abstractNum>
  <w:abstractNum w:abstractNumId="22">
    <w:nsid w:val="634C574C"/>
    <w:multiLevelType w:val="hybridMultilevel"/>
    <w:lvl w:ilvl="0">
      <w:lvlJc w:val="left"/>
      <w:lvlText w:val="%1"/>
      <w:numFmt w:val="lowerRoman"/>
      <w:start w:val="1"/>
    </w:lvl>
    <w:lvl w:ilvl="1">
      <w:lvlJc w:val="left"/>
      <w:lvlText w:val="(%2)"/>
      <w:numFmt w:val="lowerLetter"/>
      <w:start w:val="2"/>
    </w:lvl>
  </w:abstractNum>
  <w:abstractNum w:abstractNumId="23">
    <w:nsid w:val="24E99DD7"/>
    <w:multiLevelType w:val="hybridMultilevel"/>
    <w:lvl w:ilvl="0">
      <w:lvlJc w:val="left"/>
      <w:lvlText w:val="(%1)"/>
      <w:numFmt w:val="lowerRoman"/>
      <w:start w:val="1"/>
    </w:lvl>
    <w:lvl w:ilvl="1">
      <w:lvlJc w:val="left"/>
      <w:lvlText w:val="%2"/>
      <w:numFmt w:val="lowerLetter"/>
      <w:start w:val="1"/>
    </w:lvl>
  </w:abstractNum>
  <w:abstractNum w:abstractNumId="24">
    <w:nsid w:val="2A31B62D"/>
    <w:multiLevelType w:val="hybridMultilevel"/>
    <w:lvl w:ilvl="0">
      <w:lvlJc w:val="left"/>
      <w:lvlText w:val="(%1)"/>
      <w:numFmt w:val="lowerLetter"/>
      <w:start w:val="3"/>
    </w:lvl>
  </w:abstractNum>
  <w:abstractNum w:abstractNumId="25">
    <w:nsid w:val="1849C29B"/>
    <w:multiLevelType w:val="hybridMultilevel"/>
    <w:lvl w:ilvl="0">
      <w:lvlJc w:val="left"/>
      <w:lvlText w:val="(%1)"/>
      <w:numFmt w:val="lowerLetter"/>
      <w:start w:val="4"/>
    </w:lvl>
  </w:abstractNum>
  <w:abstractNum w:abstractNumId="26">
    <w:nsid w:val="7DFF9D09"/>
    <w:multiLevelType w:val="hybridMultilevel"/>
    <w:lvl w:ilvl="0">
      <w:lvlJc w:val="left"/>
      <w:lvlText w:val="(%1)"/>
      <w:numFmt w:val="lowerLetter"/>
      <w:start w:val="5"/>
    </w:lvl>
  </w:abstractNum>
  <w:abstractNum w:abstractNumId="27">
    <w:nsid w:val="754342"/>
    <w:multiLevelType w:val="hybridMultilevel"/>
    <w:lvl w:ilvl="0">
      <w:lvlJc w:val="left"/>
      <w:lvlText w:val="%1"/>
      <w:numFmt w:val="decimal"/>
      <w:start w:val="1"/>
    </w:lvl>
    <w:lvl w:ilvl="1">
      <w:lvlJc w:val="left"/>
      <w:lvlText w:val="(%2)"/>
      <w:numFmt w:val="lowerLetter"/>
      <w:start w:val="2"/>
    </w:lvl>
  </w:abstractNum>
  <w:abstractNum w:abstractNumId="28">
    <w:nsid w:val="69E7F3E5"/>
    <w:multiLevelType w:val="hybridMultilevel"/>
    <w:lvl w:ilvl="0">
      <w:lvlJc w:val="left"/>
      <w:lvlText w:val="(%1)"/>
      <w:numFmt w:val="decimal"/>
      <w:start w:val="3"/>
    </w:lvl>
    <w:lvl w:ilvl="1">
      <w:lvlJc w:val="left"/>
      <w:lvlText w:val="%2"/>
      <w:numFmt w:val="lowerLetter"/>
      <w:start w:val="1"/>
    </w:lvl>
  </w:abstractNum>
  <w:abstractNum w:abstractNumId="29">
    <w:nsid w:val="2A6DE806"/>
    <w:multiLevelType w:val="hybridMultilevel"/>
    <w:lvl w:ilvl="0">
      <w:lvlJc w:val="left"/>
      <w:lvlText w:val="(%1)"/>
      <w:numFmt w:val="lowerLetter"/>
      <w:start w:val="3"/>
    </w:lvl>
  </w:abstractNum>
  <w:abstractNum w:abstractNumId="30">
    <w:nsid w:val="1816F8C4"/>
    <w:multiLevelType w:val="hybridMultilevel"/>
    <w:lvl w:ilvl="0">
      <w:lvlJc w:val="left"/>
      <w:lvlText w:val="(%1)"/>
      <w:numFmt w:val="lowerLetter"/>
      <w:start w:val="1"/>
    </w:lvl>
  </w:abstractNum>
  <w:abstractNum w:abstractNumId="31">
    <w:nsid w:val="37DF2233"/>
    <w:multiLevelType w:val="hybridMultilevel"/>
    <w:lvl w:ilvl="0">
      <w:lvlJc w:val="left"/>
      <w:lvlText w:val="(%1)"/>
      <w:numFmt w:val="lowerLetter"/>
      <w:start w:val="2"/>
    </w:lvl>
  </w:abstractNum>
  <w:abstractNum w:abstractNumId="32">
    <w:nsid w:val="7AB49DAF"/>
    <w:multiLevelType w:val="hybridMultilevel"/>
    <w:lvl w:ilvl="0">
      <w:lvlJc w:val="left"/>
      <w:lvlText w:val="(%1)"/>
      <w:numFmt w:val="lowerLetter"/>
      <w:start w:val="1"/>
    </w:lvl>
  </w:abstractNum>
  <w:abstractNum w:abstractNumId="33">
    <w:nsid w:val="759F82CD"/>
    <w:multiLevelType w:val="hybridMultilevel"/>
    <w:lvl w:ilvl="0">
      <w:lvlJc w:val="left"/>
      <w:lvlText w:val="(%1)"/>
      <w:numFmt w:val="lowerLetter"/>
      <w:start w:val="1"/>
    </w:lvl>
  </w:abstractNum>
  <w:abstractNum w:abstractNumId="34">
    <w:nsid w:val="61E74EA3"/>
    <w:multiLevelType w:val="hybridMultilevel"/>
    <w:lvl w:ilvl="0">
      <w:lvlJc w:val="left"/>
      <w:lvlText w:val="(%1)"/>
      <w:numFmt w:val="lowerLetter"/>
      <w:start w:val="1"/>
    </w:lvl>
  </w:abstractNum>
  <w:abstractNum w:abstractNumId="35">
    <w:nsid w:val="597B4D84"/>
    <w:multiLevelType w:val="hybridMultilevel"/>
    <w:lvl w:ilvl="0">
      <w:lvlJc w:val="left"/>
      <w:lvlText w:val="(%1)"/>
      <w:numFmt w:val="lowerLetter"/>
      <w:start w:val="3"/>
    </w:lvl>
  </w:abstractNum>
  <w:abstractNum w:abstractNumId="36">
    <w:nsid w:val="F819E7F"/>
    <w:multiLevelType w:val="hybridMultilevel"/>
    <w:lvl w:ilvl="0">
      <w:lvlJc w:val="left"/>
      <w:lvlText w:val="(%1)"/>
      <w:numFmt w:val="lowerLetter"/>
      <w:start w:val="1"/>
    </w:lvl>
  </w:abstractNum>
  <w:abstractNum w:abstractNumId="37">
    <w:nsid w:val="57C7D42D"/>
    <w:multiLevelType w:val="hybridMultilevel"/>
    <w:lvl w:ilvl="0">
      <w:lvlJc w:val="left"/>
      <w:lvlText w:val="(%1)"/>
      <w:numFmt w:val="lowerRoman"/>
      <w:start w:val="2"/>
    </w:lvl>
  </w:abstractNum>
  <w:abstractNum w:abstractNumId="38">
    <w:nsid w:val="312167AD"/>
    <w:multiLevelType w:val="hybridMultilevel"/>
    <w:lvl w:ilvl="0">
      <w:lvlJc w:val="left"/>
      <w:lvlText w:val="%1"/>
      <w:numFmt w:val="lowerLetter"/>
      <w:start w:val="1"/>
    </w:lvl>
    <w:lvl w:ilvl="1">
      <w:lvlJc w:val="left"/>
      <w:lvlText w:val="(%2)"/>
      <w:numFmt w:val="lowerLetter"/>
      <w:start w:val="1"/>
    </w:lvl>
  </w:abstractNum>
  <w:abstractNum w:abstractNumId="39">
    <w:nsid w:val="631B64D4"/>
    <w:multiLevelType w:val="hybridMultilevel"/>
    <w:lvl w:ilvl="0">
      <w:lvlJc w:val="left"/>
      <w:lvlText w:val="(%1)"/>
      <w:numFmt w:val="lowerLetter"/>
      <w:start w:val="9"/>
    </w:lvl>
    <w:lvl w:ilvl="1">
      <w:lvlJc w:val="left"/>
      <w:lvlText w:val="(%2)"/>
      <w:numFmt w:val="lowerLetter"/>
      <w:start w:val="3"/>
    </w:lvl>
  </w:abstractNum>
  <w:abstractNum w:abstractNumId="40">
    <w:nsid w:val="78B5E776"/>
    <w:multiLevelType w:val="hybridMultilevel"/>
    <w:lvl w:ilvl="0">
      <w:lvlJc w:val="left"/>
      <w:lvlText w:val="(%1)"/>
      <w:numFmt w:val="lowerLetter"/>
      <w:start w:val="5"/>
    </w:lvl>
  </w:abstractNum>
  <w:abstractNum w:abstractNumId="41">
    <w:nsid w:val="75486E47"/>
    <w:multiLevelType w:val="hybridMultilevel"/>
    <w:lvl w:ilvl="0">
      <w:lvlJc w:val="left"/>
      <w:lvlText w:val="(%1)"/>
      <w:numFmt w:val="lowerLetter"/>
      <w:start w:val="1"/>
    </w:lvl>
    <w:lvl w:ilvl="1">
      <w:lvlJc w:val="left"/>
      <w:lvlText w:val="(%2)"/>
      <w:numFmt w:val="lowerRoman"/>
      <w:start w:val="1"/>
    </w:lvl>
  </w:abstractNum>
  <w:abstractNum w:abstractNumId="42">
    <w:nsid w:val="6E534CDE"/>
    <w:multiLevelType w:val="hybridMultilevel"/>
    <w:lvl w:ilvl="0">
      <w:lvlJc w:val="left"/>
      <w:lvlText w:val="%1"/>
      <w:numFmt w:val="lowerLetter"/>
      <w:start w:val="1"/>
    </w:lvl>
    <w:lvl w:ilvl="1">
      <w:lvlJc w:val="left"/>
      <w:lvlText w:val="(%2)"/>
      <w:numFmt w:val="upperLetter"/>
      <w:start w:val="1"/>
    </w:lvl>
  </w:abstractNum>
  <w:abstractNum w:abstractNumId="43">
    <w:nsid w:val="1A0DDE32"/>
    <w:multiLevelType w:val="hybridMultilevel"/>
    <w:lvl w:ilvl="0">
      <w:lvlJc w:val="left"/>
      <w:lvlText w:val="(%1)"/>
      <w:numFmt w:val="lowerLetter"/>
      <w:start w:val="2"/>
    </w:lvl>
    <w:lvl w:ilvl="1">
      <w:lvlJc w:val="left"/>
      <w:lvlText w:val="%2"/>
      <w:numFmt w:val="upperLetter"/>
      <w:start w:val="1"/>
    </w:lvl>
  </w:abstractNum>
  <w:abstractNum w:abstractNumId="44">
    <w:nsid w:val="65968C1C"/>
    <w:multiLevelType w:val="hybridMultilevel"/>
    <w:lvl w:ilvl="0">
      <w:lvlJc w:val="left"/>
      <w:lvlText w:val="(%1)"/>
      <w:numFmt w:val="lowerLetter"/>
      <w:start w:val="1"/>
    </w:lvl>
  </w:abstractNum>
  <w:abstractNum w:abstractNumId="45">
    <w:nsid w:val="46263DEC"/>
    <w:multiLevelType w:val="hybridMultilevel"/>
    <w:lvl w:ilvl="0">
      <w:lvlJc w:val="left"/>
      <w:lvlText w:val="(%1)"/>
      <w:numFmt w:val="lowerLetter"/>
      <w:start w:val="2"/>
    </w:lvl>
  </w:abstractNum>
  <w:abstractNum w:abstractNumId="46">
    <w:nsid w:val="260D8C4A"/>
    <w:multiLevelType w:val="hybridMultilevel"/>
    <w:lvl w:ilvl="0">
      <w:lvlJc w:val="left"/>
      <w:lvlText w:val="(%1)"/>
      <w:numFmt w:val="lowerLetter"/>
      <w:start w:val="1"/>
    </w:lvl>
  </w:abstractNum>
  <w:abstractNum w:abstractNumId="47">
    <w:nsid w:val="73D4D3C4"/>
    <w:multiLevelType w:val="hybridMultilevel"/>
    <w:lvl w:ilvl="0">
      <w:lvlJc w:val="left"/>
      <w:lvlText w:val="(%1)"/>
      <w:numFmt w:val="lowerLetter"/>
      <w:start w:val="1"/>
    </w:lvl>
  </w:abstractNum>
  <w:abstractNum w:abstractNumId="48">
    <w:nsid w:val="746F2E30"/>
    <w:multiLevelType w:val="hybridMultilevel"/>
    <w:lvl w:ilvl="0">
      <w:lvlJc w:val="left"/>
      <w:lvlText w:val="(%1)"/>
      <w:numFmt w:val="lowerLetter"/>
      <w:start w:val="1"/>
    </w:lvl>
  </w:abstractNum>
  <w:abstractNum w:abstractNumId="49">
    <w:nsid w:val="6FDE8AF6"/>
    <w:multiLevelType w:val="hybridMultilevel"/>
    <w:lvl w:ilvl="0">
      <w:lvlJc w:val="left"/>
      <w:lvlText w:val="(%1)"/>
      <w:numFmt w:val="decimal"/>
      <w:start w:val="1"/>
    </w:lvl>
  </w:abstractNum>
  <w:abstractNum w:abstractNumId="50">
    <w:nsid w:val="3FC32E20"/>
    <w:multiLevelType w:val="hybridMultilevel"/>
    <w:lvl w:ilvl="0">
      <w:lvlJc w:val="left"/>
      <w:lvlText w:val="(%1)"/>
      <w:numFmt w:val="decimal"/>
      <w:start w:val="1"/>
    </w:lvl>
  </w:abstractNum>
  <w:abstractNum w:abstractNumId="51">
    <w:nsid w:val="49C0E823"/>
    <w:multiLevelType w:val="hybridMultilevel"/>
    <w:lvl w:ilvl="0">
      <w:lvlJc w:val="left"/>
      <w:lvlText w:val="(%1)"/>
      <w:numFmt w:val="decimal"/>
      <w:start w:val="1"/>
    </w:lvl>
  </w:abstractNum>
  <w:abstractNum w:abstractNumId="52">
    <w:nsid w:val="14D53685"/>
    <w:multiLevelType w:val="hybridMultilevel"/>
    <w:lvl w:ilvl="0">
      <w:lvlJc w:val="left"/>
      <w:lvlText w:val="(%1)"/>
      <w:numFmt w:val="decimal"/>
      <w:start w:val="1"/>
    </w:lvl>
  </w:abstractNum>
  <w:abstractNum w:abstractNumId="53">
    <w:nsid w:val="230F856C"/>
    <w:multiLevelType w:val="hybridMultilevel"/>
    <w:lvl w:ilvl="0">
      <w:lvlJc w:val="left"/>
      <w:lvlText w:val="1"/>
      <w:numFmt w:val="bullet"/>
      <w:start w:val="1"/>
    </w:lvl>
  </w:abstractNum>
  <w:abstractNum w:abstractNumId="54">
    <w:nsid w:val="6EAA85FB"/>
    <w:multiLevelType w:val="hybridMultilevel"/>
    <w:lvl w:ilvl="0">
      <w:lvlJc w:val="left"/>
      <w:lvlText w:val="(%1)"/>
      <w:numFmt w:val="lowerLetter"/>
      <w:start w:val="1"/>
    </w:lvl>
  </w:abstractNum>
  <w:abstractNum w:abstractNumId="55">
    <w:nsid w:val="3F06ECB2"/>
    <w:multiLevelType w:val="hybridMultilevel"/>
    <w:lvl w:ilvl="0">
      <w:lvlJc w:val="left"/>
      <w:lvlText w:val="(%1)"/>
      <w:numFmt w:val="lowerLetter"/>
      <w:start w:val="1"/>
    </w:lvl>
  </w:abstractNum>
  <w:abstractNum w:abstractNumId="56">
    <w:nsid w:val="3B594807"/>
    <w:multiLevelType w:val="hybridMultilevel"/>
    <w:lvl w:ilvl="0">
      <w:lvlJc w:val="left"/>
      <w:lvlText w:val="(%1)"/>
      <w:numFmt w:val="lowerLetter"/>
      <w:start w:val="2"/>
    </w:lvl>
  </w:abstractNum>
  <w:abstractNum w:abstractNumId="57">
    <w:nsid w:val="6CAA2304"/>
    <w:multiLevelType w:val="hybridMultilevel"/>
    <w:lvl w:ilvl="0">
      <w:lvlJc w:val="left"/>
      <w:lvlText w:val="(%1)"/>
      <w:numFmt w:val="lowerLetter"/>
      <w:start w:val="1"/>
    </w:lvl>
  </w:abstractNum>
  <w:abstractNum w:abstractNumId="58">
    <w:nsid w:val="3F7C2FF4"/>
    <w:multiLevelType w:val="hybridMultilevel"/>
    <w:lvl w:ilvl="0">
      <w:lvlJc w:val="left"/>
      <w:lvlText w:val="(%1)"/>
      <w:numFmt w:val="lowerLetter"/>
      <w:start w:val="3"/>
    </w:lvl>
  </w:abstractNum>
  <w:abstractNum w:abstractNumId="59">
    <w:nsid w:val="25413BEC"/>
    <w:multiLevelType w:val="hybridMultilevel"/>
    <w:lvl w:ilvl="0">
      <w:lvlJc w:val="left"/>
      <w:lvlText w:val="(%1)"/>
      <w:numFmt w:val="lowerLetter"/>
      <w:start w:val="1"/>
    </w:lvl>
    <w:lvl w:ilvl="1">
      <w:lvlJc w:val="left"/>
      <w:lvlText w:val="(%2)"/>
      <w:numFmt w:val="lowerLetter"/>
      <w:start w:val="35"/>
    </w:lvl>
  </w:abstractNum>
  <w:abstractNum w:abstractNumId="60">
    <w:nsid w:val="17180B0B"/>
    <w:multiLevelType w:val="hybridMultilevel"/>
    <w:lvl w:ilvl="0">
      <w:lvlJc w:val="left"/>
      <w:lvlText w:val="(%1)"/>
      <w:numFmt w:val="lowerRoman"/>
      <w:start w:val="3"/>
    </w:lvl>
  </w:abstractNum>
  <w:abstractNum w:abstractNumId="61">
    <w:nsid w:val="579328B9"/>
    <w:multiLevelType w:val="hybridMultilevel"/>
    <w:lvl w:ilvl="0">
      <w:lvlJc w:val="left"/>
      <w:lvlText w:val="(%1)"/>
      <w:numFmt w:val="lowerLetter"/>
      <w:start w:val="4"/>
    </w:lvl>
    <w:lvl w:ilvl="1">
      <w:lvlJc w:val="left"/>
      <w:lvlText w:val="(%2)"/>
      <w:numFmt w:val="lowerRoman"/>
      <w:start w:val="1"/>
    </w:lvl>
  </w:abstractNum>
  <w:abstractNum w:abstractNumId="62">
    <w:nsid w:val="5D205E20"/>
    <w:multiLevelType w:val="hybridMultilevel"/>
    <w:lvl w:ilvl="0">
      <w:lvlJc w:val="left"/>
      <w:lvlText w:val="%1"/>
      <w:numFmt w:val="lowerLetter"/>
      <w:start w:val="1"/>
    </w:lvl>
    <w:lvl w:ilvl="1">
      <w:lvlJc w:val="left"/>
      <w:lvlText w:val="(%2)"/>
      <w:numFmt w:val="lowerRoman"/>
      <w:start w:val="3"/>
    </w:lvl>
  </w:abstractNum>
  <w:abstractNum w:abstractNumId="63">
    <w:nsid w:val="11CCA8BA"/>
    <w:multiLevelType w:val="hybridMultilevel"/>
    <w:lvl w:ilvl="0">
      <w:lvlJc w:val="left"/>
      <w:lvlText w:val="(%1)"/>
      <w:numFmt w:val="lowerLetter"/>
      <w:start w:val="11"/>
    </w:lvl>
    <w:lvl w:ilvl="1">
      <w:lvlJc w:val="left"/>
      <w:lvlText w:val="%2"/>
      <w:numFmt w:val="lowerRoman"/>
      <w:start w:val="1"/>
    </w:lvl>
  </w:abstractNum>
  <w:abstractNum w:abstractNumId="64">
    <w:nsid w:val="4D32AB86"/>
    <w:multiLevelType w:val="hybridMultilevel"/>
    <w:lvl w:ilvl="0">
      <w:lvlJc w:val="left"/>
      <w:lvlText w:val="(%1)"/>
      <w:numFmt w:val="lowerLetter"/>
      <w:start w:val="1"/>
    </w:lvl>
  </w:abstractNum>
  <w:abstractNum w:abstractNumId="65">
    <w:nsid w:val="3F07ACC3"/>
    <w:multiLevelType w:val="hybridMultilevel"/>
    <w:lvl w:ilvl="0">
      <w:lvlJc w:val="left"/>
      <w:lvlText w:val="(%1)"/>
      <w:numFmt w:val="lowerLetter"/>
      <w:start w:val="1"/>
    </w:lvl>
  </w:abstractNum>
  <w:abstractNum w:abstractNumId="66">
    <w:nsid w:val="6B47F63E"/>
    <w:multiLevelType w:val="hybridMultilevel"/>
    <w:lvl w:ilvl="0">
      <w:lvlJc w:val="left"/>
      <w:lvlText w:val="(%1)"/>
      <w:numFmt w:val="lowerLetter"/>
      <w:start w:val="3"/>
    </w:lvl>
  </w:abstractNum>
  <w:abstractNum w:abstractNumId="67">
    <w:nsid w:val="5CB44A0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8">
    <w:nsid w:val="16CF80F1"/>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9">
    <w:nsid w:val="1C695DEC"/>
    <w:multiLevelType w:val="hybridMultilevel"/>
    <w:lvl w:ilvl="0">
      <w:lvlJc w:val="left"/>
      <w:lvlText w:val="(%1)"/>
      <w:numFmt w:val="lowerLetter"/>
      <w:start w:val="1"/>
    </w:lvl>
  </w:abstractNum>
  <w:abstractNum w:abstractNumId="70">
    <w:nsid w:val="3FCFAED9"/>
    <w:multiLevelType w:val="hybridMultilevel"/>
    <w:lvl w:ilvl="0">
      <w:lvlJc w:val="left"/>
      <w:lvlText w:val="(%1)"/>
      <w:numFmt w:val="lowerLetter"/>
      <w:start w:val="1"/>
    </w:lvl>
  </w:abstractNum>
  <w:abstractNum w:abstractNumId="71">
    <w:nsid w:val="F856867"/>
    <w:multiLevelType w:val="hybridMultilevel"/>
    <w:lvl w:ilvl="0">
      <w:lvlJc w:val="left"/>
      <w:lvlText w:val="(%1)"/>
      <w:numFmt w:val="lowerLetter"/>
      <w:start w:val="3"/>
    </w:lvl>
  </w:abstractNum>
  <w:abstractNum w:abstractNumId="72">
    <w:nsid w:val="11B1CC33"/>
    <w:multiLevelType w:val="hybridMultilevel"/>
    <w:lvl w:ilvl="0">
      <w:lvlJc w:val="left"/>
      <w:lvlText w:val="(%1)"/>
      <w:numFmt w:val="lowerLetter"/>
      <w:start w:val="1"/>
    </w:lvl>
  </w:abstractNum>
  <w:abstractNum w:abstractNumId="73">
    <w:nsid w:val="2E22FBB7"/>
    <w:multiLevelType w:val="hybridMultilevel"/>
    <w:lvl w:ilvl="0">
      <w:lvlJc w:val="left"/>
      <w:lvlText w:val="%1"/>
      <w:numFmt w:val="decimal"/>
      <w:start w:val="1"/>
    </w:lvl>
    <w:lvl w:ilvl="1">
      <w:lvlJc w:val="left"/>
      <w:lvlText w:val="(%2)"/>
      <w:numFmt w:val="lowerLetter"/>
      <w:start w:val="1"/>
    </w:lvl>
  </w:abstractNum>
  <w:abstractNum w:abstractNumId="74">
    <w:nsid w:val="29934699"/>
    <w:multiLevelType w:val="hybridMultilevel"/>
    <w:lvl w:ilvl="0">
      <w:lvlJc w:val="left"/>
      <w:lvlText w:val="(%1)"/>
      <w:numFmt w:val="decimal"/>
      <w:start w:val="2"/>
    </w:lvl>
    <w:lvl w:ilvl="1">
      <w:lvlJc w:val="left"/>
      <w:lvlText w:val="(%2)"/>
      <w:numFmt w:val="lowerLetter"/>
      <w:start w:val="2"/>
    </w:lvl>
  </w:abstractNum>
  <w:abstractNum w:abstractNumId="75">
    <w:nsid w:val="77485850"/>
    <w:multiLevelType w:val="hybridMultilevel"/>
    <w:lvl w:ilvl="0">
      <w:lvlJc w:val="left"/>
      <w:lvlText w:val="(%1)"/>
      <w:numFmt w:val="lowerLetter"/>
      <w:start w:val="4"/>
    </w:lvl>
  </w:abstractNum>
  <w:abstractNum w:abstractNumId="76">
    <w:nsid w:val="744939A3"/>
    <w:multiLevelType w:val="hybridMultilevel"/>
    <w:lvl w:ilvl="0">
      <w:lvlJc w:val="left"/>
      <w:lvlText w:val="%1"/>
      <w:numFmt w:val="lowerLetter"/>
      <w:start w:val="1"/>
    </w:lvl>
    <w:lvl w:ilvl="1">
      <w:lvlJc w:val="left"/>
      <w:lvlText w:val="(%2)"/>
      <w:numFmt w:val="lowerLetter"/>
      <w:start w:val="1"/>
    </w:lvl>
  </w:abstractNum>
  <w:abstractNum w:abstractNumId="77">
    <w:nsid w:val="4FA0D2E3"/>
    <w:multiLevelType w:val="hybridMultilevel"/>
    <w:lvl w:ilvl="0">
      <w:lvlJc w:val="left"/>
      <w:lvlText w:val="(%1)"/>
      <w:numFmt w:val="lowerLetter"/>
      <w:start w:val="9"/>
    </w:lvl>
    <w:lvl w:ilvl="1">
      <w:lvlJc w:val="left"/>
      <w:lvlText w:val="%2"/>
      <w:numFmt w:val="lowerLetter"/>
      <w:start w:val="1"/>
    </w:lvl>
  </w:abstractNum>
  <w:abstractNum w:abstractNumId="78">
    <w:nsid w:val="6B1D2C14"/>
    <w:multiLevelType w:val="hybridMultilevel"/>
    <w:lvl w:ilvl="0">
      <w:lvlJc w:val="left"/>
      <w:lvlText w:val="(%1)"/>
      <w:numFmt w:val="decimal"/>
      <w:start w:val="1"/>
    </w:lvl>
    <w:lvl w:ilvl="1">
      <w:lvlJc w:val="left"/>
      <w:lvlText w:val="(%2)"/>
      <w:numFmt w:val="lowerLetter"/>
      <w:start w:val="2"/>
    </w:lvl>
  </w:abstractNum>
  <w:abstractNum w:abstractNumId="79">
    <w:nsid w:val="68B867D3"/>
    <w:multiLevelType w:val="hybridMultilevel"/>
    <w:lvl w:ilvl="0">
      <w:lvlJc w:val="left"/>
      <w:lvlText w:val="(%1)"/>
      <w:numFmt w:val="lowerRoman"/>
      <w:start w:val="1"/>
    </w:lvl>
  </w:abstractNum>
  <w:abstractNum w:abstractNumId="80">
    <w:nsid w:val="3F7F5DD9"/>
    <w:multiLevelType w:val="hybridMultilevel"/>
    <w:lvl w:ilvl="0">
      <w:lvlJc w:val="left"/>
      <w:lvlText w:val="%1"/>
      <w:numFmt w:val="lowerRoman"/>
      <w:start w:val="1"/>
    </w:lvl>
    <w:lvl w:ilvl="1">
      <w:lvlJc w:val="left"/>
      <w:lvlText w:val="(%2)"/>
      <w:numFmt w:val="lowerLetter"/>
      <w:start w:val="3"/>
    </w:lvl>
  </w:abstractNum>
  <w:abstractNum w:abstractNumId="81">
    <w:nsid w:val="2AE05A34"/>
    <w:multiLevelType w:val="hybridMultilevel"/>
    <w:lvl w:ilvl="0">
      <w:lvlJc w:val="left"/>
      <w:lvlText w:val="(%1)"/>
      <w:numFmt w:val="lowerRoman"/>
      <w:start w:val="1"/>
    </w:lvl>
    <w:lvl w:ilvl="1">
      <w:lvlJc w:val="left"/>
      <w:lvlText w:val="(%2)"/>
      <w:numFmt w:val="lowerLetter"/>
      <w:start w:val="4"/>
    </w:lvl>
  </w:abstractNum>
  <w:abstractNum w:abstractNumId="82">
    <w:nsid w:val="32794FF7"/>
    <w:multiLevelType w:val="hybridMultilevel"/>
    <w:lvl w:ilvl="0">
      <w:lvlJc w:val="left"/>
      <w:lvlText w:val="(%1)"/>
      <w:numFmt w:val="lowerRoman"/>
      <w:start w:val="1"/>
    </w:lvl>
  </w:abstractNum>
  <w:abstractNum w:abstractNumId="83">
    <w:nsid w:val="5454945E"/>
    <w:multiLevelType w:val="hybridMultilevel"/>
    <w:lvl w:ilvl="0">
      <w:lvlJc w:val="left"/>
      <w:lvlText w:val="(%1)"/>
      <w:numFmt w:val="lowerRoman"/>
      <w:start w:val="2"/>
    </w:lvl>
    <w:lvl w:ilvl="1">
      <w:lvlJc w:val="left"/>
      <w:lvlText w:val="(%2)"/>
      <w:numFmt w:val="lowerLetter"/>
      <w:start w:val="5"/>
    </w:lvl>
  </w:abstractNum>
  <w:abstractNum w:abstractNumId="84">
    <w:nsid w:val="4DEFDFA0"/>
    <w:multiLevelType w:val="hybridMultilevel"/>
    <w:lvl w:ilvl="0">
      <w:lvlJc w:val="left"/>
      <w:lvlText w:val="(%1)"/>
      <w:numFmt w:val="lowerRoman"/>
      <w:start w:val="1"/>
    </w:lvl>
  </w:abstractNum>
  <w:abstractNum w:abstractNumId="85">
    <w:nsid w:val="2123D5F2"/>
    <w:multiLevelType w:val="hybridMultilevel"/>
    <w:lvl w:ilvl="0">
      <w:lvlJc w:val="left"/>
      <w:lvlText w:val="(%1)"/>
      <w:numFmt w:val="lowerRoman"/>
      <w:start w:val="2"/>
    </w:lvl>
    <w:lvl w:ilvl="1">
      <w:lvlJc w:val="left"/>
      <w:lvlText w:val="(%2)"/>
      <w:numFmt w:val="lowerLetter"/>
      <w:start w:val="6"/>
    </w:lvl>
  </w:abstractNum>
  <w:abstractNum w:abstractNumId="86">
    <w:nsid w:val="135B8110"/>
    <w:multiLevelType w:val="hybridMultilevel"/>
    <w:lvl w:ilvl="0">
      <w:lvlJc w:val="left"/>
      <w:lvlText w:val="(%1)"/>
      <w:numFmt w:val="lowerRoman"/>
      <w:start w:val="1"/>
    </w:lvl>
  </w:abstractNum>
  <w:abstractNum w:abstractNumId="87">
    <w:nsid w:val="94927A8"/>
    <w:multiLevelType w:val="hybridMultilevel"/>
    <w:lvl w:ilvl="0">
      <w:lvlJc w:val="left"/>
      <w:lvlText w:val="(%1)"/>
      <w:numFmt w:val="lowerRoman"/>
      <w:start w:val="2"/>
    </w:lvl>
    <w:lvl w:ilvl="1">
      <w:lvlJc w:val="left"/>
      <w:lvlText w:val="(%2)"/>
      <w:numFmt w:val="lowerLetter"/>
      <w:start w:val="8"/>
    </w:lvl>
  </w:abstractNum>
  <w:abstractNum w:abstractNumId="88">
    <w:nsid w:val="DCDF8F6"/>
    <w:multiLevelType w:val="hybridMultilevel"/>
    <w:lvl w:ilvl="0">
      <w:lvlJc w:val="left"/>
      <w:lvlText w:val="(%1)"/>
      <w:numFmt w:val="lowerRoman"/>
      <w:start w:val="1"/>
    </w:lvl>
  </w:abstractNum>
  <w:abstractNum w:abstractNumId="89">
    <w:nsid w:val="52D7B105"/>
    <w:multiLevelType w:val="hybridMultilevel"/>
    <w:lvl w:ilvl="0">
      <w:lvlJc w:val="left"/>
      <w:lvlText w:val="(%1)"/>
      <w:numFmt w:val="lowerRoman"/>
      <w:start w:val="2"/>
    </w:lvl>
    <w:lvl w:ilvl="1">
      <w:lvlJc w:val="left"/>
      <w:lvlText w:val="(%2)"/>
      <w:numFmt w:val="lowerRoman"/>
      <w:start w:val="1"/>
    </w:lvl>
  </w:abstractNum>
  <w:abstractNum w:abstractNumId="90">
    <w:nsid w:val="2E8A6394"/>
    <w:multiLevelType w:val="hybridMultilevel"/>
    <w:lvl w:ilvl="0">
      <w:lvlJc w:val="left"/>
      <w:lvlText w:val="(%1)"/>
      <w:numFmt w:val="lowerLetter"/>
      <w:start w:val="1"/>
    </w:lvl>
  </w:abstractNum>
  <w:abstractNum w:abstractNumId="91">
    <w:nsid w:val="24E60401"/>
    <w:multiLevelType w:val="hybridMultilevel"/>
    <w:lvl w:ilvl="0">
      <w:lvlJc w:val="left"/>
      <w:lvlText w:val="(%1)"/>
      <w:numFmt w:val="lowerLetter"/>
      <w:start w:val="2"/>
    </w:lvl>
  </w:abstractNum>
  <w:abstractNum w:abstractNumId="92">
    <w:nsid w:val="2A6AD9BE"/>
    <w:multiLevelType w:val="hybridMultilevel"/>
    <w:lvl w:ilvl="0">
      <w:lvlJc w:val="left"/>
      <w:lvlText w:val="(%1)"/>
      <w:numFmt w:val="upperLetter"/>
      <w:start w:val="4"/>
    </w:lvl>
  </w:abstractNum>
  <w:abstractNum w:abstractNumId="93">
    <w:nsid w:val="BAAC1B4"/>
    <w:multiLevelType w:val="hybridMultilevel"/>
    <w:lvl w:ilvl="0">
      <w:lvlJc w:val="left"/>
      <w:lvlText w:val="%1."/>
      <w:numFmt w:val="decimal"/>
      <w:start w:val="1"/>
    </w:lvl>
  </w:abstractNum>
  <w:abstractNum w:abstractNumId="94">
    <w:nsid w:val="36B2ACBC"/>
    <w:multiLevelType w:val="hybridMultilevel"/>
    <w:lvl w:ilvl="0">
      <w:lvlJc w:val="left"/>
      <w:lvlText w:val="%1."/>
      <w:numFmt w:val="decimal"/>
      <w:start w:val="2"/>
    </w:lvl>
  </w:abstractNum>
  <w:abstractNum w:abstractNumId="95">
    <w:nsid w:val="779D8544"/>
    <w:multiLevelType w:val="hybridMultilevel"/>
    <w:lvl w:ilvl="0">
      <w:lvlJc w:val="left"/>
      <w:lvlText w:val="%1."/>
      <w:numFmt w:val="decimal"/>
      <w:start w:val="3"/>
    </w:lvl>
  </w:abstractNum>
  <w:abstractNum w:abstractNumId="96">
    <w:nsid w:val="4AB26E78"/>
    <w:multiLevelType w:val="hybridMultilevel"/>
    <w:lvl w:ilvl="0">
      <w:lvlJc w:val="left"/>
      <w:lvlText w:val="%1."/>
      <w:numFmt w:val="decimal"/>
      <w:start w:val="4"/>
    </w:lvl>
  </w:abstractNum>
  <w:abstractNum w:abstractNumId="97">
    <w:nsid w:val="21FAA2FA"/>
    <w:multiLevelType w:val="hybridMultilevel"/>
    <w:lvl w:ilvl="0">
      <w:lvlJc w:val="left"/>
      <w:lvlText w:val="%1."/>
      <w:numFmt w:val="decimal"/>
      <w:start w:val="5"/>
    </w:lvl>
  </w:abstractNum>
  <w:abstractNum w:abstractNumId="98">
    <w:nsid w:val="5451CF49"/>
    <w:multiLevelType w:val="hybridMultilevel"/>
    <w:lvl w:ilvl="0">
      <w:lvlJc w:val="left"/>
      <w:lvlText w:val="%1."/>
      <w:numFmt w:val="decimal"/>
      <w:start w:val="6"/>
    </w:lvl>
  </w:abstractNum>
  <w:abstractNum w:abstractNumId="99">
    <w:nsid w:val="6181EF69"/>
    <w:multiLevelType w:val="hybridMultilevel"/>
    <w:lvl w:ilvl="0">
      <w:lvlJc w:val="left"/>
      <w:lvlText w:val="%1."/>
      <w:numFmt w:val="decimal"/>
      <w:start w:val="7"/>
    </w:lvl>
  </w:abstractNum>
  <w:abstractNum w:abstractNumId="100">
    <w:nsid w:val="3E6400E6"/>
    <w:multiLevelType w:val="hybridMultilevel"/>
    <w:lvl w:ilvl="0">
      <w:lvlJc w:val="left"/>
      <w:lvlText w:val="%1."/>
      <w:numFmt w:val="decimal"/>
      <w:start w:val="8"/>
    </w:lvl>
  </w:abstractNum>
  <w:abstractNum w:abstractNumId="101">
    <w:nsid w:val="14217E23"/>
    <w:multiLevelType w:val="hybridMultilevel"/>
    <w:lvl w:ilvl="0">
      <w:lvlJc w:val="left"/>
      <w:lvlText w:val="%1."/>
      <w:numFmt w:val="decimal"/>
      <w:start w:val="9"/>
    </w:lvl>
  </w:abstractNum>
  <w:abstractNum w:abstractNumId="102">
    <w:nsid w:val="710757D0"/>
    <w:multiLevelType w:val="hybridMultilevel"/>
    <w:lvl w:ilvl="0">
      <w:lvlJc w:val="left"/>
      <w:lvlText w:val="%1."/>
      <w:numFmt w:val="decimal"/>
      <w:start w:val="10"/>
    </w:lvl>
  </w:abstractNum>
  <w:abstractNum w:abstractNumId="103">
    <w:nsid w:val="5015CD1A"/>
    <w:multiLevelType w:val="hybridMultilevel"/>
    <w:lvl w:ilvl="0">
      <w:lvlJc w:val="left"/>
      <w:lvlText w:val="%1."/>
      <w:numFmt w:val="decimal"/>
      <w:start w:val="11"/>
    </w:lvl>
  </w:abstractNum>
  <w:abstractNum w:abstractNumId="104">
    <w:nsid w:val="424479DA"/>
    <w:multiLevelType w:val="hybridMultilevel"/>
    <w:lvl w:ilvl="0">
      <w:lvlJc w:val="left"/>
      <w:lvlText w:val="☐"/>
      <w:numFmt w:val="bullet"/>
      <w:start w:val="1"/>
    </w:lvl>
  </w:abstractNum>
  <w:abstractNum w:abstractNumId="105">
    <w:nsid w:val="1A9A9E69"/>
    <w:multiLevelType w:val="hybridMultilevel"/>
    <w:lvl w:ilvl="0">
      <w:lvlJc w:val="left"/>
      <w:lvlText w:val="(%1)"/>
      <w:numFmt w:val="decimal"/>
      <w:start w:val="1"/>
    </w:lvl>
  </w:abstractNum>
  <w:abstractNum w:abstractNumId="106">
    <w:nsid w:val="475E256A"/>
    <w:multiLevelType w:val="hybridMultilevel"/>
    <w:lvl w:ilvl="0">
      <w:lvlJc w:val="left"/>
      <w:lvlText w:val="*"/>
      <w:numFmt w:val="bullet"/>
      <w:start w:val="1"/>
    </w:lvl>
  </w:abstractNum>
  <w:abstractNum w:abstractNumId="107">
    <w:nsid w:val="368DB37E"/>
    <w:multiLevelType w:val="hybridMultilevel"/>
    <w:lvl w:ilvl="0">
      <w:lvlJc w:val="left"/>
      <w:lvlText w:val="(%1)"/>
      <w:numFmt w:val="upperLetter"/>
      <w:start w:val="4"/>
    </w:lvl>
  </w:abstractNum>
  <w:abstractNum w:abstractNumId="108">
    <w:nsid w:val="6A3B714C"/>
    <w:multiLevelType w:val="hybridMultilevel"/>
    <w:lvl w:ilvl="0">
      <w:lvlJc w:val="left"/>
      <w:lvlText w:val="%1."/>
      <w:numFmt w:val="decimal"/>
      <w:start w:val="1"/>
    </w:lvl>
  </w:abstractNum>
  <w:abstractNum w:abstractNumId="109">
    <w:nsid w:val="327B517E"/>
    <w:multiLevelType w:val="hybridMultilevel"/>
    <w:lvl w:ilvl="0">
      <w:lvlJc w:val="left"/>
      <w:lvlText w:val="%1."/>
      <w:numFmt w:val="decimal"/>
      <w:start w:val="2"/>
    </w:lvl>
  </w:abstractNum>
  <w:abstractNum w:abstractNumId="110">
    <w:nsid w:val="1F461B51"/>
    <w:multiLevelType w:val="hybridMultilevel"/>
    <w:lvl w:ilvl="0">
      <w:lvlJc w:val="left"/>
      <w:lvlText w:val="%1."/>
      <w:numFmt w:val="decimal"/>
      <w:start w:val="3"/>
    </w:lvl>
  </w:abstractNum>
  <w:abstractNum w:abstractNumId="111">
    <w:nsid w:val="29BACF25"/>
    <w:multiLevelType w:val="hybridMultilevel"/>
    <w:lvl w:ilvl="0">
      <w:lvlJc w:val="left"/>
      <w:lvlText w:val="%1."/>
      <w:numFmt w:val="decimal"/>
      <w:start w:val="4"/>
    </w:lvl>
  </w:abstractNum>
  <w:abstractNum w:abstractNumId="112">
    <w:nsid w:val="5D5BABB3"/>
    <w:multiLevelType w:val="hybridMultilevel"/>
    <w:lvl w:ilvl="0">
      <w:lvlJc w:val="left"/>
      <w:lvlText w:val="%1."/>
      <w:numFmt w:val="decimal"/>
      <w:start w:val="5"/>
    </w:lvl>
  </w:abstractNum>
  <w:abstractNum w:abstractNumId="113">
    <w:nsid w:val="51BF6B48"/>
    <w:multiLevelType w:val="hybridMultilevel"/>
    <w:lvl w:ilvl="0">
      <w:lvlJc w:val="left"/>
      <w:lvlText w:val="%1."/>
      <w:numFmt w:val="decimal"/>
      <w:start w:val="6"/>
    </w:lvl>
  </w:abstractNum>
  <w:abstractNum w:abstractNumId="114">
    <w:nsid w:val="7E0F6384"/>
    <w:multiLevelType w:val="hybridMultilevel"/>
    <w:lvl w:ilvl="0">
      <w:lvlJc w:val="left"/>
      <w:lvlText w:val="%1."/>
      <w:numFmt w:val="decimal"/>
      <w:start w:val="7"/>
    </w:lvl>
  </w:abstractNum>
  <w:abstractNum w:abstractNumId="115">
    <w:nsid w:val="2B4B8B53"/>
    <w:multiLevelType w:val="hybridMultilevel"/>
    <w:lvl w:ilvl="0">
      <w:lvlJc w:val="left"/>
      <w:lvlText w:val="%1."/>
      <w:numFmt w:val="decimal"/>
      <w:start w:val="8"/>
    </w:lvl>
  </w:abstractNum>
  <w:abstractNum w:abstractNumId="116">
    <w:nsid w:val="72E3413A"/>
    <w:multiLevelType w:val="hybridMultilevel"/>
    <w:lvl w:ilvl="0">
      <w:lvlJc w:val="left"/>
      <w:lvlText w:val="%1."/>
      <w:numFmt w:val="decimal"/>
      <w:start w:val="9"/>
    </w:lvl>
  </w:abstractNum>
  <w:abstractNum w:abstractNumId="117">
    <w:nsid w:val="116AE494"/>
    <w:multiLevelType w:val="hybridMultilevel"/>
    <w:lvl w:ilvl="0">
      <w:lvlJc w:val="left"/>
      <w:lvlText w:val="%1."/>
      <w:numFmt w:val="decimal"/>
      <w:start w:val="10"/>
    </w:lvl>
  </w:abstractNum>
  <w:abstractNum w:abstractNumId="118">
    <w:nsid w:val="3494B2FB"/>
    <w:multiLevelType w:val="hybridMultilevel"/>
    <w:lvl w:ilvl="0">
      <w:lvlJc w:val="left"/>
      <w:lvlText w:val="%1."/>
      <w:numFmt w:val="decimal"/>
      <w:start w:val="11"/>
    </w:lvl>
  </w:abstractNum>
  <w:abstractNum w:abstractNumId="119">
    <w:nsid w:val="B13A31"/>
    <w:multiLevelType w:val="hybridMultilevel"/>
    <w:lvl w:ilvl="0">
      <w:lvlJc w:val="left"/>
      <w:lvlText w:val="☐"/>
      <w:numFmt w:val="bullet"/>
      <w:start w:val="1"/>
    </w:lvl>
  </w:abstractNum>
  <w:abstractNum w:abstractNumId="120">
    <w:nsid w:val="64429599"/>
    <w:multiLevelType w:val="hybridMultilevel"/>
    <w:lvl w:ilvl="0">
      <w:lvlJc w:val="left"/>
      <w:lvlText w:val="*"/>
      <w:numFmt w:val="bullet"/>
      <w:start w:val="1"/>
    </w:lvl>
  </w:abstractNum>
  <w:abstractNum w:abstractNumId="121">
    <w:nsid w:val="631F1690"/>
    <w:multiLevelType w:val="hybridMultilevel"/>
    <w:lvl w:ilvl="0">
      <w:lvlJc w:val="left"/>
      <w:lvlText w:val="(%1)"/>
      <w:numFmt w:val="upperLetter"/>
      <w:start w:val="4"/>
    </w:lvl>
  </w:abstractNum>
  <w:abstractNum w:abstractNumId="122">
    <w:nsid w:val="25973E32"/>
    <w:multiLevelType w:val="hybridMultilevel"/>
    <w:lvl w:ilvl="0">
      <w:lvlJc w:val="left"/>
      <w:lvlText w:val="%1."/>
      <w:numFmt w:val="decimal"/>
      <w:start w:val="1"/>
    </w:lvl>
  </w:abstractNum>
  <w:abstractNum w:abstractNumId="123">
    <w:nsid w:val="EAD6F57"/>
    <w:multiLevelType w:val="hybridMultilevel"/>
    <w:lvl w:ilvl="0">
      <w:lvlJc w:val="left"/>
      <w:lvlText w:val="(%1)"/>
      <w:numFmt w:val="decimal"/>
      <w:start w:val="1"/>
    </w:lvl>
  </w:abstractNum>
  <w:abstractNum w:abstractNumId="124">
    <w:nsid w:val="6EC9D844"/>
    <w:multiLevelType w:val="hybridMultilevel"/>
    <w:lvl w:ilvl="0">
      <w:lvlJc w:val="left"/>
      <w:lvlText w:val="%1."/>
      <w:numFmt w:val="decimal"/>
      <w:start w:val="2"/>
    </w:lvl>
  </w:abstractNum>
  <w:abstractNum w:abstractNumId="125">
    <w:nsid w:val="5C49EAEE"/>
    <w:multiLevelType w:val="hybridMultilevel"/>
    <w:lvl w:ilvl="0">
      <w:lvlJc w:val="left"/>
      <w:lvlText w:val="%1."/>
      <w:numFmt w:val="decimal"/>
      <w:start w:val="3"/>
    </w:lvl>
  </w:abstractNum>
  <w:abstractNum w:abstractNumId="126">
    <w:nsid w:val="64AF49B"/>
    <w:multiLevelType w:val="hybridMultilevel"/>
    <w:lvl w:ilvl="0">
      <w:lvlJc w:val="left"/>
      <w:lvlText w:val="%1."/>
      <w:numFmt w:val="decimal"/>
      <w:start w:val="4"/>
    </w:lvl>
  </w:abstractNum>
  <w:abstractNum w:abstractNumId="127">
    <w:nsid w:val="397C46BC"/>
    <w:multiLevelType w:val="hybridMultilevel"/>
    <w:lvl w:ilvl="0">
      <w:lvlJc w:val="left"/>
      <w:lvlText w:val="%1."/>
      <w:numFmt w:val="decimal"/>
      <w:start w:val="5"/>
    </w:lvl>
  </w:abstractNum>
  <w:abstractNum w:abstractNumId="128">
    <w:nsid w:val="7E448DE9"/>
    <w:multiLevelType w:val="hybridMultilevel"/>
    <w:lvl w:ilvl="0">
      <w:lvlJc w:val="left"/>
      <w:lvlText w:val="%1."/>
      <w:numFmt w:val="decimal"/>
      <w:start w:val="6"/>
    </w:lvl>
  </w:abstractNum>
  <w:abstractNum w:abstractNumId="129">
    <w:nsid w:val="5A9CC3E5"/>
    <w:multiLevelType w:val="hybridMultilevel"/>
    <w:lvl w:ilvl="0">
      <w:lvlJc w:val="left"/>
      <w:lvlText w:val="%1."/>
      <w:numFmt w:val="decimal"/>
      <w:start w:val="7"/>
    </w:lvl>
  </w:abstractNum>
  <w:abstractNum w:abstractNumId="130">
    <w:nsid w:val="1AFE3625"/>
    <w:multiLevelType w:val="hybridMultilevel"/>
    <w:lvl w:ilvl="0">
      <w:lvlJc w:val="left"/>
      <w:lvlText w:val="%1."/>
      <w:numFmt w:val="decimal"/>
      <w:start w:val="8"/>
    </w:lvl>
  </w:abstractNum>
  <w:abstractNum w:abstractNumId="131">
    <w:nsid w:val="3CA88ECF"/>
    <w:multiLevelType w:val="hybridMultilevel"/>
    <w:lvl w:ilvl="0">
      <w:lvlJc w:val="left"/>
      <w:lvlText w:val="%1."/>
      <w:numFmt w:val="decimal"/>
      <w:start w:val="9"/>
    </w:lvl>
  </w:abstractNum>
  <w:abstractNum w:abstractNumId="132">
    <w:nsid w:val="6EBE4208"/>
    <w:multiLevelType w:val="hybridMultilevel"/>
    <w:lvl w:ilvl="0">
      <w:lvlJc w:val="left"/>
      <w:lvlText w:val="%1."/>
      <w:numFmt w:val="decimal"/>
      <w:start w:val="10"/>
    </w:lvl>
  </w:abstractNum>
  <w:abstractNum w:abstractNumId="133">
    <w:nsid w:val="C058DF5"/>
    <w:multiLevelType w:val="hybridMultilevel"/>
    <w:lvl w:ilvl="0">
      <w:lvlJc w:val="left"/>
      <w:lvlText w:val="☐"/>
      <w:numFmt w:val="bullet"/>
      <w:start w:val="1"/>
    </w:lvl>
  </w:abstractNum>
  <w:abstractNum w:abstractNumId="134">
    <w:nsid w:val="CBE5BE9"/>
    <w:multiLevelType w:val="hybridMultilevel"/>
    <w:lvl w:ilvl="0">
      <w:lvlJc w:val="left"/>
      <w:lvlText w:val="*"/>
      <w:numFmt w:val="bullet"/>
      <w:start w:val="1"/>
    </w:lvl>
  </w:abstractNum>
  <w:abstractNum w:abstractNumId="135">
    <w:nsid w:val="3102BBE2"/>
    <w:multiLevelType w:val="hybridMultilevel"/>
    <w:lvl w:ilvl="0">
      <w:lvlJc w:val="left"/>
      <w:lvlText w:val="(%1)"/>
      <w:numFmt w:val="upperLetter"/>
      <w:start w:val="4"/>
    </w:lvl>
  </w:abstractNum>
  <w:abstractNum w:abstractNumId="136">
    <w:nsid w:val="26A02C5E"/>
    <w:multiLevelType w:val="hybridMultilevel"/>
    <w:lvl w:ilvl="0">
      <w:lvlJc w:val="left"/>
      <w:lvlText w:val="%1."/>
      <w:numFmt w:val="decimal"/>
      <w:start w:val="1"/>
    </w:lvl>
  </w:abstractNum>
  <w:abstractNum w:abstractNumId="137">
    <w:nsid w:val="541C8153"/>
    <w:multiLevelType w:val="hybridMultilevel"/>
    <w:lvl w:ilvl="0">
      <w:lvlJc w:val="left"/>
      <w:lvlText w:val="%1."/>
      <w:numFmt w:val="decimal"/>
      <w:start w:val="2"/>
    </w:lvl>
  </w:abstractNum>
  <w:abstractNum w:abstractNumId="138">
    <w:nsid w:val="67906F60"/>
    <w:multiLevelType w:val="hybridMultilevel"/>
    <w:lvl w:ilvl="0">
      <w:lvlJc w:val="left"/>
      <w:lvlText w:val="%1."/>
      <w:numFmt w:val="decimal"/>
      <w:start w:val="3"/>
    </w:lvl>
  </w:abstractNum>
  <w:abstractNum w:abstractNumId="139">
    <w:nsid w:val="10DB9DAA"/>
    <w:multiLevelType w:val="hybridMultilevel"/>
    <w:lvl w:ilvl="0">
      <w:lvlJc w:val="left"/>
      <w:lvlText w:val="%1."/>
      <w:numFmt w:val="decimal"/>
      <w:start w:val="4"/>
    </w:lvl>
  </w:abstractNum>
  <w:abstractNum w:abstractNumId="140">
    <w:nsid w:val="697D2D2"/>
    <w:multiLevelType w:val="hybridMultilevel"/>
    <w:lvl w:ilvl="0">
      <w:lvlJc w:val="left"/>
      <w:lvlText w:val="%1."/>
      <w:numFmt w:val="decimal"/>
      <w:start w:val="5"/>
    </w:lvl>
  </w:abstractNum>
  <w:abstractNum w:abstractNumId="141">
    <w:nsid w:val="6D68AB2"/>
    <w:multiLevelType w:val="hybridMultilevel"/>
    <w:lvl w:ilvl="0">
      <w:lvlJc w:val="left"/>
      <w:lvlText w:val="%1."/>
      <w:numFmt w:val="decimal"/>
      <w:start w:val="6"/>
    </w:lvl>
  </w:abstractNum>
  <w:abstractNum w:abstractNumId="142">
    <w:nsid w:val="3A966CD0"/>
    <w:multiLevelType w:val="hybridMultilevel"/>
    <w:lvl w:ilvl="0">
      <w:lvlJc w:val="left"/>
      <w:lvlText w:val="%1."/>
      <w:numFmt w:val="decimal"/>
      <w:start w:val="7"/>
    </w:lvl>
  </w:abstractNum>
  <w:abstractNum w:abstractNumId="143">
    <w:nsid w:val="63F37E85"/>
    <w:multiLevelType w:val="hybridMultilevel"/>
    <w:lvl w:ilvl="0">
      <w:lvlJc w:val="left"/>
      <w:lvlText w:val="%1."/>
      <w:numFmt w:val="decimal"/>
      <w:start w:val="8"/>
    </w:lvl>
  </w:abstractNum>
  <w:abstractNum w:abstractNumId="144">
    <w:nsid w:val="5895F5FA"/>
    <w:multiLevelType w:val="hybridMultilevel"/>
    <w:lvl w:ilvl="0">
      <w:lvlJc w:val="left"/>
      <w:lvlText w:val="%1."/>
      <w:numFmt w:val="decimal"/>
      <w:start w:val="9"/>
    </w:lvl>
  </w:abstractNum>
  <w:abstractNum w:abstractNumId="145">
    <w:nsid w:val="38A5D054"/>
    <w:multiLevelType w:val="hybridMultilevel"/>
    <w:lvl w:ilvl="0">
      <w:lvlJc w:val="left"/>
      <w:lvlText w:val="%1."/>
      <w:numFmt w:val="decimal"/>
      <w:start w:val="10"/>
    </w:lvl>
  </w:abstractNum>
  <w:abstractNum w:abstractNumId="146">
    <w:nsid w:val="F3F09D8"/>
    <w:multiLevelType w:val="hybridMultilevel"/>
    <w:lvl w:ilvl="0">
      <w:lvlJc w:val="left"/>
      <w:lvlText w:val="%1."/>
      <w:numFmt w:val="decimal"/>
      <w:start w:val="11"/>
    </w:lvl>
  </w:abstractNum>
  <w:abstractNum w:abstractNumId="147">
    <w:nsid w:val="4B793735"/>
    <w:multiLevelType w:val="hybridMultilevel"/>
    <w:lvl w:ilvl="0">
      <w:lvlJc w:val="left"/>
      <w:lvlText w:val="☐"/>
      <w:numFmt w:val="bullet"/>
      <w:start w:val="1"/>
    </w:lvl>
  </w:abstractNum>
  <w:abstractNum w:abstractNumId="148">
    <w:nsid w:val="4A10B4E8"/>
    <w:multiLevelType w:val="hybridMultilevel"/>
    <w:lvl w:ilvl="0">
      <w:lvlJc w:val="left"/>
      <w:lvlText w:val="*"/>
      <w:numFmt w:val="bullet"/>
      <w:start w:val="1"/>
    </w:lvl>
  </w:abstractNum>
  <w:abstractNum w:abstractNumId="149">
    <w:nsid w:val="43D3BCD4"/>
    <w:multiLevelType w:val="hybridMultilevel"/>
    <w:lvl w:ilvl="0">
      <w:lvlJc w:val="left"/>
      <w:lvlText w:val="(%1)"/>
      <w:numFmt w:val="upperLetter"/>
      <w:start w:val="4"/>
    </w:lvl>
  </w:abstractNum>
  <w:abstractNum w:abstractNumId="150">
    <w:nsid w:val="4C2A7166"/>
    <w:multiLevelType w:val="hybridMultilevel"/>
    <w:lvl w:ilvl="0">
      <w:lvlJc w:val="left"/>
      <w:lvlText w:val="%1."/>
      <w:numFmt w:val="decimal"/>
      <w:start w:val="1"/>
    </w:lvl>
  </w:abstractNum>
  <w:abstractNum w:abstractNumId="151">
    <w:nsid w:val="2E534A82"/>
    <w:multiLevelType w:val="hybridMultilevel"/>
    <w:lvl w:ilvl="0">
      <w:lvlJc w:val="left"/>
      <w:lvlText w:val="%1."/>
      <w:numFmt w:val="decimal"/>
      <w:start w:val="2"/>
    </w:lvl>
  </w:abstractNum>
  <w:abstractNum w:abstractNumId="152">
    <w:nsid w:val="26F2D364"/>
    <w:multiLevelType w:val="hybridMultilevel"/>
    <w:lvl w:ilvl="0">
      <w:lvlJc w:val="left"/>
      <w:lvlText w:val="%1."/>
      <w:numFmt w:val="decimal"/>
      <w:start w:val="3"/>
    </w:lvl>
  </w:abstractNum>
  <w:abstractNum w:abstractNumId="153">
    <w:nsid w:val="71C1AF98"/>
    <w:multiLevelType w:val="hybridMultilevel"/>
    <w:lvl w:ilvl="0">
      <w:lvlJc w:val="left"/>
      <w:lvlText w:val="%1."/>
      <w:numFmt w:val="decimal"/>
      <w:start w:val="4"/>
    </w:lvl>
  </w:abstractNum>
  <w:abstractNum w:abstractNumId="154">
    <w:nsid w:val="3D00B9D9"/>
    <w:multiLevelType w:val="hybridMultilevel"/>
    <w:lvl w:ilvl="0">
      <w:lvlJc w:val="left"/>
      <w:lvlText w:val="%1."/>
      <w:numFmt w:val="decimal"/>
      <w:start w:val="5"/>
    </w:lvl>
  </w:abstractNum>
  <w:abstractNum w:abstractNumId="155">
    <w:nsid w:val="15BCABA8"/>
    <w:multiLevelType w:val="hybridMultilevel"/>
    <w:lvl w:ilvl="0">
      <w:lvlJc w:val="left"/>
      <w:lvlText w:val="%1."/>
      <w:numFmt w:val="decimal"/>
      <w:start w:val="6"/>
    </w:lvl>
  </w:abstractNum>
  <w:abstractNum w:abstractNumId="156">
    <w:nsid w:val="4E0B9A87"/>
    <w:multiLevelType w:val="hybridMultilevel"/>
    <w:lvl w:ilvl="0">
      <w:lvlJc w:val="left"/>
      <w:lvlText w:val="%1."/>
      <w:numFmt w:val="decimal"/>
      <w:start w:val="7"/>
    </w:lvl>
  </w:abstractNum>
  <w:abstractNum w:abstractNumId="157">
    <w:nsid w:val="434BAE75"/>
    <w:multiLevelType w:val="hybridMultilevel"/>
    <w:lvl w:ilvl="0">
      <w:lvlJc w:val="left"/>
      <w:lvlText w:val="%1."/>
      <w:numFmt w:val="decimal"/>
      <w:start w:val="8"/>
    </w:lvl>
  </w:abstractNum>
  <w:abstractNum w:abstractNumId="158">
    <w:nsid w:val="4F38F265"/>
    <w:multiLevelType w:val="hybridMultilevel"/>
    <w:lvl w:ilvl="0">
      <w:lvlJc w:val="left"/>
      <w:lvlText w:val="%1."/>
      <w:numFmt w:val="decimal"/>
      <w:start w:val="9"/>
    </w:lvl>
  </w:abstractNum>
  <w:abstractNum w:abstractNumId="159">
    <w:nsid w:val="4C502870"/>
    <w:multiLevelType w:val="hybridMultilevel"/>
    <w:lvl w:ilvl="0">
      <w:lvlJc w:val="left"/>
      <w:lvlText w:val="%1."/>
      <w:numFmt w:val="decimal"/>
      <w:start w:val="10"/>
    </w:lvl>
  </w:abstractNum>
  <w:abstractNum w:abstractNumId="160">
    <w:nsid w:val="1DE8725A"/>
    <w:multiLevelType w:val="hybridMultilevel"/>
    <w:lvl w:ilvl="0">
      <w:lvlJc w:val="left"/>
      <w:lvlText w:val="%1."/>
      <w:numFmt w:val="decimal"/>
      <w:start w:val="11"/>
    </w:lvl>
  </w:abstractNum>
  <w:abstractNum w:abstractNumId="161">
    <w:nsid w:val="6A37288A"/>
    <w:multiLevelType w:val="hybridMultilevel"/>
    <w:lvl w:ilvl="0">
      <w:lvlJc w:val="left"/>
      <w:lvlText w:val="☐"/>
      <w:numFmt w:val="bullet"/>
      <w:start w:val="1"/>
    </w:lvl>
  </w:abstractNum>
  <w:abstractNum w:abstractNumId="162">
    <w:nsid w:val="8F8B73F"/>
    <w:multiLevelType w:val="hybridMultilevel"/>
    <w:lvl w:ilvl="0">
      <w:lvlJc w:val="left"/>
      <w:lvlText w:val="*"/>
      <w:numFmt w:val="bullet"/>
      <w:start w:val="1"/>
    </w:lvl>
  </w:abstractNum>
  <w:abstractNum w:abstractNumId="163">
    <w:nsid w:val="CA6B462"/>
    <w:multiLevelType w:val="hybridMultilevel"/>
    <w:lvl w:ilvl="0">
      <w:lvlJc w:val="left"/>
      <w:lvlText w:val="(%1)"/>
      <w:numFmt w:val="upperLetter"/>
      <w:start w:val="4"/>
    </w:lvl>
  </w:abstractNum>
  <w:abstractNum w:abstractNumId="164">
    <w:nsid w:val="763CB680"/>
    <w:multiLevelType w:val="hybridMultilevel"/>
    <w:lvl w:ilvl="0">
      <w:lvlJc w:val="left"/>
      <w:lvlText w:val="%1."/>
      <w:numFmt w:val="decimal"/>
      <w:start w:val="1"/>
    </w:lvl>
  </w:abstractNum>
  <w:abstractNum w:abstractNumId="165">
    <w:nsid w:val="15B71329"/>
    <w:multiLevelType w:val="hybridMultilevel"/>
    <w:lvl w:ilvl="0">
      <w:lvlJc w:val="left"/>
      <w:lvlText w:val="%1."/>
      <w:numFmt w:val="decimal"/>
      <w:start w:val="2"/>
    </w:lvl>
  </w:abstractNum>
  <w:abstractNum w:abstractNumId="166">
    <w:nsid w:val="3DA97044"/>
    <w:multiLevelType w:val="hybridMultilevel"/>
    <w:lvl w:ilvl="0">
      <w:lvlJc w:val="left"/>
      <w:lvlText w:val="%1."/>
      <w:numFmt w:val="decimal"/>
      <w:start w:val="3"/>
    </w:lvl>
  </w:abstractNum>
  <w:abstractNum w:abstractNumId="167">
    <w:nsid w:val="1CDCE2DE"/>
    <w:multiLevelType w:val="hybridMultilevel"/>
    <w:lvl w:ilvl="0">
      <w:lvlJc w:val="left"/>
      <w:lvlText w:val="%1."/>
      <w:numFmt w:val="decimal"/>
      <w:start w:val="4"/>
    </w:lvl>
  </w:abstractNum>
  <w:abstractNum w:abstractNumId="168">
    <w:nsid w:val="69D3947C"/>
    <w:multiLevelType w:val="hybridMultilevel"/>
    <w:lvl w:ilvl="0">
      <w:lvlJc w:val="left"/>
      <w:lvlText w:val="%1."/>
      <w:numFmt w:val="decimal"/>
      <w:start w:val="5"/>
    </w:lvl>
  </w:abstractNum>
  <w:abstractNum w:abstractNumId="169">
    <w:nsid w:val="2539DFA5"/>
    <w:multiLevelType w:val="hybridMultilevel"/>
    <w:lvl w:ilvl="0">
      <w:lvlJc w:val="left"/>
      <w:lvlText w:val="%1."/>
      <w:numFmt w:val="decimal"/>
      <w:start w:val="6"/>
    </w:lvl>
  </w:abstractNum>
  <w:abstractNum w:abstractNumId="170">
    <w:nsid w:val="2DB88089"/>
    <w:multiLevelType w:val="hybridMultilevel"/>
    <w:lvl w:ilvl="0">
      <w:lvlJc w:val="left"/>
      <w:lvlText w:val="%1."/>
      <w:numFmt w:val="decimal"/>
      <w:start w:val="7"/>
    </w:lvl>
  </w:abstractNum>
  <w:abstractNum w:abstractNumId="171">
    <w:nsid w:val="706B674E"/>
    <w:multiLevelType w:val="hybridMultilevel"/>
    <w:lvl w:ilvl="0">
      <w:lvlJc w:val="left"/>
      <w:lvlText w:val="%1."/>
      <w:numFmt w:val="decimal"/>
      <w:start w:val="8"/>
    </w:lvl>
  </w:abstractNum>
  <w:abstractNum w:abstractNumId="172">
    <w:nsid w:val="2C106A57"/>
    <w:multiLevelType w:val="hybridMultilevel"/>
    <w:lvl w:ilvl="0">
      <w:lvlJc w:val="left"/>
      <w:lvlText w:val="%1."/>
      <w:numFmt w:val="decimal"/>
      <w:start w:val="9"/>
    </w:lvl>
  </w:abstractNum>
  <w:abstractNum w:abstractNumId="173">
    <w:nsid w:val="684EED59"/>
    <w:multiLevelType w:val="hybridMultilevel"/>
    <w:lvl w:ilvl="0">
      <w:lvlJc w:val="left"/>
      <w:lvlText w:val="%1."/>
      <w:numFmt w:val="decimal"/>
      <w:start w:val="10"/>
    </w:lvl>
  </w:abstractNum>
  <w:abstractNum w:abstractNumId="174">
    <w:nsid w:val="545EE5D3"/>
    <w:multiLevelType w:val="hybridMultilevel"/>
    <w:lvl w:ilvl="0">
      <w:lvlJc w:val="left"/>
      <w:lvlText w:val="%1."/>
      <w:numFmt w:val="decimal"/>
      <w:start w:val="11"/>
    </w:lvl>
  </w:abstractNum>
  <w:abstractNum w:abstractNumId="175">
    <w:nsid w:val="4A66051"/>
    <w:multiLevelType w:val="hybridMultilevel"/>
    <w:lvl w:ilvl="0">
      <w:lvlJc w:val="left"/>
      <w:lvlText w:val="☐"/>
      <w:numFmt w:val="bullet"/>
      <w:start w:val="1"/>
    </w:lvl>
  </w:abstractNum>
  <w:abstractNum w:abstractNumId="176">
    <w:nsid w:val="20F4BDAD"/>
    <w:multiLevelType w:val="hybridMultilevel"/>
    <w:lvl w:ilvl="0">
      <w:lvlJc w:val="left"/>
      <w:lvlText w:val="*"/>
      <w:numFmt w:val="bullet"/>
      <w:start w:val="1"/>
    </w:lvl>
  </w:abstractNum>
  <w:abstractNum w:abstractNumId="177">
    <w:nsid w:val="639DEFAC"/>
    <w:multiLevelType w:val="hybridMultilevel"/>
    <w:lvl w:ilvl="0">
      <w:lvlJc w:val="left"/>
      <w:lvlText w:val="(%1)"/>
      <w:numFmt w:val="upperLetter"/>
      <w:start w:val="4"/>
    </w:lvl>
  </w:abstractNum>
  <w:abstractNum w:abstractNumId="178">
    <w:nsid w:val="501F9786"/>
    <w:multiLevelType w:val="hybridMultilevel"/>
    <w:lvl w:ilvl="0">
      <w:lvlJc w:val="left"/>
      <w:lvlText w:val="%1."/>
      <w:numFmt w:val="decimal"/>
      <w:start w:val="1"/>
    </w:lvl>
  </w:abstractNum>
  <w:abstractNum w:abstractNumId="179">
    <w:nsid w:val="6B057295"/>
    <w:multiLevelType w:val="hybridMultilevel"/>
    <w:lvl w:ilvl="0">
      <w:lvlJc w:val="left"/>
      <w:lvlText w:val="%1."/>
      <w:numFmt w:val="decimal"/>
      <w:start w:val="2"/>
    </w:lvl>
  </w:abstractNum>
  <w:abstractNum w:abstractNumId="180">
    <w:nsid w:val="2771AC80"/>
    <w:multiLevelType w:val="hybridMultilevel"/>
    <w:lvl w:ilvl="0">
      <w:lvlJc w:val="left"/>
      <w:lvlText w:val="%1."/>
      <w:numFmt w:val="decimal"/>
      <w:start w:val="3"/>
    </w:lvl>
  </w:abstractNum>
  <w:abstractNum w:abstractNumId="181">
    <w:nsid w:val="1C4A08EC"/>
    <w:multiLevelType w:val="hybridMultilevel"/>
    <w:lvl w:ilvl="0">
      <w:lvlJc w:val="left"/>
      <w:lvlText w:val="%1."/>
      <w:numFmt w:val="decimal"/>
      <w:start w:val="4"/>
    </w:lvl>
  </w:abstractNum>
  <w:abstractNum w:abstractNumId="182">
    <w:nsid w:val="1958BD17"/>
    <w:multiLevelType w:val="hybridMultilevel"/>
    <w:lvl w:ilvl="0">
      <w:lvlJc w:val="left"/>
      <w:lvlText w:val="%1."/>
      <w:numFmt w:val="decimal"/>
      <w:start w:val="5"/>
    </w:lvl>
  </w:abstractNum>
  <w:abstractNum w:abstractNumId="183">
    <w:nsid w:val="4E647FE4"/>
    <w:multiLevelType w:val="hybridMultilevel"/>
    <w:lvl w:ilvl="0">
      <w:lvlJc w:val="left"/>
      <w:lvlText w:val="%1."/>
      <w:numFmt w:val="decimal"/>
      <w:start w:val="6"/>
    </w:lvl>
  </w:abstractNum>
  <w:abstractNum w:abstractNumId="184">
    <w:nsid w:val="E0BB885"/>
    <w:multiLevelType w:val="hybridMultilevel"/>
    <w:lvl w:ilvl="0">
      <w:lvlJc w:val="left"/>
      <w:lvlText w:val="%1."/>
      <w:numFmt w:val="decimal"/>
      <w:start w:val="7"/>
    </w:lvl>
  </w:abstractNum>
  <w:abstractNum w:abstractNumId="185">
    <w:nsid w:val="565976F1"/>
    <w:multiLevelType w:val="hybridMultilevel"/>
    <w:lvl w:ilvl="0">
      <w:lvlJc w:val="left"/>
      <w:lvlText w:val="%1."/>
      <w:numFmt w:val="decimal"/>
      <w:start w:val="8"/>
    </w:lvl>
  </w:abstractNum>
  <w:abstractNum w:abstractNumId="186">
    <w:nsid w:val="64212B8C"/>
    <w:multiLevelType w:val="hybridMultilevel"/>
    <w:lvl w:ilvl="0">
      <w:lvlJc w:val="left"/>
      <w:lvlText w:val="%1."/>
      <w:numFmt w:val="decimal"/>
      <w:start w:val="9"/>
    </w:lvl>
  </w:abstractNum>
  <w:abstractNum w:abstractNumId="187">
    <w:nsid w:val="5C17530C"/>
    <w:multiLevelType w:val="hybridMultilevel"/>
    <w:lvl w:ilvl="0">
      <w:lvlJc w:val="left"/>
      <w:lvlText w:val="%1."/>
      <w:numFmt w:val="decimal"/>
      <w:start w:val="10"/>
    </w:lvl>
  </w:abstractNum>
  <w:abstractNum w:abstractNumId="188">
    <w:nsid w:val="19A52566"/>
    <w:multiLevelType w:val="hybridMultilevel"/>
    <w:lvl w:ilvl="0">
      <w:lvlJc w:val="left"/>
      <w:lvlText w:val="%1."/>
      <w:numFmt w:val="decimal"/>
      <w:start w:val="11"/>
    </w:lvl>
  </w:abstractNum>
  <w:abstractNum w:abstractNumId="189">
    <w:nsid w:val="335A1DF1"/>
    <w:multiLevelType w:val="hybridMultilevel"/>
    <w:lvl w:ilvl="0">
      <w:lvlJc w:val="left"/>
      <w:lvlText w:val="☐"/>
      <w:numFmt w:val="bullet"/>
      <w:start w:val="1"/>
    </w:lvl>
  </w:abstractNum>
  <w:abstractNum w:abstractNumId="190">
    <w:nsid w:val="28677B7C"/>
    <w:multiLevelType w:val="hybridMultilevel"/>
    <w:lvl w:ilvl="0">
      <w:lvlJc w:val="left"/>
      <w:lvlText w:val="(%1)"/>
      <w:numFmt w:val="decimal"/>
      <w:start w:val="1"/>
    </w:lvl>
  </w:abstractNum>
  <w:abstractNum w:abstractNumId="191">
    <w:nsid w:val="378D97C0"/>
    <w:multiLevelType w:val="hybridMultilevel"/>
    <w:lvl w:ilvl="0">
      <w:lvlJc w:val="left"/>
      <w:lvlText w:val="*"/>
      <w:numFmt w:val="bullet"/>
      <w:start w:val="1"/>
    </w:lvl>
  </w:abstractNum>
  <w:abstractNum w:abstractNumId="192">
    <w:nsid w:val="1D91467C"/>
    <w:multiLevelType w:val="hybridMultilevel"/>
    <w:lvl w:ilvl="0">
      <w:lvlJc w:val="left"/>
      <w:lvlText w:val="(%1)"/>
      <w:numFmt w:val="upperLetter"/>
      <w:start w:val="4"/>
    </w:lvl>
  </w:abstractNum>
  <w:abstractNum w:abstractNumId="193">
    <w:nsid w:val="316032BB"/>
    <w:multiLevelType w:val="hybridMultilevel"/>
    <w:lvl w:ilvl="0">
      <w:lvlJc w:val="left"/>
      <w:lvlText w:val="%1."/>
      <w:numFmt w:val="decimal"/>
      <w:start w:val="1"/>
    </w:lvl>
  </w:abstractNum>
  <w:abstractNum w:abstractNumId="194">
    <w:nsid w:val="44344C22"/>
    <w:multiLevelType w:val="hybridMultilevel"/>
    <w:lvl w:ilvl="0">
      <w:lvlJc w:val="left"/>
      <w:lvlText w:val="%1."/>
      <w:numFmt w:val="decimal"/>
      <w:start w:val="2"/>
    </w:lvl>
  </w:abstractNum>
  <w:abstractNum w:abstractNumId="195">
    <w:nsid w:val="13CDFCFC"/>
    <w:multiLevelType w:val="hybridMultilevel"/>
    <w:lvl w:ilvl="0">
      <w:lvlJc w:val="left"/>
      <w:lvlText w:val="%1."/>
      <w:numFmt w:val="decimal"/>
      <w:start w:val="3"/>
    </w:lvl>
  </w:abstractNum>
  <w:abstractNum w:abstractNumId="196">
    <w:nsid w:val="471745E4"/>
    <w:multiLevelType w:val="hybridMultilevel"/>
    <w:lvl w:ilvl="0">
      <w:lvlJc w:val="left"/>
      <w:lvlText w:val="%1."/>
      <w:numFmt w:val="decimal"/>
      <w:start w:val="4"/>
    </w:lvl>
  </w:abstractNum>
  <w:abstractNum w:abstractNumId="197">
    <w:nsid w:val="1DDBC66"/>
    <w:multiLevelType w:val="hybridMultilevel"/>
    <w:lvl w:ilvl="0">
      <w:lvlJc w:val="left"/>
      <w:lvlText w:val="%1."/>
      <w:numFmt w:val="decimal"/>
      <w:start w:val="5"/>
    </w:lvl>
  </w:abstractNum>
  <w:abstractNum w:abstractNumId="198">
    <w:nsid w:val="30AADFDA"/>
    <w:multiLevelType w:val="hybridMultilevel"/>
    <w:lvl w:ilvl="0">
      <w:lvlJc w:val="left"/>
      <w:lvlText w:val="%1."/>
      <w:numFmt w:val="decimal"/>
      <w:start w:val="6"/>
    </w:lvl>
  </w:abstractNum>
  <w:abstractNum w:abstractNumId="199">
    <w:nsid w:val="30EADA61"/>
    <w:multiLevelType w:val="hybridMultilevel"/>
    <w:lvl w:ilvl="0">
      <w:lvlJc w:val="left"/>
      <w:lvlText w:val="%1."/>
      <w:numFmt w:val="decimal"/>
      <w:start w:val="7"/>
    </w:lvl>
  </w:abstractNum>
  <w:abstractNum w:abstractNumId="200">
    <w:nsid w:val="27179C0B"/>
    <w:multiLevelType w:val="hybridMultilevel"/>
    <w:lvl w:ilvl="0">
      <w:lvlJc w:val="left"/>
      <w:lvlText w:val="%1."/>
      <w:numFmt w:val="decimal"/>
      <w:start w:val="8"/>
    </w:lvl>
  </w:abstractNum>
  <w:abstractNum w:abstractNumId="201">
    <w:nsid w:val="5E636063"/>
    <w:multiLevelType w:val="hybridMultilevel"/>
    <w:lvl w:ilvl="0">
      <w:lvlJc w:val="left"/>
      <w:lvlText w:val="%1."/>
      <w:numFmt w:val="decimal"/>
      <w:start w:val="9"/>
    </w:lvl>
  </w:abstractNum>
  <w:abstractNum w:abstractNumId="202">
    <w:nsid w:val="215641AF"/>
    <w:multiLevelType w:val="hybridMultilevel"/>
    <w:lvl w:ilvl="0">
      <w:lvlJc w:val="left"/>
      <w:lvlText w:val="%1."/>
      <w:numFmt w:val="decimal"/>
      <w:start w:val="10"/>
    </w:lvl>
  </w:abstractNum>
  <w:abstractNum w:abstractNumId="203">
    <w:nsid w:val="53280662"/>
    <w:multiLevelType w:val="hybridMultilevel"/>
    <w:lvl w:ilvl="0">
      <w:lvlJc w:val="left"/>
      <w:lvlText w:val="%1."/>
      <w:numFmt w:val="decimal"/>
      <w:start w:val="11"/>
    </w:lvl>
  </w:abstractNum>
  <w:abstractNum w:abstractNumId="204">
    <w:nsid w:val="46B24DBC"/>
    <w:multiLevelType w:val="hybridMultilevel"/>
    <w:lvl w:ilvl="0">
      <w:lvlJc w:val="left"/>
      <w:lvlText w:val="☐"/>
      <w:numFmt w:val="bullet"/>
      <w:start w:val="1"/>
    </w:lvl>
  </w:abstractNum>
  <w:abstractNum w:abstractNumId="205">
    <w:nsid w:val="75B52783"/>
    <w:multiLevelType w:val="hybridMultilevel"/>
    <w:lvl w:ilvl="0">
      <w:lvlJc w:val="left"/>
      <w:lvlText w:val="(%1)"/>
      <w:numFmt w:val="decimal"/>
      <w:start w:val="1"/>
    </w:lvl>
  </w:abstractNum>
  <w:abstractNum w:abstractNumId="206">
    <w:nsid w:val="57CE66B4"/>
    <w:multiLevelType w:val="hybridMultilevel"/>
    <w:lvl w:ilvl="0">
      <w:lvlJc w:val="left"/>
      <w:lvlText w:val="*"/>
      <w:numFmt w:val="bullet"/>
      <w:start w:val="1"/>
    </w:lvl>
  </w:abstractNum>
  <w:abstractNum w:abstractNumId="207">
    <w:nsid w:val="67A70B69"/>
    <w:multiLevelType w:val="hybridMultilevel"/>
    <w:lvl w:ilvl="0">
      <w:lvlJc w:val="left"/>
      <w:lvlText w:val="(%1)"/>
      <w:numFmt w:val="upperLetter"/>
      <w:start w:val="4"/>
    </w:lvl>
  </w:abstractNum>
  <w:abstractNum w:abstractNumId="208">
    <w:nsid w:val="5953172F"/>
    <w:multiLevelType w:val="hybridMultilevel"/>
    <w:lvl w:ilvl="0">
      <w:lvlJc w:val="left"/>
      <w:lvlText w:val="%1."/>
      <w:numFmt w:val="decimal"/>
      <w:start w:val="1"/>
    </w:lvl>
  </w:abstractNum>
  <w:abstractNum w:abstractNumId="209">
    <w:nsid w:val="27EDFE3A"/>
    <w:multiLevelType w:val="hybridMultilevel"/>
    <w:lvl w:ilvl="0">
      <w:lvlJc w:val="left"/>
      <w:lvlText w:val="%1."/>
      <w:numFmt w:val="decimal"/>
      <w:start w:val="2"/>
    </w:lvl>
  </w:abstractNum>
  <w:abstractNum w:abstractNumId="210">
    <w:nsid w:val="52AC7DFF"/>
    <w:multiLevelType w:val="hybridMultilevel"/>
    <w:lvl w:ilvl="0">
      <w:lvlJc w:val="left"/>
      <w:lvlText w:val="%1."/>
      <w:numFmt w:val="decimal"/>
      <w:start w:val="3"/>
    </w:lvl>
  </w:abstractNum>
  <w:abstractNum w:abstractNumId="211">
    <w:nsid w:val="C4C3AF"/>
    <w:multiLevelType w:val="hybridMultilevel"/>
    <w:lvl w:ilvl="0">
      <w:lvlJc w:val="left"/>
      <w:lvlText w:val="%1."/>
      <w:numFmt w:val="decimal"/>
      <w:start w:val="4"/>
    </w:lvl>
  </w:abstractNum>
  <w:abstractNum w:abstractNumId="212">
    <w:nsid w:val="44380727"/>
    <w:multiLevelType w:val="hybridMultilevel"/>
    <w:lvl w:ilvl="0">
      <w:lvlJc w:val="left"/>
      <w:lvlText w:val="%1."/>
      <w:numFmt w:val="decimal"/>
      <w:start w:val="5"/>
    </w:lvl>
  </w:abstractNum>
  <w:abstractNum w:abstractNumId="213">
    <w:nsid w:val="6C053B16"/>
    <w:multiLevelType w:val="hybridMultilevel"/>
    <w:lvl w:ilvl="0">
      <w:lvlJc w:val="left"/>
      <w:lvlText w:val="%1."/>
      <w:numFmt w:val="decimal"/>
      <w:start w:val="6"/>
    </w:lvl>
  </w:abstractNum>
  <w:abstractNum w:abstractNumId="214">
    <w:nsid w:val="4F294393"/>
    <w:multiLevelType w:val="hybridMultilevel"/>
    <w:lvl w:ilvl="0">
      <w:lvlJc w:val="left"/>
      <w:lvlText w:val="%1."/>
      <w:numFmt w:val="decimal"/>
      <w:start w:val="7"/>
    </w:lvl>
  </w:abstractNum>
  <w:abstractNum w:abstractNumId="215">
    <w:nsid w:val="5243BFAC"/>
    <w:multiLevelType w:val="hybridMultilevel"/>
    <w:lvl w:ilvl="0">
      <w:lvlJc w:val="left"/>
      <w:lvlText w:val="%1."/>
      <w:numFmt w:val="decimal"/>
      <w:start w:val="8"/>
    </w:lvl>
  </w:abstractNum>
  <w:abstractNum w:abstractNumId="216">
    <w:nsid w:val="425EB207"/>
    <w:multiLevelType w:val="hybridMultilevel"/>
    <w:lvl w:ilvl="0">
      <w:lvlJc w:val="left"/>
      <w:lvlText w:val="%1."/>
      <w:numFmt w:val="decimal"/>
      <w:start w:val="9"/>
    </w:lvl>
  </w:abstractNum>
  <w:abstractNum w:abstractNumId="217">
    <w:nsid w:val="334A6F1F"/>
    <w:multiLevelType w:val="hybridMultilevel"/>
    <w:lvl w:ilvl="0">
      <w:lvlJc w:val="left"/>
      <w:lvlText w:val="%1."/>
      <w:numFmt w:val="decimal"/>
      <w:start w:val="10"/>
    </w:lvl>
  </w:abstractNum>
  <w:abstractNum w:abstractNumId="218">
    <w:nsid w:val="2E5B12B8"/>
    <w:multiLevelType w:val="hybridMultilevel"/>
    <w:lvl w:ilvl="0">
      <w:lvlJc w:val="left"/>
      <w:lvlText w:val="%1."/>
      <w:numFmt w:val="decimal"/>
      <w:start w:val="11"/>
    </w:lvl>
  </w:abstractNum>
  <w:abstractNum w:abstractNumId="219">
    <w:nsid w:val="5C03D76D"/>
    <w:multiLevelType w:val="hybridMultilevel"/>
    <w:lvl w:ilvl="0">
      <w:lvlJc w:val="left"/>
      <w:lvlText w:val="☐"/>
      <w:numFmt w:val="bullet"/>
      <w:start w:val="1"/>
    </w:lvl>
  </w:abstractNum>
  <w:abstractNum w:abstractNumId="220">
    <w:nsid w:val="66A48D11"/>
    <w:multiLevelType w:val="hybridMultilevel"/>
    <w:lvl w:ilvl="0">
      <w:lvlJc w:val="left"/>
      <w:lvlText w:val="(%1)"/>
      <w:numFmt w:val="decimal"/>
      <w:start w:val="1"/>
    </w:lvl>
  </w:abstractNum>
  <w:abstractNum w:abstractNumId="221">
    <w:nsid w:val="56C28E34"/>
    <w:multiLevelType w:val="hybridMultilevel"/>
    <w:lvl w:ilvl="0">
      <w:lvlJc w:val="left"/>
      <w:lvlText w:val="*"/>
      <w:numFmt w:val="bullet"/>
      <w:start w:val="1"/>
    </w:lvl>
  </w:abstractNum>
  <w:abstractNum w:abstractNumId="222">
    <w:nsid w:val="13916F2D"/>
    <w:multiLevelType w:val="hybridMultilevel"/>
    <w:lvl w:ilvl="0">
      <w:lvlJc w:val="left"/>
      <w:lvlText w:val="(%1)"/>
      <w:numFmt w:val="lowerLetter"/>
      <w:start w:val="2"/>
    </w:lvl>
  </w:abstractNum>
  <w:abstractNum w:abstractNumId="223">
    <w:nsid w:val="435D38D"/>
    <w:multiLevelType w:val="hybridMultilevel"/>
    <w:lvl w:ilvl="0">
      <w:lvlJc w:val="left"/>
      <w:lvlText w:val="(%1)"/>
      <w:numFmt w:val="lowerLetter"/>
      <w:start w:val="1"/>
    </w:lvl>
  </w:abstractNum>
  <w:abstractNum w:abstractNumId="224">
    <w:nsid w:val="822C0EF"/>
    <w:multiLevelType w:val="hybridMultilevel"/>
    <w:lvl w:ilvl="0">
      <w:lvlJc w:val="left"/>
      <w:lvlText w:val="(%1)"/>
      <w:numFmt w:val="lowerLetter"/>
      <w:start w:val="1"/>
    </w:lvl>
  </w:abstractNum>
  <w:abstractNum w:abstractNumId="225">
    <w:nsid w:val="57C5BB4F"/>
    <w:multiLevelType w:val="hybridMultilevel"/>
    <w:lvl w:ilvl="0">
      <w:lvlJc w:val="left"/>
      <w:lvlText w:val="(%1)"/>
      <w:numFmt w:val="lowerLetter"/>
      <w:start w:val="1"/>
    </w:lvl>
  </w:abstractNum>
  <w:abstractNum w:abstractNumId="226">
    <w:nsid w:val="1803D089"/>
    <w:multiLevelType w:val="hybridMultilevel"/>
    <w:lvl w:ilvl="0">
      <w:lvlJc w:val="left"/>
      <w:lvlText w:val="(%1)"/>
      <w:numFmt w:val="lowerLetter"/>
      <w:start w:val="1"/>
    </w:lvl>
  </w:abstractNum>
  <w:abstractNum w:abstractNumId="227">
    <w:nsid w:val="4F3A06D4"/>
    <w:multiLevelType w:val="hybridMultilevel"/>
    <w:lvl w:ilvl="0">
      <w:lvlJc w:val="left"/>
      <w:lvlText w:val="%1."/>
      <w:numFmt w:val="decimal"/>
      <w:start w:val="1"/>
    </w:lvl>
  </w:abstractNum>
  <w:abstractNum w:abstractNumId="228">
    <w:nsid w:val="59A377B6"/>
    <w:multiLevelType w:val="hybridMultilevel"/>
    <w:lvl w:ilvl="0">
      <w:lvlJc w:val="left"/>
      <w:lvlText w:val="%1."/>
      <w:numFmt w:val="decimal"/>
      <w:start w:val="2"/>
    </w:lvl>
    <w:lvl w:ilvl="1">
      <w:lvlJc w:val="left"/>
      <w:lvlText w:val="(%2)"/>
      <w:numFmt w:val="lowerLetter"/>
      <w:start w:val="1"/>
    </w:lvl>
  </w:abstractNum>
  <w:abstractNum w:abstractNumId="229">
    <w:nsid w:val="48AEB06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0">
    <w:nsid w:val="24E135"/>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31">
    <w:nsid w:val="BB13C1"/>
    <w:multiLevelType w:val="hybridMultilevel"/>
    <w:lvl w:ilvl="0">
      <w:lvlJc w:val="left"/>
      <w:lvlText w:val="(%1)"/>
      <w:numFmt w:val="lowerRoman"/>
      <w:start w:val="1"/>
    </w:lvl>
  </w:abstractNum>
  <w:abstractNum w:abstractNumId="232">
    <w:nsid w:val="271210C7"/>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33">
    <w:nsid w:val="217B22E4"/>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234">
    <w:nsid w:val="53E31A24"/>
    <w:multiLevelType w:val="hybridMultilevel"/>
    <w:lvl w:ilvl="0">
      <w:lvlJc w:val="left"/>
      <w:lvlText w:val="%1."/>
      <w:numFmt w:val="decimal"/>
      <w:start w:val="3"/>
    </w:lvl>
    <w:lvl w:ilvl="1">
      <w:lvlJc w:val="left"/>
      <w:lvlText w:val="(%2)"/>
      <w:numFmt w:val="lowerLetter"/>
      <w:start w:val="1"/>
    </w:lvl>
  </w:abstractNum>
  <w:abstractNum w:abstractNumId="235">
    <w:nsid w:val="6DC45E8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36">
    <w:nsid w:val="17304A67"/>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lvl w:ilvl="3">
      <w:lvlJc w:val="left"/>
      <w:lvlText w:val="(%4)"/>
      <w:numFmt w:val="decimal"/>
      <w:start w:val="2"/>
    </w:lvl>
  </w:abstractNum>
  <w:abstractNum w:abstractNumId="237">
    <w:nsid w:val="2BB180D8"/>
    <w:multiLevelType w:val="hybridMultilevel"/>
    <w:lvl w:ilvl="0">
      <w:lvlJc w:val="left"/>
      <w:lvlText w:val="(%1)"/>
      <w:numFmt w:val="lowerRoman"/>
      <w:start w:val="1"/>
    </w:lvl>
  </w:abstractNum>
  <w:abstractNum w:abstractNumId="238">
    <w:nsid w:val="556B69ED"/>
    <w:multiLevelType w:val="hybridMultilevel"/>
    <w:lvl w:ilvl="0">
      <w:lvlJc w:val="left"/>
      <w:lvlText w:val="(%1)"/>
      <w:numFmt w:val="lowerRoman"/>
      <w:start w:val="3"/>
    </w:lvl>
  </w:abstractNum>
  <w:abstractNum w:abstractNumId="239">
    <w:nsid w:val="70836196"/>
    <w:multiLevelType w:val="hybridMultilevel"/>
    <w:lvl w:ilvl="0">
      <w:lvlJc w:val="left"/>
      <w:lvlText w:val="(%1)"/>
      <w:numFmt w:val="lowerLetter"/>
      <w:start w:val="4"/>
    </w:lvl>
  </w:abstractNum>
  <w:abstractNum w:abstractNumId="240">
    <w:nsid w:val="539F7F12"/>
    <w:multiLevelType w:val="hybridMultilevel"/>
    <w:lvl w:ilvl="0">
      <w:lvlJc w:val="left"/>
      <w:lvlText w:val="(%1)"/>
      <w:numFmt w:val="lowerLetter"/>
      <w:start w:val="9"/>
    </w:lvl>
  </w:abstractNum>
  <w:abstractNum w:abstractNumId="241">
    <w:nsid w:val="2817E7EC"/>
    <w:multiLevelType w:val="hybridMultilevel"/>
    <w:lvl w:ilvl="0">
      <w:lvlJc w:val="left"/>
      <w:lvlText w:val="(%1)"/>
      <w:numFmt w:val="lowerLetter"/>
      <w:start w:val="14"/>
    </w:lvl>
  </w:abstractNum>
  <w:abstractNum w:abstractNumId="242">
    <w:nsid w:val="71482545"/>
    <w:multiLevelType w:val="hybridMultilevel"/>
    <w:lvl w:ilvl="0">
      <w:lvlJc w:val="left"/>
      <w:lvlText w:val="(%1)"/>
      <w:numFmt w:val="lowerRoman"/>
      <w:start w:val="2"/>
    </w:lvl>
  </w:abstractNum>
  <w:abstractNum w:abstractNumId="243">
    <w:nsid w:val="17D7863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8"/>
    </w:lvl>
  </w:abstractNum>
  <w:abstractNum w:abstractNumId="244">
    <w:nsid w:val="141D2302"/>
    <w:multiLevelType w:val="hybridMultilevel"/>
    <w:lvl w:ilvl="0">
      <w:lvlJc w:val="left"/>
      <w:lvlText w:val="(%1)"/>
      <w:numFmt w:val="lowerRoman"/>
      <w:start w:val="6"/>
    </w:lvl>
    <w:lvl w:ilvl="1">
      <w:lvlJc w:val="left"/>
      <w:lvlText w:val="%2."/>
      <w:numFmt w:val="decimal"/>
      <w:start w:val="5"/>
    </w:lvl>
    <w:lvl w:ilvl="2">
      <w:lvlJc w:val="left"/>
      <w:lvlText w:val="%3"/>
      <w:numFmt w:val="lowerLetter"/>
      <w:start w:val="1"/>
    </w:lvl>
  </w:abstractNum>
  <w:abstractNum w:abstractNumId="245">
    <w:nsid w:val="407168D8"/>
    <w:multiLevelType w:val="hybridMultilevel"/>
    <w:lvl w:ilvl="0">
      <w:lvlJc w:val="left"/>
      <w:lvlText w:val="%1."/>
      <w:numFmt w:val="decimal"/>
      <w:start w:val="6"/>
    </w:lvl>
  </w:abstractNum>
  <w:abstractNum w:abstractNumId="246">
    <w:nsid w:val="6A1B45E5"/>
    <w:multiLevelType w:val="hybridMultilevel"/>
    <w:lvl w:ilvl="0">
      <w:lvlJc w:val="left"/>
      <w:lvlText w:val="(%1)"/>
      <w:numFmt w:val="lowerLetter"/>
      <w:start w:val="2"/>
    </w:lvl>
  </w:abstractNum>
  <w:abstractNum w:abstractNumId="247">
    <w:nsid w:val="567BD50A"/>
    <w:multiLevelType w:val="hybridMultilevel"/>
    <w:lvl w:ilvl="0">
      <w:lvlJc w:val="left"/>
      <w:lvlText w:val="(%1)"/>
      <w:numFmt w:val="lowerLetter"/>
      <w:start w:val="3"/>
    </w:lvl>
  </w:abstractNum>
  <w:abstractNum w:abstractNumId="248">
    <w:nsid w:val="73BBD7F8"/>
    <w:multiLevelType w:val="hybridMultilevel"/>
    <w:lvl w:ilvl="0">
      <w:lvlJc w:val="left"/>
      <w:lvlText w:val="(%1)"/>
      <w:numFmt w:val="lowerRoman"/>
      <w:start w:val="1"/>
    </w:lvl>
  </w:abstractNum>
  <w:abstractNum w:abstractNumId="249">
    <w:nsid w:val="1876589D"/>
    <w:multiLevelType w:val="hybridMultilevel"/>
    <w:lvl w:ilvl="0">
      <w:lvlJc w:val="left"/>
      <w:lvlText w:val="(%1)"/>
      <w:numFmt w:val="lowerLetter"/>
      <w:start w:val="4"/>
    </w:lvl>
  </w:abstractNum>
  <w:abstractNum w:abstractNumId="250">
    <w:nsid w:val="327FAC7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1">
    <w:nsid w:val="5A60650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2">
    <w:nsid w:val="6F38E6D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3">
    <w:nsid w:val="46111BA5"/>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2026-03-16T15:26:24Z</dcterms:created>
  <dcterms:modified xsi:type="dcterms:W3CDTF">2026-03-16T15:26:24Z</dcterms:modified>
</cp:coreProperties>
</file>