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 July 25, 2022</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HONEYWELL INTERNATIONAL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1-8974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22-2640650</w:t>
      </w:r>
    </w:p>
    <w:p>
      <w:pPr>
        <w:spacing w:after="0" w:line="23" w:lineRule="exact"/>
        <w:rPr>
          <w:sz w:val="24"/>
          <w:szCs w:val="24"/>
          <w:color w:val="auto"/>
        </w:rPr>
      </w:pPr>
    </w:p>
    <w:p>
      <w:pPr>
        <w:sectPr>
          <w:pgSz w:w="11900" w:h="16838" w:orient="portrait"/>
          <w:cols w:equalWidth="0" w:num="3">
            <w:col w:w="4644" w:space="720"/>
            <w:col w:w="274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34" w:lineRule="exact"/>
        <w:rPr>
          <w:sz w:val="24"/>
          <w:szCs w:val="24"/>
          <w:color w:val="auto"/>
        </w:rPr>
      </w:pPr>
    </w:p>
    <w:p>
      <w:pPr>
        <w:sectPr>
          <w:pgSz w:w="11900" w:h="16838" w:orient="portrait"/>
          <w:cols w:equalWidth="0" w:num="3">
            <w:col w:w="4484" w:space="720"/>
            <w:col w:w="2620" w:space="720"/>
            <w:col w:w="2480"/>
          </w:cols>
          <w:pgMar w:left="436" w:top="376" w:right="439" w:bottom="1440" w:gutter="0" w:footer="0" w:header="0"/>
          <w:type w:val="continuous"/>
        </w:sectPr>
      </w:pPr>
    </w:p>
    <w:p>
      <w:pPr>
        <w:ind w:left="1504"/>
        <w:spacing w:after="0"/>
        <w:rPr>
          <w:sz w:val="20"/>
          <w:szCs w:val="20"/>
          <w:color w:val="auto"/>
        </w:rPr>
      </w:pPr>
      <w:r>
        <w:rPr>
          <w:rFonts w:ascii="Times New Roman" w:cs="Times New Roman" w:eastAsia="Times New Roman" w:hAnsi="Times New Roman"/>
          <w:sz w:val="17"/>
          <w:szCs w:val="17"/>
          <w:b w:val="1"/>
          <w:bCs w:val="1"/>
          <w:color w:val="auto"/>
        </w:rPr>
        <w:t>855 S. Mint Street, Charlotte, 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28202</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(704) 627-6200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182880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par value $1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HON</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1.300% Senior Notes due 2023</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HON 23A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0.000% Senior Notes due 2024</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HON 24A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2.250% Senior Notes due 2028</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HON 28A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0.750% Senior Notes due 2032</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HON 32</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spacing w:after="0"/>
        <w:tabs>
          <w:tab w:leader="none" w:pos="244"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common stock is also listed on the London Stock Exchange.</w:t>
      </w:r>
    </w:p>
    <w:p>
      <w:pPr>
        <w:spacing w:after="0" w:line="144"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872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1204" w:right="300" w:hanging="1200"/>
        <w:spacing w:after="0" w:line="282" w:lineRule="auto"/>
        <w:tabs>
          <w:tab w:leader="none" w:pos="118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u w:val="single" w:color="auto"/>
          <w:color w:val="auto"/>
        </w:rPr>
        <w:t>Departure of Directors or Certain Officers; Election of Directors; Appointment of Certain Officers; Compensatory Arrangements of Certain Officers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 w:right="20"/>
        <w:spacing w:after="0" w:line="257" w:lineRule="auto"/>
        <w:rPr>
          <w:sz w:val="20"/>
          <w:szCs w:val="20"/>
          <w:color w:val="auto"/>
        </w:rPr>
      </w:pPr>
      <w:r>
        <w:rPr>
          <w:rFonts w:ascii="Times New Roman" w:cs="Times New Roman" w:eastAsia="Times New Roman" w:hAnsi="Times New Roman"/>
          <w:sz w:val="18"/>
          <w:szCs w:val="18"/>
          <w:color w:val="auto"/>
        </w:rPr>
        <w:t>On July 25, 2022, the Board of Directors of Honeywell International Inc. (the “Company”) elected Mr. Vimal Kapur, age 56, to the role of President and Chief Operating Officer of the Company, effective as of July 28, 2022. Mr. Kapur will report to Mr. Darius Adamczyk, the Company’s Chairman and Chief Executive Officer. The President and Chief Executive Officer of each of the Company’s strategic business groups will report to Mr. Kapur.</w:t>
      </w:r>
    </w:p>
    <w:p>
      <w:pPr>
        <w:spacing w:after="0" w:line="1" w:lineRule="exact"/>
        <w:rPr>
          <w:sz w:val="20"/>
          <w:szCs w:val="20"/>
          <w:color w:val="auto"/>
        </w:rPr>
      </w:pPr>
    </w:p>
    <w:p>
      <w:pPr>
        <w:ind w:left="4" w:right="820"/>
        <w:spacing w:after="0" w:line="260" w:lineRule="auto"/>
        <w:rPr>
          <w:sz w:val="20"/>
          <w:szCs w:val="20"/>
          <w:color w:val="auto"/>
        </w:rPr>
      </w:pPr>
      <w:r>
        <w:rPr>
          <w:rFonts w:ascii="Times New Roman" w:cs="Times New Roman" w:eastAsia="Times New Roman" w:hAnsi="Times New Roman"/>
          <w:sz w:val="18"/>
          <w:szCs w:val="18"/>
          <w:color w:val="auto"/>
        </w:rPr>
        <w:t>Mr. Kapur will continue to be an executive officer of the Company and will continue to serve as the President and Chief Executive Officer of Performance Materials and Technologies (“PMT”) until a successor is named.</w:t>
      </w:r>
    </w:p>
    <w:p>
      <w:pPr>
        <w:spacing w:after="0" w:line="181"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Mr. Kapur has served since July 2021 as President and Chief Executive Officer of PMT. Prior to that, Mr. Kapur served as the President and Chief Executive Officer of Honeywell Building Technologies (“HBT”) from 2018 to 2021 and as the leader of PMT’s Honeywell Process Solutions business (“HPS”) from 2014 to 2018. In addition, Mr. Kapur has held several other leadership positions at the Company, including Vice President and General Manager of HPS’ Advanced Solutions line of business and Managing Director for Honeywell Automation India Limited (HAIL).</w:t>
      </w:r>
    </w:p>
    <w:p>
      <w:pPr>
        <w:spacing w:after="0" w:line="180" w:lineRule="exact"/>
        <w:rPr>
          <w:sz w:val="20"/>
          <w:szCs w:val="20"/>
          <w:color w:val="auto"/>
        </w:rPr>
      </w:pPr>
    </w:p>
    <w:p>
      <w:pPr>
        <w:ind w:left="4" w:right="540"/>
        <w:spacing w:after="0" w:line="257" w:lineRule="auto"/>
        <w:rPr>
          <w:sz w:val="20"/>
          <w:szCs w:val="20"/>
          <w:color w:val="auto"/>
        </w:rPr>
      </w:pPr>
      <w:r>
        <w:rPr>
          <w:rFonts w:ascii="Times New Roman" w:cs="Times New Roman" w:eastAsia="Times New Roman" w:hAnsi="Times New Roman"/>
          <w:sz w:val="18"/>
          <w:szCs w:val="18"/>
          <w:color w:val="auto"/>
        </w:rPr>
        <w:t>Pursuant to the terms of an Offer Letter dated July 26, 2022 from the Company to Mr. Kapur (the “Offer Letter”), effective as of the date of his promotion, Mr. Kapur will receive a base salary of $1,000,000 and a target annual incentive compensation opportunity of 125% of base salary. In addition, Mr. Kapur has been granted (i) non-qualified stock options with a grant date value of $700,000, which will vest over four years,</w:t>
      </w:r>
    </w:p>
    <w:p>
      <w:pPr>
        <w:spacing w:after="0" w:line="1" w:lineRule="exact"/>
        <w:rPr>
          <w:sz w:val="20"/>
          <w:szCs w:val="20"/>
          <w:color w:val="auto"/>
        </w:rPr>
      </w:pPr>
    </w:p>
    <w:p>
      <w:pPr>
        <w:ind w:left="4" w:hanging="4"/>
        <w:spacing w:after="0" w:line="253"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units with a grant date value of $1,000,000 for the 2022-2024 performance period, and (iii) restricted stock units with a grant date value of $300,000, which will vest over six years. Each of the foregoing awards were granted pursuant to the terms of the 2016 Stock Incentive Plan of Honeywell International Inc. and its Affiliates (the “Stock Plan”). Mr. Kapur will continue to participate in other compensation and benefit plans generally available to the Company’s executive officers, as further described in the Company’s 2022 proxy statement.</w:t>
      </w:r>
    </w:p>
    <w:p>
      <w:pPr>
        <w:spacing w:after="0" w:line="189" w:lineRule="exact"/>
        <w:rPr>
          <w:sz w:val="20"/>
          <w:szCs w:val="20"/>
          <w:color w:val="auto"/>
        </w:rPr>
      </w:pPr>
    </w:p>
    <w:p>
      <w:pPr>
        <w:ind w:left="4" w:right="600"/>
        <w:spacing w:after="0" w:line="282" w:lineRule="auto"/>
        <w:rPr>
          <w:sz w:val="20"/>
          <w:szCs w:val="20"/>
          <w:color w:val="auto"/>
        </w:rPr>
      </w:pPr>
      <w:r>
        <w:rPr>
          <w:rFonts w:ascii="Times New Roman" w:cs="Times New Roman" w:eastAsia="Times New Roman" w:hAnsi="Times New Roman"/>
          <w:sz w:val="18"/>
          <w:szCs w:val="18"/>
          <w:color w:val="auto"/>
        </w:rPr>
        <w:t>The foregoing is a summary of certain provisions of the Offer Letter and this summary is qualified in its entirety by reference to the Offer Letter attached as Exhibit 10.1 hereto.</w:t>
      </w:r>
    </w:p>
    <w:p>
      <w:pPr>
        <w:spacing w:after="0" w:line="162" w:lineRule="exact"/>
        <w:rPr>
          <w:sz w:val="20"/>
          <w:szCs w:val="20"/>
          <w:color w:val="auto"/>
        </w:rPr>
      </w:pPr>
    </w:p>
    <w:p>
      <w:pPr>
        <w:jc w:val="both"/>
        <w:ind w:left="4" w:right="100"/>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Mr. Kapur and any other persons pursuant to which he was appointed the Company’s President and Chief Operating Officer. There is no family relationship between Mr. Kapur and any director, executive officer, or person nominated or chosen by the Company to become a director or executive officer of the Company. The Company has not entered into any transactions with Mr. Kapur that would require disclosure pursuant to Item 404(a) of Regulation S-K under the Exchange Act.</w:t>
      </w:r>
    </w:p>
    <w:p>
      <w:pPr>
        <w:spacing w:after="0" w:line="328"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color w:val="auto"/>
        </w:rPr>
        <w:t>ITEM 7.01</w:t>
      </w:r>
      <w:r>
        <w:rPr>
          <w:sz w:val="20"/>
          <w:szCs w:val="20"/>
          <w:color w:val="auto"/>
        </w:rPr>
        <w:tab/>
      </w:r>
      <w:r>
        <w:rPr>
          <w:rFonts w:ascii="Times New Roman" w:cs="Times New Roman" w:eastAsia="Times New Roman" w:hAnsi="Times New Roman"/>
          <w:sz w:val="17"/>
          <w:szCs w:val="17"/>
          <w:u w:val="single" w:color="auto"/>
          <w:color w:val="auto"/>
        </w:rPr>
        <w:t>Regulation FD Disclosure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issued the press release attached hereto as Exhibit 99.1 with respect to the matters set forth in Item 5.02 above.</w:t>
      </w:r>
    </w:p>
    <w:p>
      <w:pPr>
        <w:spacing w:after="0" w:line="225"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is being furnished and shall not be deemed “filed” for the purposes of Section 18 of the Securities Exchange Act of 1934, as amended (the “Exchange Act”), or otherwise subject to the liabilities of that section, and shall not be deemed incorporated by reference into any filing made under the Securities Act of 1933, as amended, or the Exchange Act, except as otherwise expressly stated in such filing.</w:t>
      </w:r>
    </w:p>
    <w:p>
      <w:pPr>
        <w:sectPr>
          <w:pgSz w:w="11900" w:h="16838" w:orient="portrait"/>
          <w:cols w:equalWidth="0" w:num="1">
            <w:col w:w="10984"/>
          </w:cols>
          <w:pgMar w:left="436" w:top="297"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9.01</w:t>
            </w:r>
          </w:p>
        </w:tc>
        <w:tc>
          <w:tcPr>
            <w:tcW w:w="86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Financial Statements and Exhibits.</w:t>
            </w:r>
          </w:p>
        </w:tc>
      </w:tr>
      <w:tr>
        <w:trPr>
          <w:trHeight w:val="34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35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Offer letter dated July 26, 2022 from Honeywell International Inc. to Vimal Kapur.</w:t>
            </w:r>
          </w:p>
        </w:tc>
        <w:tc>
          <w:tcPr>
            <w:tcW w:w="2440" w:type="dxa"/>
            <w:vAlign w:val="bottom"/>
          </w:tcPr>
          <w:p>
            <w:pPr>
              <w:spacing w:after="0"/>
              <w:rPr>
                <w:sz w:val="24"/>
                <w:szCs w:val="24"/>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Press Release dated July 28, 2022, entitled “Honeywell Names Vimal Kapur President and Chief Operating Officer.”</w:t>
            </w:r>
          </w:p>
        </w:tc>
      </w:tr>
      <w:tr>
        <w:trPr>
          <w:trHeight w:val="34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Exhibit 104</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bl>
    <w:p>
      <w:pPr>
        <w:spacing w:after="0"/>
        <w:rPr>
          <w:sz w:val="20"/>
          <w:szCs w:val="20"/>
          <w:color w:val="auto"/>
        </w:rPr>
        <w:sectPr>
          <w:pgSz w:w="11900" w:h="16838" w:orient="portrait"/>
          <w:cols w:equalWidth="0" w:num="1">
            <w:col w:w="10019"/>
          </w:cols>
          <w:pgMar w:left="440" w:top="284"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July 28, 2022</w:t>
      </w:r>
      <w:r>
        <w:rPr>
          <w:sz w:val="20"/>
          <w:szCs w:val="20"/>
          <w:color w:val="auto"/>
        </w:rPr>
        <w:tab/>
      </w:r>
      <w:r>
        <w:rPr>
          <w:rFonts w:ascii="Times New Roman" w:cs="Times New Roman" w:eastAsia="Times New Roman" w:hAnsi="Times New Roman"/>
          <w:sz w:val="17"/>
          <w:szCs w:val="17"/>
          <w:color w:val="auto"/>
        </w:rPr>
        <w:t>HONEYWELL INTERNATIONAL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Anne T.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Anne T. Madden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and General Counsel</w:t>
      </w:r>
    </w:p>
    <w:p>
      <w:pPr>
        <w:sectPr>
          <w:pgSz w:w="11900" w:h="16838" w:orient="portrait"/>
          <w:cols w:equalWidth="0" w:num="1">
            <w:col w:w="10720"/>
          </w:cols>
          <w:pgMar w:left="440" w:top="293" w:right="7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474470"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Vimal Kapur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2101 City West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0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i w:val="1"/>
          <w:iCs w:val="1"/>
          <w:color w:val="auto"/>
        </w:rPr>
        <w:t>Re:</w:t>
        <w:tab/>
        <w:t>Offer Letter</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 am pleased to confirm our offer to you to become President and Chief Operating Officer, Honeywell International Inc. (Executive Band), based in Charlotte, North Carolina, reporting directly to Darius Adamczyk. The effective date of your promotion will be July 28, 2022 (“Effective Date”), subject to the terms and conditions of this offer letter. In this position, you will be an Executive Officer of Honeywell.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your new role, you will be entitled to the following compensation and benefits package: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117"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Your annual base salary will be increased to $1,000,000 as of the Effective Date. Base salary reviews occur annually and any adjustments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generally at the end of the first quarter of the calendar year. Adjustments are based on your performance and other relevant factors. You will next be eligible for a base salary review in March of 2023.</w:t>
      </w:r>
    </w:p>
    <w:p>
      <w:pPr>
        <w:spacing w:after="0" w:line="17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Annual Incentive Compensation</w:t>
      </w:r>
      <w:r>
        <w:rPr>
          <w:rFonts w:ascii="Times New Roman" w:cs="Times New Roman" w:eastAsia="Times New Roman" w:hAnsi="Times New Roman"/>
          <w:sz w:val="18"/>
          <w:szCs w:val="18"/>
          <w:color w:val="auto"/>
        </w:rPr>
        <w:t>: Your target incentive compensation opportunity will be increased, as of the Effective Date, to 125% of your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base salary earnings during the year. For 2022, your incentive compensation award will be prorated based on the number of days your target incentive was 100%, and the number of days your target incentive will be 125%. Incentive compensation awards are paid in the first quarter of the following year.</w:t>
      </w:r>
    </w:p>
    <w:p>
      <w:pPr>
        <w:spacing w:after="0" w:line="17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Annual Long-Term Incentive Awards: </w:t>
      </w:r>
      <w:r>
        <w:rPr>
          <w:rFonts w:ascii="Times New Roman" w:cs="Times New Roman" w:eastAsia="Times New Roman" w:hAnsi="Times New Roman"/>
          <w:sz w:val="18"/>
          <w:szCs w:val="18"/>
          <w:color w:val="auto"/>
        </w:rPr>
        <w:t>You will be eligible for annual long-term incentive (“LTI”) awards consisting of stock options,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performance stock units or cash-based awards, or some combination thereof, as determined by the Company in its discretion. The actual size and mix of your annual LTI awards will be determined by the MDCC based on your performance and future career potential with Honeywell. The terms of all LTI awards are governed by the terms of the applicable Stock Incentive Plan of Honeywell International Inc. and its Affiliates (the “Stock Incentive Plan”) and the relevant award agreements. Moreover, Honeywell and the MDCC reserve the right to modify the design or mix of the LTI award program in the future.</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 of 4</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PROMOTIONAL LTI GRANT</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addition to the annual LTI awards already granted to you on February 11, 2022, you will receive the following additional LTI awards for 2022 in connection with this promotion:</w:t>
      </w:r>
    </w:p>
    <w:p>
      <w:pPr>
        <w:spacing w:after="0" w:line="67" w:lineRule="exact"/>
        <w:rPr>
          <w:sz w:val="20"/>
          <w:szCs w:val="20"/>
          <w:color w:val="auto"/>
        </w:rPr>
      </w:pPr>
    </w:p>
    <w:p>
      <w:pPr>
        <w:ind w:left="960" w:right="50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units (“PSUs”) with a grant date value of $1,000,000, for the January 1, 2022 – December 31, 2024, performance period;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with a grant date value of $700,000;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(“RSUs”) with a grant date value of $300,000.</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These awards will be granted under the terms of the applicable Stock Incentive Plan and governed by the relevant award agreements. These promotional equity awards will be granted as of the Effective Date. The stock options will vest ratably over four years and the RSUs will vest on the second, fourth and sixth anniversaries of the date of grant.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EXECUTIVE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also be entitled to the following Executive Benefits:</w:t>
      </w:r>
    </w:p>
    <w:p>
      <w:pPr>
        <w:spacing w:after="0" w:line="129" w:lineRule="exact"/>
        <w:rPr>
          <w:sz w:val="20"/>
          <w:szCs w:val="20"/>
          <w:color w:val="auto"/>
        </w:rPr>
      </w:pPr>
    </w:p>
    <w:p>
      <w:pPr>
        <w:ind w:left="960" w:right="100" w:hanging="424"/>
        <w:spacing w:after="0" w:line="284"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Excess Liability Insurance</w:t>
      </w:r>
      <w:r>
        <w:rPr>
          <w:rFonts w:ascii="Times New Roman" w:cs="Times New Roman" w:eastAsia="Times New Roman" w:hAnsi="Times New Roman"/>
          <w:sz w:val="18"/>
          <w:szCs w:val="18"/>
          <w:color w:val="auto"/>
        </w:rPr>
        <w:t>: Honeywell will pay the annual premium for an Excess Liability Insurance policy that provides $10,000,000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 liability umbrella coverage per occurrence.</w:t>
      </w:r>
    </w:p>
    <w:p>
      <w:pPr>
        <w:spacing w:after="0" w:line="63" w:lineRule="exact"/>
        <w:rPr>
          <w:rFonts w:ascii="Times New Roman" w:cs="Times New Roman" w:eastAsia="Times New Roman" w:hAnsi="Times New Roman"/>
          <w:sz w:val="18"/>
          <w:szCs w:val="18"/>
          <w:color w:val="auto"/>
        </w:rPr>
      </w:pPr>
    </w:p>
    <w:p>
      <w:pPr>
        <w:ind w:left="960" w:right="200" w:hanging="424"/>
        <w:spacing w:after="0" w:line="257"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Executive Severance</w:t>
      </w:r>
      <w:r>
        <w:rPr>
          <w:rFonts w:ascii="Times New Roman" w:cs="Times New Roman" w:eastAsia="Times New Roman" w:hAnsi="Times New Roman"/>
          <w:sz w:val="18"/>
          <w:szCs w:val="18"/>
          <w:color w:val="auto"/>
        </w:rPr>
        <w:t>: The Honeywell International Inc. Severance Plan for Designated Officers currently provides for 18 months of 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salary continuation and target bonus if your employment is involuntary terminated for a reason other than Cause (as defined in the severance plan document in effect when you terminate employment). You will be required to execute a release of claims against Honeywell and its affiliates and related parties and you may be required to agree to certain non-solicitation, non-disclosure and non-competition covenants as a condition of receiving executive severance benefits. For additional information, please consult the actual plan document.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 OWNERSHIP GUIDELINES FOR HONEYWELL OFFICERS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an Executive Officer of the Corporation, you will be required to hold Honeywell shares in accordance with the Corporation’s Stock Ownership Guidelines, as amended from time to time. A copy of the Stock Ownership Guidelines will be separately provided to you.</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RELOCATION</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 condition of the offer is that you relocate to the Charlotte, North Carolina area. You will be eligible for relocation assistance in accordance with the Company’s Executive Level relocation guidelines. You will be contacted by a representative from our relocation vendor after you return your signed offer letter to initiate the relocation process.</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 of 4</w:t>
      </w:r>
    </w:p>
    <w:p>
      <w:pPr>
        <w:sectPr>
          <w:pgSz w:w="11900" w:h="16838" w:orient="portrait"/>
          <w:cols w:equalWidth="0" w:num="1">
            <w:col w:w="11020"/>
          </w:cols>
          <w:pgMar w:left="440" w:top="266"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INTELLECTUAL PROPERTY AND NON-COMPETITION AGREEMENTS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a condition of this employment offer, you are required to execute (i) Honeywell’s “Employee Agreement Relating to Trade Secrets, Proprietary and Confidential Information” (“IP Agreement”), and (ii) the “Honeywell International Inc. Noncompete Agreement for Select Management Employees” (“Noncompete Agreement”), both of which are attached hereto.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ACCEPTANCE OF OFFER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indicate your acceptance by signing this offer letter, as well as the IP Agreement and Noncompete Agreement, and returning them to me.</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Honeywell has a long and distinguished history. But, more importantly, we are a company with a terrific future and a great place to work. Our performance culture drives growth for us and competitive advantage for our customers. We hire the best people; give them every possible opportunity to learn, grow, and develop; and reward them for their contributions. We offer career paths that span product lines, job types, businesses, and countries.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Vimal, we are excited to be extending this offer to you and look forward to working with you in your expanded role. Your experience and background are an asset to our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or need any further information about our offer, please contact me directly.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Congratulations,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Karen Mattimore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Human Resources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 and Accepted:</w:t>
      </w:r>
    </w:p>
    <w:p>
      <w:pPr>
        <w:sectPr>
          <w:pgSz w:w="11900" w:h="16838" w:orient="portrait"/>
          <w:cols w:equalWidth="0" w:num="1">
            <w:col w:w="11020"/>
          </w:cols>
          <w:pgMar w:left="440" w:top="266" w:right="4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Vimal Kapur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3497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4320"/>
        <w:spacing w:after="0"/>
        <w:rPr>
          <w:sz w:val="20"/>
          <w:szCs w:val="20"/>
          <w:color w:val="auto"/>
        </w:rPr>
      </w:pPr>
      <w:r>
        <w:rPr>
          <w:rFonts w:ascii="Times New Roman" w:cs="Times New Roman" w:eastAsia="Times New Roman" w:hAnsi="Times New Roman"/>
          <w:sz w:val="17"/>
          <w:szCs w:val="17"/>
          <w:color w:val="auto"/>
        </w:rPr>
        <w:t>July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33515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VIMAL KAPUR (E207366)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129"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All businesses experience changing conditions. Accordingly, we reserve the right to change work assignments, reporting relationships and staffing levels to meet business needs, and your employment with Honeywell will be on an “at will” basis. This means that there is no guarantee of employment for any specific period, and either you or Honeywell may terminate your employment at any time.</w:t>
      </w:r>
    </w:p>
    <w:p>
      <w:pPr>
        <w:spacing w:after="0" w:line="6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descriptions of benefits and perquisites described in this offer letter are for general information purposes only and are not intended to modify any plan document, summary plan description (“SPD”) or prospectus. For a complete description of any benefit or perquisite, you may request a copy of the applicable plan document, SPD or prospectus. The Company reserves the right to modify, amend or terminate any benefit plan or perquisite in its sole and absolute discretion.</w:t>
      </w:r>
    </w:p>
    <w:p>
      <w:pPr>
        <w:spacing w:after="0" w:line="1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 of 4</w:t>
      </w:r>
    </w:p>
    <w:p>
      <w:pPr>
        <w:sectPr>
          <w:pgSz w:w="11900" w:h="16838" w:orient="portrait"/>
          <w:cols w:equalWidth="0" w:num="1">
            <w:col w:w="11020"/>
          </w:cols>
          <w:pgMar w:left="440" w:top="266"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EID: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Document Category: </w:t>
      </w:r>
      <w:r>
        <w:rPr>
          <w:rFonts w:ascii="Times New Roman" w:cs="Times New Roman" w:eastAsia="Times New Roman" w:hAnsi="Times New Roman"/>
          <w:sz w:val="18"/>
          <w:szCs w:val="18"/>
          <w:color w:val="auto"/>
        </w:rPr>
        <w:t>Hiring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Document Type: </w:t>
      </w:r>
      <w:r>
        <w:rPr>
          <w:rFonts w:ascii="Times New Roman" w:cs="Times New Roman" w:eastAsia="Times New Roman" w:hAnsi="Times New Roman"/>
          <w:sz w:val="18"/>
          <w:szCs w:val="18"/>
          <w:color w:val="auto"/>
        </w:rPr>
        <w:t>Offer Letter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Employee File Management Purpose Only</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 of 4</w:t>
      </w:r>
    </w:p>
    <w:p>
      <w:pPr>
        <w:sectPr>
          <w:pgSz w:w="11900" w:h="16838" w:orient="portrait"/>
          <w:cols w:equalWidth="0" w:num="1">
            <w:col w:w="11020"/>
          </w:cols>
          <w:pgMar w:left="440" w:top="266" w:right="439" w:bottom="1440" w:gutter="0" w:footer="0" w:header="0"/>
        </w:sectPr>
      </w:pPr>
    </w:p>
    <w:bookmarkStart w:id="8" w:name="page9"/>
    <w:bookmarkEnd w:id="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HONEYWELL INTERNATIONAL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Employee Agreement Relating to Trade Secrets,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Proprietary and Confidential Information</w:t>
      </w:r>
    </w:p>
    <w:p>
      <w:pPr>
        <w:spacing w:after="0" w:line="203" w:lineRule="exact"/>
        <w:rPr>
          <w:sz w:val="20"/>
          <w:szCs w:val="20"/>
          <w:color w:val="auto"/>
        </w:rPr>
      </w:pPr>
    </w:p>
    <w:p>
      <w:pPr>
        <w:ind w:left="4" w:right="360"/>
        <w:spacing w:after="0" w:line="268" w:lineRule="auto"/>
        <w:rPr>
          <w:sz w:val="20"/>
          <w:szCs w:val="20"/>
          <w:color w:val="auto"/>
        </w:rPr>
      </w:pPr>
      <w:r>
        <w:rPr>
          <w:rFonts w:ascii="Times New Roman" w:cs="Times New Roman" w:eastAsia="Times New Roman" w:hAnsi="Times New Roman"/>
          <w:sz w:val="18"/>
          <w:szCs w:val="18"/>
          <w:b w:val="1"/>
          <w:bCs w:val="1"/>
          <w:color w:val="auto"/>
        </w:rPr>
        <w:t>In consideration of my employment, continued employment, compensation, eligibility for any future discretionary raises or merit increases, eligibility for any future bonuses, awards or payments under any Honeywell incentive compensation or equity programs or plans and the equipment, materials, facilities and Honeywell Confidential Information supplied to me, I understand and agree that:</w:t>
      </w:r>
    </w:p>
    <w:p>
      <w:pPr>
        <w:spacing w:after="0" w:line="76" w:lineRule="exact"/>
        <w:rPr>
          <w:sz w:val="20"/>
          <w:szCs w:val="20"/>
          <w:color w:val="auto"/>
        </w:rPr>
      </w:pPr>
    </w:p>
    <w:p>
      <w:pPr>
        <w:ind w:left="424" w:right="80" w:hanging="424"/>
        <w:spacing w:after="0" w:line="262" w:lineRule="auto"/>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Records of Inventions. </w:t>
      </w:r>
      <w:r>
        <w:rPr>
          <w:rFonts w:ascii="Times New Roman" w:cs="Times New Roman" w:eastAsia="Times New Roman" w:hAnsi="Times New Roman"/>
          <w:sz w:val="18"/>
          <w:szCs w:val="18"/>
          <w:color w:val="auto"/>
        </w:rPr>
        <w:t>I will keep complete and current written records of all Inventions I Make during the period of time I am employed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Honeywell and promptly disclose all such Inventions in writing to Honeywell for the purpose of adequately determining Honeywell’s rights in each such Invention. I will supplement any such disclosures to the extent Honeywell may request that I do so. If I have any doubt as to whether or not to disclose an Invention to Honeywell, I will disclose it.</w:t>
      </w:r>
    </w:p>
    <w:p>
      <w:pPr>
        <w:spacing w:after="0" w:line="81" w:lineRule="exact"/>
        <w:rPr>
          <w:rFonts w:ascii="Times New Roman" w:cs="Times New Roman" w:eastAsia="Times New Roman" w:hAnsi="Times New Roman"/>
          <w:sz w:val="18"/>
          <w:szCs w:val="18"/>
          <w:b w:val="1"/>
          <w:bCs w:val="1"/>
          <w:color w:val="auto"/>
        </w:rPr>
      </w:pPr>
    </w:p>
    <w:p>
      <w:pPr>
        <w:ind w:left="424" w:right="40" w:hanging="424"/>
        <w:spacing w:after="0" w:line="255" w:lineRule="auto"/>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 of Inventions after Termination. </w:t>
      </w:r>
      <w:r>
        <w:rPr>
          <w:rFonts w:ascii="Times New Roman" w:cs="Times New Roman" w:eastAsia="Times New Roman" w:hAnsi="Times New Roman"/>
          <w:sz w:val="18"/>
          <w:szCs w:val="18"/>
          <w:color w:val="auto"/>
        </w:rPr>
        <w:t>Without further compensation, I will promptly and completely disclose in a confidential writing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Honeywell’s Law Department all Inventions that I Make during the one year immediately following the end of my employment by Honeywell that are based upon Honeywell’s Confidential Information for the purpose of determining Honeywell’s rights in each such Invention before filing any application for patents on such Inventions. I will not file any patent application relating to any such Invention without the prior written consent of Honeywell’s Law Department. If I do not prove that I Made the Invention entirely after leaving Honeywell’s employment and without using or incorporating Honeywell’s Confidential Information, the Invention is presumed to have been Made during the period of time I was employed by Honeywell. I acknowledge that the conditions of this paragraph are no greater than is necessary for protecting Honeywell’s interests in Confidential Information and in Inventions to which it is rightfully entitled.</w:t>
      </w:r>
    </w:p>
    <w:p>
      <w:pPr>
        <w:spacing w:after="0" w:line="90" w:lineRule="exact"/>
        <w:rPr>
          <w:rFonts w:ascii="Times New Roman" w:cs="Times New Roman" w:eastAsia="Times New Roman" w:hAnsi="Times New Roman"/>
          <w:sz w:val="18"/>
          <w:szCs w:val="18"/>
          <w:b w:val="1"/>
          <w:bCs w:val="1"/>
          <w:color w:val="auto"/>
        </w:rPr>
      </w:pPr>
    </w:p>
    <w:p>
      <w:pPr>
        <w:ind w:left="424" w:right="140" w:hanging="424"/>
        <w:spacing w:after="0" w:line="254" w:lineRule="auto"/>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Ownership of Inventions. </w:t>
      </w:r>
      <w:r>
        <w:rPr>
          <w:rFonts w:ascii="Times New Roman" w:cs="Times New Roman" w:eastAsia="Times New Roman" w:hAnsi="Times New Roman"/>
          <w:sz w:val="18"/>
          <w:szCs w:val="18"/>
          <w:color w:val="auto"/>
        </w:rPr>
        <w:t>I agree that each and every Invention I Make during the period of time I am employed by Honeywell (a) that relates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to the business of Honeywell or to Honeywell’s actual or demonstrably anticipated research or development, or (b) that results from any work I perform for Honeywell is the sole and exclusive property of Honeywell, and will continue to be the sole and exclusive property of Honeywell pursuant to this Agreement without any further action required by either party. I hereby irrevocably assign my entire right, title and interest in each such Invention to Honeywell. If, at any time, a court or other tribunal rules that my assignment under this paragraph is ineffective or unenforceable for any reason, I agree to perform all actions necessary to assign these Inventions and/or pre-employment Inventions to Honeywell. Each Invention I Make during the period of time I am employed by Honeywell for which no equipment, supplies, facilities or Honeywell Confidential Information was used and that was developed entirely on my own time is my property, unless (a) the Invention relates directly to the business of Honeywell or to Honeywell’s actual or demonstrably anticipated research or development, or (b) the Invention results from any work performed by me for Honeywell. If I assert any property right in an Invention I Make during the period of time I am employed by Honeywell, I will promptly notify Honeywell’s Law Department in writing.</w:t>
      </w:r>
    </w:p>
    <w:p>
      <w:pPr>
        <w:spacing w:after="0" w:line="87" w:lineRule="exact"/>
        <w:rPr>
          <w:rFonts w:ascii="Times New Roman" w:cs="Times New Roman" w:eastAsia="Times New Roman" w:hAnsi="Times New Roman"/>
          <w:sz w:val="18"/>
          <w:szCs w:val="18"/>
          <w:b w:val="1"/>
          <w:bCs w:val="1"/>
          <w:color w:val="auto"/>
        </w:rPr>
      </w:pPr>
    </w:p>
    <w:p>
      <w:pPr>
        <w:ind w:left="424" w:right="140" w:hanging="424"/>
        <w:spacing w:after="0" w:line="257" w:lineRule="auto"/>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Cooperation with Honeywell and Assignment of Rights. </w:t>
      </w:r>
      <w:r>
        <w:rPr>
          <w:rFonts w:ascii="Times New Roman" w:cs="Times New Roman" w:eastAsia="Times New Roman" w:hAnsi="Times New Roman"/>
          <w:sz w:val="18"/>
          <w:szCs w:val="18"/>
          <w:color w:val="auto"/>
        </w:rPr>
        <w:t>In addition to the foregoing assignment of Inventions to Honeywell, I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irrevocably transfer and assign to Honeywell (and agree to sign any further documents to irrevocably transfer and assign to Honeywell): (i) all worldwide patents, patent applications, copyrights, mask works, trade secrets and other intellectual property rights, including but not limited to rights in databases, in any Inventions owned by Honeywell pursuant to paragraph 3 of this Agreement, along with any registrations of or applications to register such rights; (ii) any and all Moral Rights that I may have in or with respect to any such Inventions; and (iii) all worldwide trademark applications or registrations, domain</w:t>
      </w:r>
    </w:p>
    <w:p>
      <w:pPr>
        <w:spacing w:after="0" w:line="119" w:lineRule="exact"/>
        <w:rPr>
          <w:sz w:val="20"/>
          <w:szCs w:val="20"/>
          <w:color w:val="auto"/>
        </w:rPr>
      </w:pPr>
    </w:p>
    <w:p>
      <w:pPr>
        <w:ind w:left="4"/>
        <w:spacing w:after="0"/>
        <w:tabs>
          <w:tab w:leader="none" w:pos="5324" w:val="left"/>
          <w:tab w:leader="none" w:pos="9624" w:val="left"/>
        </w:tabs>
        <w:rPr>
          <w:sz w:val="20"/>
          <w:szCs w:val="20"/>
          <w:color w:val="auto"/>
        </w:rPr>
      </w:pPr>
      <w:r>
        <w:rPr>
          <w:rFonts w:ascii="Times New Roman" w:cs="Times New Roman" w:eastAsia="Times New Roman" w:hAnsi="Times New Roman"/>
          <w:sz w:val="18"/>
          <w:szCs w:val="18"/>
          <w:color w:val="auto"/>
        </w:rPr>
        <w:t>IP Agreement – US NON-CALIFORNIA – R</w:t>
      </w:r>
      <w:r>
        <w:rPr>
          <w:sz w:val="20"/>
          <w:szCs w:val="20"/>
          <w:color w:val="auto"/>
        </w:rPr>
        <w:tab/>
      </w:r>
      <w:r>
        <w:rPr>
          <w:rFonts w:ascii="Times New Roman" w:cs="Times New Roman" w:eastAsia="Times New Roman" w:hAnsi="Times New Roman"/>
          <w:sz w:val="18"/>
          <w:szCs w:val="18"/>
          <w:color w:val="auto"/>
        </w:rPr>
        <w:t>Page 1 of 9</w:t>
      </w:r>
      <w:r>
        <w:rPr>
          <w:sz w:val="20"/>
          <w:szCs w:val="20"/>
          <w:color w:val="auto"/>
        </w:rPr>
        <w:tab/>
      </w:r>
      <w:r>
        <w:rPr>
          <w:rFonts w:ascii="Times New Roman" w:cs="Times New Roman" w:eastAsia="Times New Roman" w:hAnsi="Times New Roman"/>
          <w:sz w:val="18"/>
          <w:szCs w:val="18"/>
          <w:color w:val="auto"/>
        </w:rPr>
        <w:t>Revised 05-1-2019</w:t>
      </w:r>
    </w:p>
    <w:p>
      <w:pPr>
        <w:sectPr>
          <w:pgSz w:w="11900" w:h="16838" w:orient="portrait"/>
          <w:cols w:equalWidth="0" w:num="1">
            <w:col w:w="11024"/>
          </w:cols>
          <w:pgMar w:left="436" w:top="266" w:right="439" w:bottom="1440" w:gutter="0" w:footer="0" w:header="0"/>
        </w:sectPr>
      </w:pPr>
    </w:p>
    <w:bookmarkStart w:id="9" w:name="page10"/>
    <w:bookmarkEnd w:id="9"/>
    <w:p>
      <w:pPr>
        <w:ind w:left="424"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names or social or business networking/media account or identification names related to the scope of my employment. I also hereby forever waive and agree never to assert any and all Moral Rights I may have in or with respect to any assigned Inventions, even after termination of my work on behalf of Honeywell. I agree to assist and fully cooperate with Honeywell in obtaining, and enforcing Honeywell’s patents, copyrights, mask work rights, trade secret rights and other legal protections for such Inventions. I will also assist and fully cooperate with Honeywell in defending Honeywell against claims of violation of the intellectual property rights of others. I will be paid my reasonable expenses in assisting, and cooperating with, Honeywell. I will execute any lawful document Honeywell requests me to execute relating to obtaining, maintaining, asserting or enforcing legal protection for any said Invention or in defending against claims of the violation of the intellectual property rights of others (including, but not limited to, executing applications, assignments, oaths, declarations, and affidavits) and I will make myself available for interviews, depositions and testimony. In the event that Honeywell is unable, after reasonable effort, to secure my signature on any document or documents needed to apply for or prosecute any patent, copyright, or other right or protection relating to an Invention or right mentioned above, for any other reason whatsoever, I hereby irrevocably designate and appoint Honeywell and its duly authorized officers and agents as my agent and attorney-in-fact, to act for and on my behalf to execute and file any such application or applications, and to do all other lawfully-permitted acts to further the prosecution and issuance of patents, copyrights, or similar protections thereon with the same legal force and effect as if executed by me for this purpose.</w:t>
      </w:r>
    </w:p>
    <w:p>
      <w:pPr>
        <w:spacing w:after="0" w:line="99" w:lineRule="exact"/>
        <w:rPr>
          <w:sz w:val="20"/>
          <w:szCs w:val="20"/>
          <w:color w:val="auto"/>
        </w:rPr>
      </w:pPr>
    </w:p>
    <w:p>
      <w:pPr>
        <w:ind w:left="424" w:right="40" w:hanging="424"/>
        <w:spacing w:after="0" w:line="254" w:lineRule="auto"/>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Pre-employment Inventions. </w:t>
      </w:r>
      <w:r>
        <w:rPr>
          <w:rFonts w:ascii="Times New Roman" w:cs="Times New Roman" w:eastAsia="Times New Roman" w:hAnsi="Times New Roman"/>
          <w:sz w:val="18"/>
          <w:szCs w:val="18"/>
          <w:color w:val="auto"/>
        </w:rPr>
        <w:t>On Schedule A, which is an integral part of this Agreement, I have completely identified (without disclosing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 secret or other confidential information) every Invention I Made before my employment by Honeywell in which I have an ownership interest and that is not the subject matter of an issued patent or a printed publication at the time I sign this Agreement. If I become aware of any projected or actual use of any such Invention by Honeywell, I will promptly notify Honeywell in writing of said use. I acknowledge and agree that if I use any of my pre-employment Inventions in the scope of my employment, or include them in any product or service of Honeywell, I hereby grant to Honeywell a perpetual, irrevocable, nonexclusive, world-wide, royalty-free license without any further action required by either party to use, disclose, make, sell, copy, distribute, modify and create works based on, perform or display such pre-employment Inventions and to sublicense third parties with the same rights. Except as to the Inventions listed on Schedule A or those that are the subject matter of an issued patent or a printed publication at the time I sign this Agreement, I will not assert any rights against Honeywell with respect to any Invention Made before my employment by Honeywell.</w:t>
      </w:r>
    </w:p>
    <w:p>
      <w:pPr>
        <w:spacing w:after="0" w:line="90" w:lineRule="exact"/>
        <w:rPr>
          <w:rFonts w:ascii="Times New Roman" w:cs="Times New Roman" w:eastAsia="Times New Roman" w:hAnsi="Times New Roman"/>
          <w:sz w:val="18"/>
          <w:szCs w:val="18"/>
          <w:b w:val="1"/>
          <w:bCs w:val="1"/>
          <w:color w:val="auto"/>
        </w:rPr>
      </w:pPr>
    </w:p>
    <w:p>
      <w:pPr>
        <w:ind w:left="424" w:right="100" w:hanging="424"/>
        <w:spacing w:after="0" w:line="253" w:lineRule="auto"/>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Honeywell’s Confidential Information. </w:t>
      </w:r>
      <w:r>
        <w:rPr>
          <w:rFonts w:ascii="Times New Roman" w:cs="Times New Roman" w:eastAsia="Times New Roman" w:hAnsi="Times New Roman"/>
          <w:sz w:val="18"/>
          <w:szCs w:val="18"/>
          <w:color w:val="auto"/>
        </w:rPr>
        <w:t>I will never, directly or indirectly, during or after my employment with Honeywell misappropriate,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disclose Honeywell’s Confidential Information except in furthering Honeywell’s business nor will I disclose or disseminate at any time Honeywell’s Confidential Information to anyone who is not an officer, director, employee, attorney or authorized agent of Honeywell without the prior written consent of Honeywell’s Law Department, unless the specific item of Honeywell’s Confidential Information: (a) is now, or hereafter (through no breach of this Agreement) becomes, general public knowledge, or (b) prior to my disclosure, dissemination or use, was lawfully acquired by me without any obligation to retain the information in confidence. In this connection, I will not publish any of Honeywell’s Confidential Information for dissemination outside Honeywell or file any patent application relating to any Invention I Make during the period of time I am employed by Honeywell without the prior written approval of Honeywell’s Law Department. I will execute any agreement relating to the protection of Honeywell’s Confidential Information or such information of any third party whose intellectual property Honeywell is under a legal obligation to protect if Honeywell requests that I do so. I will not engage without the prior written consent of Honeywell’s Law Department, either during the period of time I am employed by Honeywell or for a period of two (2) years following my Termination of Employment for any reason, in any activity or employment in the faithful performance of which it could be reasonably anticipated that I would use or disclose Honeywell’s Confidential Information. All documents and tangible things embodying or containing Honeywell’s Confidential Information are Honeywell’s exclusive property. I have access to them solely for performing the duties of my employment by Honeywell. I will protect the confidentiality of their</w:t>
      </w:r>
    </w:p>
    <w:p>
      <w:pPr>
        <w:spacing w:after="0" w:line="120" w:lineRule="exact"/>
        <w:rPr>
          <w:sz w:val="20"/>
          <w:szCs w:val="20"/>
          <w:color w:val="auto"/>
        </w:rPr>
      </w:pPr>
    </w:p>
    <w:p>
      <w:pPr>
        <w:ind w:left="4"/>
        <w:spacing w:after="0"/>
        <w:tabs>
          <w:tab w:leader="none" w:pos="5324" w:val="left"/>
          <w:tab w:leader="none" w:pos="9624" w:val="left"/>
        </w:tabs>
        <w:rPr>
          <w:sz w:val="20"/>
          <w:szCs w:val="20"/>
          <w:color w:val="auto"/>
        </w:rPr>
      </w:pPr>
      <w:r>
        <w:rPr>
          <w:rFonts w:ascii="Times New Roman" w:cs="Times New Roman" w:eastAsia="Times New Roman" w:hAnsi="Times New Roman"/>
          <w:sz w:val="18"/>
          <w:szCs w:val="18"/>
          <w:color w:val="auto"/>
        </w:rPr>
        <w:t>IP Agreement – US NON-CALIFORNIA – R</w:t>
      </w:r>
      <w:r>
        <w:rPr>
          <w:sz w:val="20"/>
          <w:szCs w:val="20"/>
          <w:color w:val="auto"/>
        </w:rPr>
        <w:tab/>
      </w:r>
      <w:r>
        <w:rPr>
          <w:rFonts w:ascii="Times New Roman" w:cs="Times New Roman" w:eastAsia="Times New Roman" w:hAnsi="Times New Roman"/>
          <w:sz w:val="18"/>
          <w:szCs w:val="18"/>
          <w:color w:val="auto"/>
        </w:rPr>
        <w:t>Page 2 of 9</w:t>
      </w:r>
      <w:r>
        <w:rPr>
          <w:sz w:val="20"/>
          <w:szCs w:val="20"/>
          <w:color w:val="auto"/>
        </w:rPr>
        <w:tab/>
      </w:r>
      <w:r>
        <w:rPr>
          <w:rFonts w:ascii="Times New Roman" w:cs="Times New Roman" w:eastAsia="Times New Roman" w:hAnsi="Times New Roman"/>
          <w:sz w:val="18"/>
          <w:szCs w:val="18"/>
          <w:color w:val="auto"/>
        </w:rPr>
        <w:t>Revised 05-1-2019</w:t>
      </w:r>
    </w:p>
    <w:p>
      <w:pPr>
        <w:sectPr>
          <w:pgSz w:w="11900" w:h="16838" w:orient="portrait"/>
          <w:cols w:equalWidth="0" w:num="1">
            <w:col w:w="11024"/>
          </w:cols>
          <w:pgMar w:left="436" w:top="270" w:right="439" w:bottom="1440" w:gutter="0" w:footer="0" w:header="0"/>
        </w:sectPr>
      </w:pPr>
    </w:p>
    <w:bookmarkStart w:id="10" w:name="page11"/>
    <w:bookmarkEnd w:id="10"/>
    <w:p>
      <w:pPr>
        <w:jc w:val="both"/>
        <w:ind w:left="424"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content and comply with all security policies and procedures, which may, from time to time, be established by Honeywell. I will return all of them and all copies, facsimiles and specimens of them and any other tangible forms of Honeywell’s Confidential Information in my possession, custody or control to Honeywell before leaving the employment of Honeywell.</w:t>
      </w:r>
    </w:p>
    <w:p>
      <w:pPr>
        <w:spacing w:after="0" w:line="68" w:lineRule="exact"/>
        <w:rPr>
          <w:sz w:val="20"/>
          <w:szCs w:val="20"/>
          <w:color w:val="auto"/>
        </w:rPr>
      </w:pPr>
    </w:p>
    <w:p>
      <w:pPr>
        <w:ind w:left="444" w:right="80"/>
        <w:spacing w:after="0" w:line="266" w:lineRule="auto"/>
        <w:rPr>
          <w:sz w:val="20"/>
          <w:szCs w:val="20"/>
          <w:color w:val="auto"/>
        </w:rPr>
      </w:pPr>
      <w:r>
        <w:rPr>
          <w:rFonts w:ascii="Times New Roman" w:cs="Times New Roman" w:eastAsia="Times New Roman" w:hAnsi="Times New Roman"/>
          <w:sz w:val="18"/>
          <w:szCs w:val="18"/>
          <w:color w:val="auto"/>
        </w:rPr>
        <w:t>I understand that I have the right to use or practice any skill or expertise generally associated with my employment but not special or unique to Honeywell, but that I do not have the right to use, practice or disclose Honeywell’s Confidential Information for my own benefit or for the benefit of any third party.</w:t>
      </w:r>
    </w:p>
    <w:p>
      <w:pPr>
        <w:spacing w:after="0" w:line="68" w:lineRule="exact"/>
        <w:rPr>
          <w:sz w:val="20"/>
          <w:szCs w:val="20"/>
          <w:color w:val="auto"/>
        </w:rPr>
      </w:pPr>
    </w:p>
    <w:p>
      <w:pPr>
        <w:ind w:left="444" w:right="120"/>
        <w:spacing w:after="0" w:line="258" w:lineRule="auto"/>
        <w:rPr>
          <w:sz w:val="20"/>
          <w:szCs w:val="20"/>
          <w:color w:val="auto"/>
        </w:rPr>
      </w:pPr>
      <w:r>
        <w:rPr>
          <w:rFonts w:ascii="Times New Roman" w:cs="Times New Roman" w:eastAsia="Times New Roman" w:hAnsi="Times New Roman"/>
          <w:sz w:val="18"/>
          <w:szCs w:val="18"/>
          <w:color w:val="auto"/>
        </w:rPr>
        <w:t>I understand that I may not be held criminally or civilly liable under any federal or state trade secret law for the disclosure of a trade secret that is made (a) in confidence to a federal, state or local government official, either directly or indirectly, or to an attorney if such disclosure is made solely for the purpose of reporting or investigating a suspected violation of law or for pursuing an anti-retaliation lawsuit; or (b) in a complaint or other document filed in a lawsuit or other proceeding, if such filing is made under seal and I do not disclose the trade secret except pursuant to a court order.</w:t>
      </w:r>
    </w:p>
    <w:p>
      <w:pPr>
        <w:spacing w:after="0" w:line="75" w:lineRule="exact"/>
        <w:rPr>
          <w:sz w:val="20"/>
          <w:szCs w:val="20"/>
          <w:color w:val="auto"/>
        </w:rPr>
      </w:pPr>
    </w:p>
    <w:p>
      <w:pPr>
        <w:ind w:left="444" w:right="60"/>
        <w:spacing w:after="0" w:line="254" w:lineRule="auto"/>
        <w:rPr>
          <w:sz w:val="20"/>
          <w:szCs w:val="20"/>
          <w:color w:val="auto"/>
        </w:rPr>
      </w:pPr>
      <w:r>
        <w:rPr>
          <w:rFonts w:ascii="Times New Roman" w:cs="Times New Roman" w:eastAsia="Times New Roman" w:hAnsi="Times New Roman"/>
          <w:sz w:val="18"/>
          <w:szCs w:val="18"/>
          <w:color w:val="auto"/>
        </w:rPr>
        <w:t xml:space="preserve">I acknowledge that I have been hereby provided notice that federal law provides that an individual shall not be held criminally or civilly liable under any federal or state trade secret law for the disclosure of a trade secret where: (a) the disclosure is made (i) in confidence to a Federal, State, or local government official, either directly or indirectly, or to an attorney; and (ii) solely for the purpose of reporting or investigating a suspected violation of law; or (b) the disclosure is made in a complaint or other document filed in a lawsuit or other proceeding, if such filing is made under seal. Federal law also provides that an individual who files a lawsuit for retaliation by an employer for reporting a suspected violation of law may disclose the trade secret to the attorney of the individual and use the trade secret information in the court proceeding, if the individual (x) files any document containing the trade secret under seal; and (y) does not disclose the trade secret, except pursuant to court order. </w:t>
      </w:r>
      <w:r>
        <w:rPr>
          <w:rFonts w:ascii="Times New Roman" w:cs="Times New Roman" w:eastAsia="Times New Roman" w:hAnsi="Times New Roman"/>
          <w:sz w:val="18"/>
          <w:szCs w:val="18"/>
          <w:b w:val="1"/>
          <w:bCs w:val="1"/>
          <w:color w:val="auto"/>
        </w:rPr>
        <w:t>I understand that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event it is determined that disclosure of trade secrets was not done in good faith for the reasons described above, I will be subject to substantial damages, including punitive damages and attorneys’ fees.</w:t>
      </w:r>
    </w:p>
    <w:p>
      <w:pPr>
        <w:spacing w:after="0" w:line="80" w:lineRule="exact"/>
        <w:rPr>
          <w:sz w:val="20"/>
          <w:szCs w:val="20"/>
          <w:color w:val="auto"/>
        </w:rPr>
      </w:pPr>
    </w:p>
    <w:p>
      <w:pPr>
        <w:ind w:left="444" w:right="80"/>
        <w:spacing w:after="0" w:line="256" w:lineRule="auto"/>
        <w:rPr>
          <w:sz w:val="20"/>
          <w:szCs w:val="20"/>
          <w:color w:val="auto"/>
        </w:rPr>
      </w:pPr>
      <w:r>
        <w:rPr>
          <w:rFonts w:ascii="Times New Roman" w:cs="Times New Roman" w:eastAsia="Times New Roman" w:hAnsi="Times New Roman"/>
          <w:sz w:val="18"/>
          <w:szCs w:val="18"/>
          <w:color w:val="auto"/>
        </w:rPr>
        <w:t>The provisions of this Agreement are consistent with and do not supersede, conflict with, or otherwise alter any employee’s obligations, rights, or liabilities created by existing statute or Executive Order relating to (i) classified information, (ii) communications to Congress, (iii) the reporting to an Inspector General of a violation of any law, rule, or regulation, or mismanagement, a gross waste of funds, an abuse of authority, or a substantial and specific danger to public health or safety, or (iv) any other whistleblower protection. The definitions, requirements, obligations, rights, sanctions, and liabilities created by controlling Executive Orders and statutory provisions relating to these protections are incorporated into this Agreement and are controlling.</w:t>
      </w:r>
    </w:p>
    <w:p>
      <w:pPr>
        <w:spacing w:after="0" w:line="89" w:lineRule="exact"/>
        <w:rPr>
          <w:sz w:val="20"/>
          <w:szCs w:val="20"/>
          <w:color w:val="auto"/>
        </w:rPr>
      </w:pPr>
    </w:p>
    <w:p>
      <w:pPr>
        <w:ind w:left="424" w:right="60" w:hanging="424"/>
        <w:spacing w:after="0" w:line="254" w:lineRule="auto"/>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Confidential Information from Previous Employment. </w:t>
      </w:r>
      <w:r>
        <w:rPr>
          <w:rFonts w:ascii="Times New Roman" w:cs="Times New Roman" w:eastAsia="Times New Roman" w:hAnsi="Times New Roman"/>
          <w:sz w:val="18"/>
          <w:szCs w:val="18"/>
          <w:color w:val="auto"/>
        </w:rPr>
        <w:t>I certify that I have not, and will not, disclose or use during my employment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Honeywell, any confidential information or trade secrets that I acquired as a result of any previous employment or under a contractual obligation of confidentiality before my employment by Honeywell. I understand that Honeywell has no interest in, and will not accept disclosure by me of, any trade secrets or confidential information that belongs to a third party. If I am ever placed in a position where I will be required or am given an assignment that will require me to use, directly or indirectly, any trade secrets or confidential information of any person, previous employer or any third party, I will promptly inform Honeywell’s Law Department and my supervisor before I undertake any activity that would involve the use or disclosure of such information or present the appearance to any such third party that I may have used or disclosed such information. If I fail to do so, Honeywell may elect not to indemnify me in the event of litigation and may take such other actions, as it deems appropriate, up to and including termination of my employment.</w:t>
      </w:r>
    </w:p>
    <w:p>
      <w:pPr>
        <w:spacing w:after="0" w:line="125" w:lineRule="exact"/>
        <w:rPr>
          <w:sz w:val="20"/>
          <w:szCs w:val="20"/>
          <w:color w:val="auto"/>
        </w:rPr>
      </w:pPr>
    </w:p>
    <w:p>
      <w:pPr>
        <w:ind w:left="4"/>
        <w:spacing w:after="0"/>
        <w:tabs>
          <w:tab w:leader="none" w:pos="5324" w:val="left"/>
          <w:tab w:leader="none" w:pos="9624" w:val="left"/>
        </w:tabs>
        <w:rPr>
          <w:sz w:val="20"/>
          <w:szCs w:val="20"/>
          <w:color w:val="auto"/>
        </w:rPr>
      </w:pPr>
      <w:r>
        <w:rPr>
          <w:rFonts w:ascii="Times New Roman" w:cs="Times New Roman" w:eastAsia="Times New Roman" w:hAnsi="Times New Roman"/>
          <w:sz w:val="18"/>
          <w:szCs w:val="18"/>
          <w:color w:val="auto"/>
        </w:rPr>
        <w:t>IP Agreement – US NON-CALIFORNIA – R</w:t>
      </w:r>
      <w:r>
        <w:rPr>
          <w:sz w:val="20"/>
          <w:szCs w:val="20"/>
          <w:color w:val="auto"/>
        </w:rPr>
        <w:tab/>
      </w:r>
      <w:r>
        <w:rPr>
          <w:rFonts w:ascii="Times New Roman" w:cs="Times New Roman" w:eastAsia="Times New Roman" w:hAnsi="Times New Roman"/>
          <w:sz w:val="18"/>
          <w:szCs w:val="18"/>
          <w:color w:val="auto"/>
        </w:rPr>
        <w:t>Page 3 of 9</w:t>
      </w:r>
      <w:r>
        <w:rPr>
          <w:sz w:val="20"/>
          <w:szCs w:val="20"/>
          <w:color w:val="auto"/>
        </w:rPr>
        <w:tab/>
      </w:r>
      <w:r>
        <w:rPr>
          <w:rFonts w:ascii="Times New Roman" w:cs="Times New Roman" w:eastAsia="Times New Roman" w:hAnsi="Times New Roman"/>
          <w:sz w:val="18"/>
          <w:szCs w:val="18"/>
          <w:color w:val="auto"/>
        </w:rPr>
        <w:t>Revised 05-1-2019</w:t>
      </w:r>
    </w:p>
    <w:p>
      <w:pPr>
        <w:sectPr>
          <w:pgSz w:w="11900" w:h="16838" w:orient="portrait"/>
          <w:cols w:equalWidth="0" w:num="1">
            <w:col w:w="11024"/>
          </w:cols>
          <w:pgMar w:left="436" w:top="270" w:right="439" w:bottom="1440" w:gutter="0" w:footer="0" w:header="0"/>
        </w:sectPr>
      </w:pPr>
    </w:p>
    <w:bookmarkStart w:id="11" w:name="page12"/>
    <w:bookmarkEnd w:id="11"/>
    <w:p>
      <w:pPr>
        <w:ind w:left="424" w:right="420" w:hanging="424"/>
        <w:spacing w:after="0" w:line="268" w:lineRule="auto"/>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Prior Restrictive Obligation. </w:t>
      </w:r>
      <w:r>
        <w:rPr>
          <w:rFonts w:ascii="Times New Roman" w:cs="Times New Roman" w:eastAsia="Times New Roman" w:hAnsi="Times New Roman"/>
          <w:sz w:val="18"/>
          <w:szCs w:val="18"/>
          <w:color w:val="auto"/>
        </w:rPr>
        <w:t>On Schedule B, which is an integral part of this Agreement, I have completely identified all prior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and oral) that restrict my ability to perform the duties of my employment by Honeywell, including all confidentiality agreements and covenants restricting future employment.</w:t>
      </w:r>
    </w:p>
    <w:p>
      <w:pPr>
        <w:spacing w:after="0" w:line="76" w:lineRule="exact"/>
        <w:rPr>
          <w:rFonts w:ascii="Times New Roman" w:cs="Times New Roman" w:eastAsia="Times New Roman" w:hAnsi="Times New Roman"/>
          <w:sz w:val="18"/>
          <w:szCs w:val="18"/>
          <w:b w:val="1"/>
          <w:bCs w:val="1"/>
          <w:color w:val="auto"/>
        </w:rPr>
      </w:pPr>
    </w:p>
    <w:p>
      <w:pPr>
        <w:ind w:left="424" w:right="40" w:hanging="424"/>
        <w:spacing w:after="0" w:line="254" w:lineRule="auto"/>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Nonsolicitation of Honeywell Employees. </w:t>
      </w:r>
      <w:r>
        <w:rPr>
          <w:rFonts w:ascii="Times New Roman" w:cs="Times New Roman" w:eastAsia="Times New Roman" w:hAnsi="Times New Roman"/>
          <w:sz w:val="18"/>
          <w:szCs w:val="18"/>
          <w:color w:val="auto"/>
        </w:rPr>
        <w:t>I acknowledge that Honeywell has invested, and will continue to invest, significant time and money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recruit and retain its employees. Therefore, recognizing that I owe Honeywell an undivided duty of loyalty and that in the course of my employment I have obtained valuable information about Honeywell employees, their respective talents and areas of expertise, I agree that, during my employment and for a period of two (2) years following my Termination of Employment from Honeywell for any reason, I will not directly or indirectly, for my own account or for others, (i) solicit (or assist another in soliciting) for employment or for the performance of services, (ii) offer or cause to be offered employment or other service engagement, or (iii) participate in any manner in the employment or hiring for services of any current or former Honeywell employee with whom I had contact or of whom I became aware in my last two (2) years of Honeywell employment, unless it has been more than 12 months since that individual left Honeywell. Nor will I, for my own account or for others, in any way induce or attempt to induce such individual to leave the employment of Honeywell.</w:t>
      </w:r>
    </w:p>
    <w:p>
      <w:pPr>
        <w:spacing w:after="0" w:line="93" w:lineRule="exact"/>
        <w:rPr>
          <w:rFonts w:ascii="Times New Roman" w:cs="Times New Roman" w:eastAsia="Times New Roman" w:hAnsi="Times New Roman"/>
          <w:sz w:val="18"/>
          <w:szCs w:val="18"/>
          <w:b w:val="1"/>
          <w:bCs w:val="1"/>
          <w:color w:val="auto"/>
        </w:rPr>
      </w:pPr>
    </w:p>
    <w:p>
      <w:pPr>
        <w:ind w:left="424" w:right="20" w:hanging="424"/>
        <w:spacing w:after="0" w:line="253" w:lineRule="auto"/>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Nonsolicitation of Honeywell Customers, Suppliers, Business Partners and Vendors. </w:t>
      </w:r>
      <w:r>
        <w:rPr>
          <w:rFonts w:ascii="Times New Roman" w:cs="Times New Roman" w:eastAsia="Times New Roman" w:hAnsi="Times New Roman"/>
          <w:sz w:val="18"/>
          <w:szCs w:val="18"/>
          <w:color w:val="auto"/>
        </w:rPr>
        <w:t>I acknowledge that Honeywell has invested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to invest significant time and money to develop valuable, continuing relationships with existing and prospective clients and customers of Honeywell. Therefore, recognizing that in the course of my employment I have obtained valuable information about Honeywell customers, suppliers, business partners, and/or vendors, and their requirements, I agree that during my employment and for a period of two (2) years following my Termination of Employment from Honeywell for any reason, I will not directly or indirectly, for my own account or for others, solicit or assist others in soliciting or attempt to solicit (or assist others in attempting to solicit), (i) any existing clients, customers, suppliers, business partners, and/or vendors of Honeywell with whom I had contact, or of whom I became aware while employed by Honeywell during the two (2) year period prior to my Termination of Employment, or (ii) any prospective clients, customers, suppliers, business partners, and/or vendors of Honeywell with whom I had contact and with whom Honeywell took significant steps to do business during the two (2) year period prior to my Termination of Employment, for the purpose of inducing such existing or prospective clients, customers, suppliers, business partners, and/or vendors to cease doing business or reduce their business with Honeywell or to purchase, lease or utilize products or services that are competitive with, similar to, or that may be used as substitutes for any products or services offered by Honeywell.</w:t>
      </w:r>
    </w:p>
    <w:p>
      <w:pPr>
        <w:spacing w:after="0" w:line="95" w:lineRule="exact"/>
        <w:rPr>
          <w:rFonts w:ascii="Times New Roman" w:cs="Times New Roman" w:eastAsia="Times New Roman" w:hAnsi="Times New Roman"/>
          <w:sz w:val="18"/>
          <w:szCs w:val="18"/>
          <w:b w:val="1"/>
          <w:bCs w:val="1"/>
          <w:color w:val="auto"/>
        </w:rPr>
      </w:pPr>
    </w:p>
    <w:p>
      <w:pPr>
        <w:ind w:left="424" w:right="40" w:hanging="424"/>
        <w:spacing w:after="0" w:line="268" w:lineRule="auto"/>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Future Employers. </w:t>
      </w:r>
      <w:r>
        <w:rPr>
          <w:rFonts w:ascii="Times New Roman" w:cs="Times New Roman" w:eastAsia="Times New Roman" w:hAnsi="Times New Roman"/>
          <w:sz w:val="18"/>
          <w:szCs w:val="18"/>
          <w:color w:val="auto"/>
        </w:rPr>
        <w:t>For the period of two (2) years immediately following the end of my employment by Honeywell, I will inform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employer, prior to accepting employment, of the existence of this Agreement and provide that employer with a copy of it. Honeywell has the right to inform any future employer of the existence of this Agreement and to provide any future employers with a copy of it.</w:t>
      </w:r>
    </w:p>
    <w:p>
      <w:pPr>
        <w:spacing w:after="0" w:line="76" w:lineRule="exact"/>
        <w:rPr>
          <w:rFonts w:ascii="Times New Roman" w:cs="Times New Roman" w:eastAsia="Times New Roman" w:hAnsi="Times New Roman"/>
          <w:sz w:val="18"/>
          <w:szCs w:val="18"/>
          <w:b w:val="1"/>
          <w:bCs w:val="1"/>
          <w:color w:val="auto"/>
        </w:rPr>
      </w:pPr>
    </w:p>
    <w:p>
      <w:pPr>
        <w:ind w:left="424" w:right="460" w:hanging="424"/>
        <w:spacing w:after="0" w:line="268" w:lineRule="auto"/>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Copyright. </w:t>
      </w:r>
      <w:r>
        <w:rPr>
          <w:rFonts w:ascii="Times New Roman" w:cs="Times New Roman" w:eastAsia="Times New Roman" w:hAnsi="Times New Roman"/>
          <w:sz w:val="18"/>
          <w:szCs w:val="18"/>
          <w:color w:val="auto"/>
        </w:rPr>
        <w:t>As to all works prepared by me that are: (i) within the scope of my employment, or (ii) based upon information I acquired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Honeywell that is not normally made available to the public, or (iii) commissioned by Honeywell, but not within my scope of employment, I hereby agree to:</w:t>
      </w:r>
    </w:p>
    <w:p>
      <w:pPr>
        <w:spacing w:after="0" w:line="8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to Honeywell’s Law Department and to my supervisor for approval for publication or oral dissemination;</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 all right, title and interest in and to the copyright in all such works to Honeywell;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claim of Moral Rights, author’s rights, droit moral, or any equivalent rights to the extent necessary or permitted by law.</w:t>
      </w:r>
    </w:p>
    <w:p>
      <w:pPr>
        <w:spacing w:after="0" w:line="158" w:lineRule="exact"/>
        <w:rPr>
          <w:sz w:val="20"/>
          <w:szCs w:val="20"/>
          <w:color w:val="auto"/>
        </w:rPr>
      </w:pPr>
    </w:p>
    <w:p>
      <w:pPr>
        <w:ind w:left="4"/>
        <w:spacing w:after="0"/>
        <w:tabs>
          <w:tab w:leader="none" w:pos="5324" w:val="left"/>
          <w:tab w:leader="none" w:pos="9624" w:val="left"/>
        </w:tabs>
        <w:rPr>
          <w:sz w:val="20"/>
          <w:szCs w:val="20"/>
          <w:color w:val="auto"/>
        </w:rPr>
      </w:pPr>
      <w:r>
        <w:rPr>
          <w:rFonts w:ascii="Times New Roman" w:cs="Times New Roman" w:eastAsia="Times New Roman" w:hAnsi="Times New Roman"/>
          <w:sz w:val="18"/>
          <w:szCs w:val="18"/>
          <w:color w:val="auto"/>
        </w:rPr>
        <w:t>IP Agreement – US NON-CALIFORNIA – R</w:t>
      </w:r>
      <w:r>
        <w:rPr>
          <w:sz w:val="20"/>
          <w:szCs w:val="20"/>
          <w:color w:val="auto"/>
        </w:rPr>
        <w:tab/>
      </w:r>
      <w:r>
        <w:rPr>
          <w:rFonts w:ascii="Times New Roman" w:cs="Times New Roman" w:eastAsia="Times New Roman" w:hAnsi="Times New Roman"/>
          <w:sz w:val="18"/>
          <w:szCs w:val="18"/>
          <w:color w:val="auto"/>
        </w:rPr>
        <w:t>Page 4 of 9</w:t>
      </w:r>
      <w:r>
        <w:rPr>
          <w:sz w:val="20"/>
          <w:szCs w:val="20"/>
          <w:color w:val="auto"/>
        </w:rPr>
        <w:tab/>
      </w:r>
      <w:r>
        <w:rPr>
          <w:rFonts w:ascii="Times New Roman" w:cs="Times New Roman" w:eastAsia="Times New Roman" w:hAnsi="Times New Roman"/>
          <w:sz w:val="18"/>
          <w:szCs w:val="18"/>
          <w:color w:val="auto"/>
        </w:rPr>
        <w:t>Revised 05-1-2019</w:t>
      </w:r>
    </w:p>
    <w:p>
      <w:pPr>
        <w:sectPr>
          <w:pgSz w:w="11900" w:h="16838" w:orient="portrait"/>
          <w:cols w:equalWidth="0" w:num="1">
            <w:col w:w="11024"/>
          </w:cols>
          <w:pgMar w:left="436" w:top="266" w:right="439" w:bottom="1440" w:gutter="0" w:footer="0" w:header="0"/>
        </w:sectPr>
      </w:pPr>
    </w:p>
    <w:bookmarkStart w:id="12" w:name="page13"/>
    <w:bookmarkEnd w:id="12"/>
    <w:p>
      <w:pPr>
        <w:ind w:left="444"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hereby release and allow Honeywell to use, for any lawful purpose, any voice reproduction, photograph, or other digital or video likeness of me made in the course of my employment, including my name, likeness and/or any other indicia of my persona in connection with the foregoing materials.</w:t>
      </w:r>
    </w:p>
    <w:p>
      <w:pPr>
        <w:spacing w:after="0" w:line="77" w:lineRule="exact"/>
        <w:rPr>
          <w:sz w:val="20"/>
          <w:szCs w:val="20"/>
          <w:color w:val="auto"/>
        </w:rPr>
      </w:pPr>
    </w:p>
    <w:p>
      <w:pPr>
        <w:ind w:left="424" w:right="80" w:hanging="424"/>
        <w:spacing w:after="0" w:line="268" w:lineRule="auto"/>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Acknowledgement of Receipt. </w:t>
      </w:r>
      <w:r>
        <w:rPr>
          <w:rFonts w:ascii="Times New Roman" w:cs="Times New Roman" w:eastAsia="Times New Roman" w:hAnsi="Times New Roman"/>
          <w:sz w:val="18"/>
          <w:szCs w:val="18"/>
          <w:color w:val="auto"/>
        </w:rPr>
        <w:t>I acknowledge that I have received a copy of this Agreement prior to accepting employment,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or other consideration as recited herein and that execution of this Agreement was an express condition of my employment, continued employment or receipt of other consideration recited herein.</w:t>
      </w:r>
    </w:p>
    <w:p>
      <w:pPr>
        <w:spacing w:after="0" w:line="76" w:lineRule="exact"/>
        <w:rPr>
          <w:rFonts w:ascii="Times New Roman" w:cs="Times New Roman" w:eastAsia="Times New Roman" w:hAnsi="Times New Roman"/>
          <w:sz w:val="18"/>
          <w:szCs w:val="18"/>
          <w:b w:val="1"/>
          <w:bCs w:val="1"/>
          <w:color w:val="auto"/>
        </w:rPr>
      </w:pPr>
    </w:p>
    <w:p>
      <w:pPr>
        <w:ind w:left="424" w:right="60" w:hanging="424"/>
        <w:spacing w:after="0" w:line="254" w:lineRule="auto"/>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Effectiveness of Agreement. </w:t>
      </w:r>
      <w:r>
        <w:rPr>
          <w:rFonts w:ascii="Times New Roman" w:cs="Times New Roman" w:eastAsia="Times New Roman" w:hAnsi="Times New Roman"/>
          <w:sz w:val="18"/>
          <w:szCs w:val="18"/>
          <w:color w:val="auto"/>
        </w:rPr>
        <w:t>I acknowledge that the provisions of this Agreement are in addition to, and in no way intended to limit, restrict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narrow any prior or existing agreement with Honeywell. This Agreement does not replace or supersede any prior or existing employment or other agreement with Honeywell, but rather, shall be read in conjunction with such prior or existing agreements and shall be interpreted in a manner to provide Honeywell the maximum protection and the most effective and complete assignment of inventions provided by all agreements I have with Honeywell. The terms of this Agreement are to be read consistent with the terms of any other intellectual property, trade secret or confidentiality agreements that I have executed with Honeywell; provided, however, to the extent there is a conflict between/among such agreements, such agreements shall be read in concert and construed as providing the broadest possible protections to Honeywell, even if such construction would require provisions of more than one such agreement to be given effect. This Agreement shall be deemed effective as of the first day of my employment by Honeywell and shall continue throughout the entire period of time I am employed by Honeywell and my obligations will continue after, and survive, the end of my employment by Honeywell.</w:t>
      </w:r>
    </w:p>
    <w:p>
      <w:pPr>
        <w:spacing w:after="0" w:line="90" w:lineRule="exact"/>
        <w:rPr>
          <w:rFonts w:ascii="Times New Roman" w:cs="Times New Roman" w:eastAsia="Times New Roman" w:hAnsi="Times New Roman"/>
          <w:sz w:val="18"/>
          <w:szCs w:val="18"/>
          <w:b w:val="1"/>
          <w:bCs w:val="1"/>
          <w:color w:val="auto"/>
        </w:rPr>
      </w:pPr>
    </w:p>
    <w:p>
      <w:pPr>
        <w:ind w:left="424" w:right="780" w:hanging="424"/>
        <w:spacing w:after="0" w:line="286" w:lineRule="auto"/>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Identity of Future Employer. </w:t>
      </w:r>
      <w:r>
        <w:rPr>
          <w:rFonts w:ascii="Times New Roman" w:cs="Times New Roman" w:eastAsia="Times New Roman" w:hAnsi="Times New Roman"/>
          <w:sz w:val="18"/>
          <w:szCs w:val="18"/>
          <w:color w:val="auto"/>
        </w:rPr>
        <w:t>Upon termination of my employment for any reason, if reasonably requested by Honeywell, I will advise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Honeywell of the name and address of my intended future employer.</w:t>
      </w:r>
    </w:p>
    <w:p>
      <w:pPr>
        <w:spacing w:after="0" w:line="60" w:lineRule="exact"/>
        <w:rPr>
          <w:rFonts w:ascii="Times New Roman" w:cs="Times New Roman" w:eastAsia="Times New Roman" w:hAnsi="Times New Roman"/>
          <w:sz w:val="18"/>
          <w:szCs w:val="18"/>
          <w:b w:val="1"/>
          <w:bCs w:val="1"/>
          <w:color w:val="auto"/>
        </w:rPr>
      </w:pPr>
    </w:p>
    <w:p>
      <w:pPr>
        <w:ind w:left="424" w:right="80" w:hanging="424"/>
        <w:spacing w:after="0" w:line="257" w:lineRule="auto"/>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Remedies. </w:t>
      </w:r>
      <w:r>
        <w:rPr>
          <w:rFonts w:ascii="Times New Roman" w:cs="Times New Roman" w:eastAsia="Times New Roman" w:hAnsi="Times New Roman"/>
          <w:sz w:val="18"/>
          <w:szCs w:val="18"/>
          <w:color w:val="auto"/>
        </w:rPr>
        <w:t>I acknowledge that a remedy at law for any breach or threatened breach of the provisions of this Agreement would be inadequate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therefore agree that Honeywell shall be entitled to injunctive relief in case of any such breach or threatened breach. In the event that a court determines that I have breached or threatened to breach this Agreement, I agree to reimburse Honeywell for all attorneys’ fees and costs incurred in enforcing the terms of the Agreement. However, nothing contained herein shall be construed as prohibiting Honeywell from pursuing any other remedies available for any such breach or threatened breach against me or my then-current employer that may also include but not be limited to contract damages, lost profits and punitive damages.</w:t>
      </w:r>
    </w:p>
    <w:p>
      <w:pPr>
        <w:spacing w:after="0" w:line="87" w:lineRule="exact"/>
        <w:rPr>
          <w:rFonts w:ascii="Times New Roman" w:cs="Times New Roman" w:eastAsia="Times New Roman" w:hAnsi="Times New Roman"/>
          <w:sz w:val="18"/>
          <w:szCs w:val="18"/>
          <w:b w:val="1"/>
          <w:bCs w:val="1"/>
          <w:color w:val="auto"/>
        </w:rPr>
      </w:pPr>
    </w:p>
    <w:p>
      <w:pPr>
        <w:ind w:left="424" w:right="120" w:hanging="424"/>
        <w:spacing w:after="0" w:line="286" w:lineRule="auto"/>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Successors; Binding Agreement. </w:t>
      </w:r>
      <w:r>
        <w:rPr>
          <w:rFonts w:ascii="Times New Roman" w:cs="Times New Roman" w:eastAsia="Times New Roman" w:hAnsi="Times New Roman"/>
          <w:sz w:val="18"/>
          <w:szCs w:val="18"/>
          <w:color w:val="auto"/>
        </w:rPr>
        <w:t>This Agreement binds my heirs, executors, administrators, legal representatives and assigns and inures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of Honeywell and its successors and assigns. Only a written amendment executed by both Honeywell and me can modify this Agreement.</w:t>
      </w:r>
    </w:p>
    <w:p>
      <w:pPr>
        <w:spacing w:after="0" w:line="60" w:lineRule="exact"/>
        <w:rPr>
          <w:rFonts w:ascii="Times New Roman" w:cs="Times New Roman" w:eastAsia="Times New Roman" w:hAnsi="Times New Roman"/>
          <w:sz w:val="18"/>
          <w:szCs w:val="18"/>
          <w:b w:val="1"/>
          <w:bCs w:val="1"/>
          <w:color w:val="auto"/>
        </w:rPr>
      </w:pPr>
    </w:p>
    <w:p>
      <w:pPr>
        <w:ind w:left="424" w:right="40" w:hanging="424"/>
        <w:spacing w:after="0" w:line="286" w:lineRule="auto"/>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Agreement shall be governed by and construed in accordance with the laws of the State of North Carolina without regard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principles of conflicts of law.</w:t>
      </w:r>
    </w:p>
    <w:p>
      <w:pPr>
        <w:spacing w:after="0" w:line="60" w:lineRule="exact"/>
        <w:rPr>
          <w:rFonts w:ascii="Times New Roman" w:cs="Times New Roman" w:eastAsia="Times New Roman" w:hAnsi="Times New Roman"/>
          <w:sz w:val="18"/>
          <w:szCs w:val="18"/>
          <w:b w:val="1"/>
          <w:bCs w:val="1"/>
          <w:color w:val="auto"/>
        </w:rPr>
      </w:pPr>
    </w:p>
    <w:p>
      <w:pPr>
        <w:ind w:left="424" w:right="100" w:hanging="424"/>
        <w:spacing w:after="0" w:line="256" w:lineRule="auto"/>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Validity. </w:t>
      </w:r>
      <w:r>
        <w:rPr>
          <w:rFonts w:ascii="Times New Roman" w:cs="Times New Roman" w:eastAsia="Times New Roman" w:hAnsi="Times New Roman"/>
          <w:sz w:val="18"/>
          <w:szCs w:val="18"/>
          <w:color w:val="auto"/>
        </w:rPr>
        <w:t>It is the desire and intent of the parties hereto that the provisions of this Agreement shall be enforced to the fullest extent legally-permissible. Accordingly, if any particular provision(s) of this Agreement shall be adjudicated to be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 The remaining provisions of this Agreement shall remain in full force and effect.</w:t>
      </w:r>
    </w:p>
    <w:p>
      <w:pPr>
        <w:spacing w:after="0" w:line="119" w:lineRule="exact"/>
        <w:rPr>
          <w:sz w:val="20"/>
          <w:szCs w:val="20"/>
          <w:color w:val="auto"/>
        </w:rPr>
      </w:pPr>
    </w:p>
    <w:p>
      <w:pPr>
        <w:ind w:left="4"/>
        <w:spacing w:after="0"/>
        <w:tabs>
          <w:tab w:leader="none" w:pos="5324" w:val="left"/>
          <w:tab w:leader="none" w:pos="9624" w:val="left"/>
        </w:tabs>
        <w:rPr>
          <w:sz w:val="20"/>
          <w:szCs w:val="20"/>
          <w:color w:val="auto"/>
        </w:rPr>
      </w:pPr>
      <w:r>
        <w:rPr>
          <w:rFonts w:ascii="Times New Roman" w:cs="Times New Roman" w:eastAsia="Times New Roman" w:hAnsi="Times New Roman"/>
          <w:sz w:val="18"/>
          <w:szCs w:val="18"/>
          <w:color w:val="auto"/>
        </w:rPr>
        <w:t>IP Agreement – US NON-CALIFORNIA – R</w:t>
      </w:r>
      <w:r>
        <w:rPr>
          <w:sz w:val="20"/>
          <w:szCs w:val="20"/>
          <w:color w:val="auto"/>
        </w:rPr>
        <w:tab/>
      </w:r>
      <w:r>
        <w:rPr>
          <w:rFonts w:ascii="Times New Roman" w:cs="Times New Roman" w:eastAsia="Times New Roman" w:hAnsi="Times New Roman"/>
          <w:sz w:val="18"/>
          <w:szCs w:val="18"/>
          <w:color w:val="auto"/>
        </w:rPr>
        <w:t>Page 5 of 9</w:t>
      </w:r>
      <w:r>
        <w:rPr>
          <w:sz w:val="20"/>
          <w:szCs w:val="20"/>
          <w:color w:val="auto"/>
        </w:rPr>
        <w:tab/>
      </w:r>
      <w:r>
        <w:rPr>
          <w:rFonts w:ascii="Times New Roman" w:cs="Times New Roman" w:eastAsia="Times New Roman" w:hAnsi="Times New Roman"/>
          <w:sz w:val="18"/>
          <w:szCs w:val="18"/>
          <w:color w:val="auto"/>
        </w:rPr>
        <w:t>Revised 05-1-2019</w:t>
      </w:r>
    </w:p>
    <w:p>
      <w:pPr>
        <w:sectPr>
          <w:pgSz w:w="11900" w:h="16838" w:orient="portrait"/>
          <w:cols w:equalWidth="0" w:num="1">
            <w:col w:w="11024"/>
          </w:cols>
          <w:pgMar w:left="436" w:top="270" w:right="439" w:bottom="1440" w:gutter="0" w:footer="0" w:header="0"/>
        </w:sectPr>
      </w:pPr>
    </w:p>
    <w:bookmarkStart w:id="13" w:name="page14"/>
    <w:bookmarkEnd w:id="13"/>
    <w:p>
      <w:pPr>
        <w:ind w:left="424" w:hanging="424"/>
        <w:spacing w:after="0"/>
        <w:tabs>
          <w:tab w:leader="none" w:pos="4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Definitions</w:t>
      </w:r>
    </w:p>
    <w:p>
      <w:pPr>
        <w:spacing w:after="0" w:line="134" w:lineRule="exact"/>
        <w:rPr>
          <w:rFonts w:ascii="Times New Roman" w:cs="Times New Roman" w:eastAsia="Times New Roman" w:hAnsi="Times New Roman"/>
          <w:sz w:val="18"/>
          <w:szCs w:val="18"/>
          <w:b w:val="1"/>
          <w:bCs w:val="1"/>
          <w:color w:val="auto"/>
        </w:rPr>
      </w:pPr>
    </w:p>
    <w:p>
      <w:pPr>
        <w:ind w:left="964" w:right="60" w:hanging="532"/>
        <w:spacing w:after="0" w:line="253"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means any information of a confidential or secret nature that (a) relates to the business of Honeywell or to the business of any parent, subsidiary, affiliate, customer, or vendor of Honeywell, or any other party with whom Honeywell agrees to hold information of such party in confidence; (b) is not generally known to the public or to other persons in the industry; and (c) Honeywell has taken reasonable measures under the circumstances to protect from unauthorized use or disclosure. Confidential Information covered by this Agreement means (i) trade secrets; (ii) proprietary information that does not rise to the level of a statutorily protectable trade secret that is made the property of Honeywell through positive operation of law in the form of this mutual agreement of the parties; or</w:t>
      </w:r>
    </w:p>
    <w:p>
      <w:pPr>
        <w:spacing w:after="0" w:line="5" w:lineRule="exact"/>
        <w:rPr>
          <w:rFonts w:ascii="Times New Roman" w:cs="Times New Roman" w:eastAsia="Times New Roman" w:hAnsi="Times New Roman"/>
          <w:sz w:val="18"/>
          <w:szCs w:val="18"/>
          <w:color w:val="auto"/>
        </w:rPr>
      </w:pPr>
    </w:p>
    <w:p>
      <w:pPr>
        <w:ind w:left="964" w:firstLine="8"/>
        <w:spacing w:after="0" w:line="251" w:lineRule="auto"/>
        <w:tabs>
          <w:tab w:leader="none" w:pos="1279"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is otherwise legally protectable. Such Confidential Information includes, but is not limited to, assigned Inventions, knowledge, data, information, know-how, non-public intellectual property rights, including unpublished or pending patent applications and all related patent rights, techniques, formulae, processes, discoveries, improvements, ideas, conceptions, compilations of data, and developments, whether or not patentable and whether or not copyrightable. By way of example, Confidential Information includes: information that is not generally known in the industries in which Honeywell is engaged, which may be disclosed to me or that I may learn, observe, discover or otherwise acquire during, or as a result of, my employment by Honeywell and that includes, without limitation, any information, whether patentable, patented or not, relating to, without limitation, existing or contemplated products, inventions, services, technology, ideas, concepts, designs, patterns, processes, compounds, formulae, programs, devices, tools, compilations of information, methods, techniques, and including information relating to any research, research databases, development, manufacture, purchasing, engineering, know-how, business plans, marketing plans, sales or market methods, methods of doing business, customer lists, customer usages or requirements, the identities and competencies of Honeywell’s employees, financial information, operating and cost data, or supplier information, which is owned or licensed by Honeywell or held by Honeywell in confidence. The foregoing are only examples of Confidential Information.</w:t>
      </w:r>
    </w:p>
    <w:p>
      <w:pPr>
        <w:spacing w:after="0" w:line="97" w:lineRule="exact"/>
        <w:rPr>
          <w:rFonts w:ascii="Times New Roman" w:cs="Times New Roman" w:eastAsia="Times New Roman" w:hAnsi="Times New Roman"/>
          <w:sz w:val="18"/>
          <w:szCs w:val="18"/>
          <w:color w:val="auto"/>
        </w:rPr>
      </w:pPr>
    </w:p>
    <w:p>
      <w:pPr>
        <w:ind w:left="964" w:right="340" w:hanging="532"/>
        <w:spacing w:after="0" w:line="289" w:lineRule="auto"/>
        <w:tabs>
          <w:tab w:leader="none" w:pos="964"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“Honeywell” collectively identifies Honeywell International Inc. (a Delaware corporation having a place of business Charlotte, Mecklenburg County, North Carolina), its predecessors, designees and successors and its past, present and future operating companies, divisions, subsidiaries, affiliates and other business units, including businesses acquired by purchase of stock, merger or otherwise.</w:t>
      </w:r>
    </w:p>
    <w:p>
      <w:pPr>
        <w:spacing w:after="0" w:line="63" w:lineRule="exact"/>
        <w:rPr>
          <w:rFonts w:ascii="Times New Roman" w:cs="Times New Roman" w:eastAsia="Times New Roman" w:hAnsi="Times New Roman"/>
          <w:sz w:val="17"/>
          <w:szCs w:val="17"/>
          <w:color w:val="auto"/>
        </w:rPr>
      </w:pPr>
    </w:p>
    <w:p>
      <w:pPr>
        <w:ind w:left="964" w:right="400" w:hanging="532"/>
        <w:spacing w:after="0" w:line="261"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“Invention” includes not only inventions (whether or not patentable), but also innovations, improvements, discoveries, ideas, original works of authorship, formulas, processes, compositions of matter, computer software programs, databases, mask works – and all other forms of intellectual property (including, but not limited to, copyright works and mask works) – whether or not any of the foregoing constitutes a trade secret or information protectable by patents or copyright.</w:t>
      </w:r>
    </w:p>
    <w:p>
      <w:pPr>
        <w:spacing w:after="0" w:line="8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“Made” when used in relation to Invention includes any one or any combination of (i) conception, (ii) reduction to practice, or</w:t>
      </w:r>
    </w:p>
    <w:p>
      <w:pPr>
        <w:spacing w:after="0" w:line="27" w:lineRule="exact"/>
        <w:rPr>
          <w:rFonts w:ascii="Times New Roman" w:cs="Times New Roman" w:eastAsia="Times New Roman" w:hAnsi="Times New Roman"/>
          <w:sz w:val="18"/>
          <w:szCs w:val="18"/>
          <w:color w:val="auto"/>
        </w:rPr>
      </w:pPr>
    </w:p>
    <w:p>
      <w:pPr>
        <w:ind w:left="1284" w:hanging="312"/>
        <w:spacing w:after="0"/>
        <w:tabs>
          <w:tab w:leader="none" w:pos="128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an Invention and is without regard to whether I am a sole or joint inventor.</w:t>
      </w:r>
    </w:p>
    <w:p>
      <w:pPr>
        <w:spacing w:after="0" w:line="112" w:lineRule="exact"/>
        <w:rPr>
          <w:rFonts w:ascii="Times New Roman" w:cs="Times New Roman" w:eastAsia="Times New Roman" w:hAnsi="Times New Roman"/>
          <w:sz w:val="18"/>
          <w:szCs w:val="18"/>
          <w:color w:val="auto"/>
        </w:rPr>
      </w:pPr>
    </w:p>
    <w:p>
      <w:pPr>
        <w:ind w:left="964" w:right="20" w:hanging="532"/>
        <w:spacing w:after="0" w:line="258"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“Moral Rights” mean any rights to claim authorship of or credit on an assigned Invention, to object to or prevent the modification or destruction of any assigned Inventions or pre-employment Inventions licensed to Honeywell, or to withdraw from circulation or control the publication or distribution of any assigned Inventions or pre-employment Inventions licensed to Honeywell, and any similar right, existing under judicial or statutory law of any country or subdivision thereof in the world, or under any treaty, regardless of whether or not such right is denominated or generally referred to as a “moral right.”</w:t>
      </w:r>
    </w:p>
    <w:p>
      <w:pPr>
        <w:spacing w:after="0" w:line="116" w:lineRule="exact"/>
        <w:rPr>
          <w:sz w:val="20"/>
          <w:szCs w:val="20"/>
          <w:color w:val="auto"/>
        </w:rPr>
      </w:pPr>
    </w:p>
    <w:p>
      <w:pPr>
        <w:ind w:left="4"/>
        <w:spacing w:after="0"/>
        <w:tabs>
          <w:tab w:leader="none" w:pos="5324" w:val="left"/>
          <w:tab w:leader="none" w:pos="9624" w:val="left"/>
        </w:tabs>
        <w:rPr>
          <w:sz w:val="20"/>
          <w:szCs w:val="20"/>
          <w:color w:val="auto"/>
        </w:rPr>
      </w:pPr>
      <w:r>
        <w:rPr>
          <w:rFonts w:ascii="Times New Roman" w:cs="Times New Roman" w:eastAsia="Times New Roman" w:hAnsi="Times New Roman"/>
          <w:sz w:val="18"/>
          <w:szCs w:val="18"/>
          <w:color w:val="auto"/>
        </w:rPr>
        <w:t>IP Agreement – US NON-CALIFORNIA – R</w:t>
      </w:r>
      <w:r>
        <w:rPr>
          <w:sz w:val="20"/>
          <w:szCs w:val="20"/>
          <w:color w:val="auto"/>
        </w:rPr>
        <w:tab/>
      </w:r>
      <w:r>
        <w:rPr>
          <w:rFonts w:ascii="Times New Roman" w:cs="Times New Roman" w:eastAsia="Times New Roman" w:hAnsi="Times New Roman"/>
          <w:sz w:val="18"/>
          <w:szCs w:val="18"/>
          <w:color w:val="auto"/>
        </w:rPr>
        <w:t>Page 6 of 9</w:t>
      </w:r>
      <w:r>
        <w:rPr>
          <w:sz w:val="20"/>
          <w:szCs w:val="20"/>
          <w:color w:val="auto"/>
        </w:rPr>
        <w:tab/>
      </w:r>
      <w:r>
        <w:rPr>
          <w:rFonts w:ascii="Times New Roman" w:cs="Times New Roman" w:eastAsia="Times New Roman" w:hAnsi="Times New Roman"/>
          <w:sz w:val="18"/>
          <w:szCs w:val="18"/>
          <w:color w:val="auto"/>
        </w:rPr>
        <w:t>Revised 05-1-2019</w:t>
      </w:r>
    </w:p>
    <w:p>
      <w:pPr>
        <w:sectPr>
          <w:pgSz w:w="11900" w:h="16838" w:orient="portrait"/>
          <w:cols w:equalWidth="0" w:num="1">
            <w:col w:w="11024"/>
          </w:cols>
          <w:pgMar w:left="436" w:top="266" w:right="439" w:bottom="1440" w:gutter="0" w:footer="0" w:header="0"/>
        </w:sectPr>
      </w:pPr>
    </w:p>
    <w:bookmarkStart w:id="14" w:name="page15"/>
    <w:bookmarkEnd w:id="14"/>
    <w:p>
      <w:pPr>
        <w:ind w:left="964" w:right="140" w:hanging="532"/>
        <w:spacing w:after="0" w:line="282"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“Solicit” or “soliciting” includes contacting, communicating with, marketing to, engaging or otherwise interacting with (whether initiated by me or not).</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shall be defined as any separation from employment with Honeywell regardless of the reason, including any and all voluntary and involuntary reasons for termination. The termination date for purposes of this Agreement shall be the last day I actively perform services for Honeywell.</w:t>
      </w:r>
    </w:p>
    <w:p>
      <w:pPr>
        <w:spacing w:after="0" w:line="77" w:lineRule="exact"/>
        <w:rPr>
          <w:rFonts w:ascii="Times New Roman" w:cs="Times New Roman" w:eastAsia="Times New Roman" w:hAnsi="Times New Roman"/>
          <w:sz w:val="18"/>
          <w:szCs w:val="18"/>
          <w:color w:val="auto"/>
        </w:rPr>
      </w:pPr>
    </w:p>
    <w:p>
      <w:pPr>
        <w:ind w:left="424" w:right="20" w:hanging="424"/>
        <w:spacing w:after="0" w:line="286" w:lineRule="auto"/>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Headings Descriptive. </w:t>
      </w:r>
      <w:r>
        <w:rPr>
          <w:rFonts w:ascii="Times New Roman" w:cs="Times New Roman" w:eastAsia="Times New Roman" w:hAnsi="Times New Roman"/>
          <w:sz w:val="18"/>
          <w:szCs w:val="18"/>
          <w:color w:val="auto"/>
        </w:rPr>
        <w:t>The headings of the several paragraphs of this Agreement are inserted for convenience only and shall not in any way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meaning or construction of this Agreement.</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 Vimal Kapur</w:t>
            </w:r>
          </w:p>
        </w:tc>
        <w:tc>
          <w:tcPr>
            <w:tcW w:w="4640" w:type="dxa"/>
            <w:vAlign w:val="bottom"/>
          </w:tcPr>
          <w:p>
            <w:pPr>
              <w:spacing w:after="0"/>
              <w:rPr>
                <w:sz w:val="20"/>
                <w:szCs w:val="20"/>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27, 2022</w:t>
            </w:r>
          </w:p>
        </w:tc>
      </w:tr>
      <w:tr>
        <w:trPr>
          <w:trHeight w:val="232"/>
        </w:trPr>
        <w:tc>
          <w:tcPr>
            <w:tcW w:w="4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VIMAL KAPUR (E207366)</w:t>
            </w:r>
          </w:p>
        </w:tc>
        <w:tc>
          <w:tcPr>
            <w:tcW w:w="464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c>
          <w:tcPr>
            <w:tcW w:w="20" w:type="dxa"/>
            <w:vAlign w:val="bottom"/>
          </w:tcPr>
          <w:p>
            <w:pPr>
              <w:spacing w:after="0"/>
              <w:rPr>
                <w:sz w:val="20"/>
                <w:szCs w:val="20"/>
                <w:color w:val="auto"/>
              </w:rPr>
            </w:pPr>
          </w:p>
        </w:tc>
      </w:tr>
      <w:tr>
        <w:trPr>
          <w:trHeight w:val="35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IP Agreement – US NON-CALIFORNIA – R</w:t>
            </w:r>
          </w:p>
        </w:tc>
        <w:tc>
          <w:tcPr>
            <w:tcW w:w="4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Page 7 of 9</w:t>
            </w:r>
          </w:p>
        </w:tc>
        <w:tc>
          <w:tcPr>
            <w:tcW w:w="1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Revised 05-1-2019</w:t>
            </w:r>
          </w:p>
        </w:tc>
      </w:tr>
    </w:tbl>
    <w:p>
      <w:pPr>
        <w:sectPr>
          <w:pgSz w:w="11900" w:h="16838" w:orient="portrait"/>
          <w:cols w:equalWidth="0" w:num="1">
            <w:col w:w="11024"/>
          </w:cols>
          <w:pgMar w:left="436" w:top="270" w:right="4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HAVE YOU MADE ANY INVENTIONS BEFORE THE TERM OF YOUR EMPLOYMENT WITH HONEYWELL, IN WHICH YOU HAVE AN OWNERSHIP INTEREST AND THAT ARE NOT THE SUBJECT MATTER OF ISSUED PATENTS OR PRINTED PUBLICATIONS?</w:t>
      </w:r>
    </w:p>
    <w:p>
      <w:pPr>
        <w:spacing w:after="0" w:line="162" w:lineRule="exact"/>
        <w:rPr>
          <w:sz w:val="20"/>
          <w:szCs w:val="20"/>
          <w:color w:val="auto"/>
        </w:rPr>
      </w:pPr>
    </w:p>
    <w:p>
      <w:pPr>
        <w:ind w:left="440"/>
        <w:spacing w:after="0"/>
        <w:tabs>
          <w:tab w:leader="none" w:pos="4580" w:val="left"/>
        </w:tabs>
        <w:rPr>
          <w:sz w:val="20"/>
          <w:szCs w:val="20"/>
          <w:color w:val="auto"/>
        </w:rPr>
      </w:pPr>
      <w:r>
        <w:rPr>
          <w:rFonts w:ascii="Times New Roman" w:cs="Times New Roman" w:eastAsia="Times New Roman" w:hAnsi="Times New Roman"/>
          <w:sz w:val="18"/>
          <w:szCs w:val="18"/>
          <w:color w:val="auto"/>
        </w:rPr>
        <w:t>(If there are none, please enter the word “NONE”)</w:t>
      </w:r>
      <w:r>
        <w:rPr>
          <w:sz w:val="20"/>
          <w:szCs w:val="20"/>
          <w:color w:val="auto"/>
        </w:rPr>
        <w:tab/>
      </w: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Please describe each such Invention without disclosing trade secrets or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386080</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582930</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788670</wp:posOffset>
            </wp:positionV>
            <wp:extent cx="6995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986155</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1183005</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1388745</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1586230</wp:posOffset>
            </wp:positionV>
            <wp:extent cx="6995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 additional sheets if more space is needed.]</w:t>
      </w:r>
    </w:p>
    <w:p>
      <w:pPr>
        <w:spacing w:after="0" w:line="158" w:lineRule="exact"/>
        <w:rPr>
          <w:sz w:val="20"/>
          <w:szCs w:val="20"/>
          <w:color w:val="auto"/>
        </w:rPr>
      </w:pPr>
    </w:p>
    <w:p>
      <w:pPr>
        <w:spacing w:after="0"/>
        <w:tabs>
          <w:tab w:leader="none" w:pos="5320" w:val="left"/>
          <w:tab w:leader="none" w:pos="9620" w:val="left"/>
        </w:tabs>
        <w:rPr>
          <w:sz w:val="20"/>
          <w:szCs w:val="20"/>
          <w:color w:val="auto"/>
        </w:rPr>
      </w:pPr>
      <w:r>
        <w:rPr>
          <w:rFonts w:ascii="Times New Roman" w:cs="Times New Roman" w:eastAsia="Times New Roman" w:hAnsi="Times New Roman"/>
          <w:sz w:val="18"/>
          <w:szCs w:val="18"/>
          <w:color w:val="auto"/>
        </w:rPr>
        <w:t>IP Agreement – US NON-CALIFORNIA – R</w:t>
      </w:r>
      <w:r>
        <w:rPr>
          <w:sz w:val="20"/>
          <w:szCs w:val="20"/>
          <w:color w:val="auto"/>
        </w:rPr>
        <w:tab/>
      </w:r>
      <w:r>
        <w:rPr>
          <w:rFonts w:ascii="Times New Roman" w:cs="Times New Roman" w:eastAsia="Times New Roman" w:hAnsi="Times New Roman"/>
          <w:sz w:val="18"/>
          <w:szCs w:val="18"/>
          <w:color w:val="auto"/>
        </w:rPr>
        <w:t>Page 8 of 9</w:t>
      </w:r>
      <w:r>
        <w:rPr>
          <w:sz w:val="20"/>
          <w:szCs w:val="20"/>
          <w:color w:val="auto"/>
        </w:rPr>
        <w:tab/>
      </w:r>
      <w:r>
        <w:rPr>
          <w:rFonts w:ascii="Times New Roman" w:cs="Times New Roman" w:eastAsia="Times New Roman" w:hAnsi="Times New Roman"/>
          <w:sz w:val="18"/>
          <w:szCs w:val="18"/>
          <w:color w:val="auto"/>
        </w:rPr>
        <w:t>Revised 05-1-2019</w:t>
      </w:r>
    </w:p>
    <w:p>
      <w:pPr>
        <w:sectPr>
          <w:pgSz w:w="11900" w:h="16838" w:orient="portrait"/>
          <w:cols w:equalWidth="0" w:num="1">
            <w:col w:w="11020"/>
          </w:cols>
          <w:pgMar w:left="440" w:top="266" w:right="4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YOU HAVE ANY PRIOR OBLIGATIONS (WRITTEN OR ORAL) THAT WOULD RESTRICT YOUR ABILITY TO PERFORM THE DUTIES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YOUR EMPLOYMENT WITH HONEYWELL?</w:t>
      </w:r>
    </w:p>
    <w:p>
      <w:pPr>
        <w:spacing w:after="0" w:line="207" w:lineRule="exact"/>
        <w:rPr>
          <w:sz w:val="20"/>
          <w:szCs w:val="20"/>
          <w:color w:val="auto"/>
        </w:rPr>
      </w:pPr>
    </w:p>
    <w:p>
      <w:pPr>
        <w:ind w:left="440"/>
        <w:spacing w:after="0"/>
        <w:tabs>
          <w:tab w:leader="none" w:pos="4580" w:val="left"/>
        </w:tabs>
        <w:rPr>
          <w:sz w:val="20"/>
          <w:szCs w:val="20"/>
          <w:color w:val="auto"/>
        </w:rPr>
      </w:pPr>
      <w:r>
        <w:rPr>
          <w:rFonts w:ascii="Times New Roman" w:cs="Times New Roman" w:eastAsia="Times New Roman" w:hAnsi="Times New Roman"/>
          <w:sz w:val="18"/>
          <w:szCs w:val="18"/>
          <w:color w:val="auto"/>
        </w:rPr>
        <w:t>(If there are none, please enter the word “NONE”)</w:t>
      </w:r>
      <w:r>
        <w:rPr>
          <w:sz w:val="20"/>
          <w:szCs w:val="20"/>
          <w:color w:val="auto"/>
        </w:rPr>
        <w:tab/>
      </w: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Please give date of, and parties to, obligations and the nature and substance of the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386080</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582930</wp:posOffset>
            </wp:positionV>
            <wp:extent cx="6995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788670</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986155</wp:posOffset>
            </wp:positionV>
            <wp:extent cx="6995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1183005</wp:posOffset>
            </wp:positionV>
            <wp:extent cx="6995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1388745</wp:posOffset>
            </wp:positionV>
            <wp:extent cx="6995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1586230</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 additional sheets if more space is needed.]</w:t>
      </w:r>
    </w:p>
    <w:p>
      <w:pPr>
        <w:spacing w:after="0" w:line="200" w:lineRule="exact"/>
        <w:rPr>
          <w:sz w:val="20"/>
          <w:szCs w:val="20"/>
          <w:color w:val="auto"/>
        </w:rPr>
      </w:pPr>
    </w:p>
    <w:p>
      <w:pPr>
        <w:spacing w:after="0" w:line="322" w:lineRule="exact"/>
        <w:rPr>
          <w:sz w:val="20"/>
          <w:szCs w:val="20"/>
          <w:color w:val="auto"/>
        </w:rPr>
      </w:pPr>
    </w:p>
    <w:p>
      <w:pPr>
        <w:spacing w:after="0"/>
        <w:tabs>
          <w:tab w:leader="none" w:pos="5320" w:val="left"/>
          <w:tab w:leader="none" w:pos="9620" w:val="left"/>
        </w:tabs>
        <w:rPr>
          <w:sz w:val="20"/>
          <w:szCs w:val="20"/>
          <w:color w:val="auto"/>
        </w:rPr>
      </w:pPr>
      <w:r>
        <w:rPr>
          <w:rFonts w:ascii="Times New Roman" w:cs="Times New Roman" w:eastAsia="Times New Roman" w:hAnsi="Times New Roman"/>
          <w:sz w:val="18"/>
          <w:szCs w:val="18"/>
          <w:color w:val="auto"/>
        </w:rPr>
        <w:t>IP Agreement – US NON-CALIFORNIA – R</w:t>
      </w:r>
      <w:r>
        <w:rPr>
          <w:sz w:val="20"/>
          <w:szCs w:val="20"/>
          <w:color w:val="auto"/>
        </w:rPr>
        <w:tab/>
      </w:r>
      <w:r>
        <w:rPr>
          <w:rFonts w:ascii="Times New Roman" w:cs="Times New Roman" w:eastAsia="Times New Roman" w:hAnsi="Times New Roman"/>
          <w:sz w:val="18"/>
          <w:szCs w:val="18"/>
          <w:color w:val="auto"/>
        </w:rPr>
        <w:t>Page 9 of 9</w:t>
      </w:r>
      <w:r>
        <w:rPr>
          <w:sz w:val="20"/>
          <w:szCs w:val="20"/>
          <w:color w:val="auto"/>
        </w:rPr>
        <w:tab/>
      </w:r>
      <w:r>
        <w:rPr>
          <w:rFonts w:ascii="Times New Roman" w:cs="Times New Roman" w:eastAsia="Times New Roman" w:hAnsi="Times New Roman"/>
          <w:sz w:val="18"/>
          <w:szCs w:val="18"/>
          <w:color w:val="auto"/>
        </w:rPr>
        <w:t>Revised 05-1-2019</w:t>
      </w:r>
    </w:p>
    <w:p>
      <w:pPr>
        <w:sectPr>
          <w:pgSz w:w="11900" w:h="16838" w:orient="portrait"/>
          <w:cols w:equalWidth="0" w:num="1">
            <w:col w:w="11020"/>
          </w:cols>
          <w:pgMar w:left="440" w:top="266" w:right="439" w:bottom="1440" w:gutter="0" w:footer="0" w:header="0"/>
        </w:sectPr>
      </w:pPr>
    </w:p>
    <w:bookmarkStart w:id="17" w:name="page18"/>
    <w:bookmarkEnd w:id="1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EID: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Document Category: </w:t>
      </w:r>
      <w:r>
        <w:rPr>
          <w:rFonts w:ascii="Times New Roman" w:cs="Times New Roman" w:eastAsia="Times New Roman" w:hAnsi="Times New Roman"/>
          <w:sz w:val="18"/>
          <w:szCs w:val="18"/>
          <w:color w:val="auto"/>
        </w:rPr>
        <w:t>Hiring</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 xml:space="preserve">Document Type: </w:t>
      </w:r>
      <w:r>
        <w:rPr>
          <w:rFonts w:ascii="Times New Roman" w:cs="Times New Roman" w:eastAsia="Times New Roman" w:hAnsi="Times New Roman"/>
          <w:sz w:val="17"/>
          <w:szCs w:val="17"/>
          <w:color w:val="auto"/>
        </w:rPr>
        <w:t>Intellectual Property (IP) Agreements</w:t>
      </w:r>
    </w:p>
    <w:p>
      <w:pPr>
        <w:spacing w:after="0" w:line="268" w:lineRule="exact"/>
        <w:rPr>
          <w:sz w:val="20"/>
          <w:szCs w:val="20"/>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Employee File Management Purpose Only</w:t>
      </w:r>
    </w:p>
    <w:p>
      <w:pPr>
        <w:sectPr>
          <w:pgSz w:w="11900" w:h="16838" w:orient="portrait"/>
          <w:cols w:equalWidth="0" w:num="1">
            <w:col w:w="10023"/>
          </w:cols>
          <w:pgMar w:left="436" w:top="266" w:right="1440" w:bottom="1440" w:gutter="0" w:footer="0" w:header="0"/>
        </w:sectPr>
      </w:pPr>
    </w:p>
    <w:bookmarkStart w:id="18" w:name="page19"/>
    <w:bookmarkEnd w:id="1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HONEYWELL INTERNATIONAL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NONCOMPETE AGREEMENT</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 SELECT MANAGEMENT EMPLOYEES</w:t>
      </w:r>
    </w:p>
    <w:p>
      <w:pPr>
        <w:spacing w:after="0" w:line="203" w:lineRule="exact"/>
        <w:rPr>
          <w:sz w:val="20"/>
          <w:szCs w:val="20"/>
          <w:color w:val="auto"/>
        </w:rPr>
      </w:pPr>
    </w:p>
    <w:p>
      <w:pPr>
        <w:ind w:left="4" w:right="100"/>
        <w:spacing w:after="0" w:line="262" w:lineRule="auto"/>
        <w:rPr>
          <w:sz w:val="20"/>
          <w:szCs w:val="20"/>
          <w:color w:val="auto"/>
        </w:rPr>
      </w:pPr>
      <w:r>
        <w:rPr>
          <w:rFonts w:ascii="Times New Roman" w:cs="Times New Roman" w:eastAsia="Times New Roman" w:hAnsi="Times New Roman"/>
          <w:sz w:val="18"/>
          <w:szCs w:val="18"/>
          <w:b w:val="1"/>
          <w:bCs w:val="1"/>
          <w:color w:val="auto"/>
        </w:rPr>
        <w:t>In consideration of my role as a select management employee of Honeywell, my employment, continued employment, compensation, eligibility for any future discretionary raises or merit increases, eligibility for any future bonuses, awards or payments under any Honeywell incentive compensation or equity programs or plans, and the equipment, materials, facilities and Confidential Information supplied to me, I agree to the following:</w:t>
      </w:r>
    </w:p>
    <w:p>
      <w:pPr>
        <w:spacing w:after="0" w:line="68" w:lineRule="exact"/>
        <w:rPr>
          <w:sz w:val="20"/>
          <w:szCs w:val="20"/>
          <w:color w:val="auto"/>
        </w:rPr>
      </w:pPr>
    </w:p>
    <w:p>
      <w:pPr>
        <w:ind w:left="4" w:right="40" w:hanging="4"/>
        <w:spacing w:after="0" w:line="254" w:lineRule="auto"/>
        <w:tabs>
          <w:tab w:leader="none" w:pos="18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Noncompetition. </w:t>
      </w:r>
      <w:r>
        <w:rPr>
          <w:rFonts w:ascii="Times New Roman" w:cs="Times New Roman" w:eastAsia="Times New Roman" w:hAnsi="Times New Roman"/>
          <w:sz w:val="18"/>
          <w:szCs w:val="18"/>
          <w:color w:val="auto"/>
        </w:rPr>
        <w:t>I acknowledge that in the course of my employment with or provision of services to Honeywell, I have and will become familiar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Confidential Information concerning Honeywell, its businesses and employees, including, but not limited to, Honeywell’s business methods, business systems, strategic plans, plans for acquisition or disposition of products, expansion plans, financial status and plans, financial data, customer lists and data, and personnel information. I understand and agree that as part of my continued employment with Honeywell, I will continue to have access to and receive Confidential Information concerning Honeywell. I further acknowledge that Honeywell operates in a very competitive business environment and my services are, and will continue to be, of special, unique and extraordinary value to Honeywell. I further acknowledge that I have been given, and will continue to be given, access to and the ability to develop relationships with, customers of Honeywell at the time and expense of Honeywell, and have and will continue to receive training, experience and expertise from Honeywell that make my services of special, unique and extraordinary value to Honeywell. I further acknowledge and agree that I will not, directly or indirectly, at any time during or after my employment with Honeywell, except in the course of performing my duties for Honeywell, disclose, disseminate, make available or use Honeywell’s Confidential Information.</w:t>
      </w:r>
    </w:p>
    <w:p>
      <w:pPr>
        <w:spacing w:after="0" w:line="186"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I agree that, during my employment and for a period of two (2) years following my Termination of Employment with Honeywell for any reason, I will not become employed by, perform services for, or otherwise become associated with (as an employee, officer, director, principal, agent, manager, partner, co-partner or consultant or any other individual or representative role) a Competing Business (as defined below). This restriction shall apply to any Competing Business that conducts business in the same or substantially similar geographic area as a Protected Honeywell Business (as defined below). I acknowledge that (i) Honeywell’s business is conducted around the world; (ii) notwithstanding Honeywell’s state of incorporation or the location of its principal office, Honeywell maintains business activities and valuable business relationships within its industries around the world; and (iii) as part of my responsibilities, I may be conducting business around the world in furtherance of Honeywell’s business and its relationships.</w:t>
      </w:r>
    </w:p>
    <w:p>
      <w:pPr>
        <w:spacing w:after="0" w:line="189"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A “Competing Business” shall mean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Honeywell,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a</w:t>
      </w:r>
    </w:p>
    <w:p>
      <w:pPr>
        <w:spacing w:after="0" w:line="116" w:lineRule="exact"/>
        <w:rPr>
          <w:sz w:val="20"/>
          <w:szCs w:val="20"/>
          <w:color w:val="auto"/>
        </w:rPr>
      </w:pPr>
    </w:p>
    <w:p>
      <w:pPr>
        <w:ind w:left="4"/>
        <w:spacing w:after="0"/>
        <w:tabs>
          <w:tab w:leader="none" w:pos="5324" w:val="left"/>
          <w:tab w:leader="none" w:pos="9524" w:val="left"/>
        </w:tabs>
        <w:rPr>
          <w:sz w:val="20"/>
          <w:szCs w:val="20"/>
          <w:color w:val="auto"/>
        </w:rPr>
      </w:pPr>
      <w:r>
        <w:rPr>
          <w:rFonts w:ascii="Times New Roman" w:cs="Times New Roman" w:eastAsia="Times New Roman" w:hAnsi="Times New Roman"/>
          <w:sz w:val="18"/>
          <w:szCs w:val="18"/>
          <w:color w:val="auto"/>
        </w:rPr>
        <w:t>NCA – US – Select Management Employees</w:t>
      </w:r>
      <w:r>
        <w:rPr>
          <w:sz w:val="20"/>
          <w:szCs w:val="20"/>
          <w:color w:val="auto"/>
        </w:rPr>
        <w:tab/>
      </w:r>
      <w:r>
        <w:rPr>
          <w:rFonts w:ascii="Times New Roman" w:cs="Times New Roman" w:eastAsia="Times New Roman" w:hAnsi="Times New Roman"/>
          <w:sz w:val="18"/>
          <w:szCs w:val="18"/>
          <w:color w:val="auto"/>
        </w:rPr>
        <w:t>Page 1 of 6</w:t>
      </w:r>
      <w:r>
        <w:rPr>
          <w:sz w:val="20"/>
          <w:szCs w:val="20"/>
          <w:color w:val="auto"/>
        </w:rPr>
        <w:tab/>
      </w:r>
      <w:r>
        <w:rPr>
          <w:rFonts w:ascii="Times New Roman" w:cs="Times New Roman" w:eastAsia="Times New Roman" w:hAnsi="Times New Roman"/>
          <w:sz w:val="18"/>
          <w:szCs w:val="18"/>
          <w:color w:val="auto"/>
        </w:rPr>
        <w:t>Revised 07-27-2021</w:t>
      </w:r>
    </w:p>
    <w:p>
      <w:pPr>
        <w:sectPr>
          <w:pgSz w:w="11900" w:h="16838" w:orient="portrait"/>
          <w:cols w:equalWidth="0" w:num="1">
            <w:col w:w="11024"/>
          </w:cols>
          <w:pgMar w:left="436" w:top="266" w:right="439" w:bottom="1440" w:gutter="0" w:footer="0" w:header="0"/>
        </w:sectPr>
      </w:pPr>
    </w:p>
    <w:bookmarkStart w:id="19" w:name="page20"/>
    <w:bookmarkEnd w:id="19"/>
    <w:p>
      <w:pPr>
        <w:ind w:left="4"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Honeywell business (the Honeywell businesses described in (i) and (ii) are hereinafter collectively referred to as “Protected Honeywell Business(es)”). </w:t>
      </w:r>
      <w:r>
        <w:rPr>
          <w:rFonts w:ascii="Times New Roman" w:cs="Times New Roman" w:eastAsia="Times New Roman" w:hAnsi="Times New Roman"/>
          <w:sz w:val="18"/>
          <w:szCs w:val="18"/>
          <w:i w:val="1"/>
          <w:iCs w:val="1"/>
          <w:color w:val="auto"/>
        </w:rPr>
        <w:t xml:space="preserve">Notwithstanding the foregoing, an entity is not a Competing Business </w:t>
      </w:r>
      <w:r>
        <w:rPr>
          <w:rFonts w:ascii="Times New Roman" w:cs="Times New Roman" w:eastAsia="Times New Roman" w:hAnsi="Times New Roman"/>
          <w:sz w:val="18"/>
          <w:szCs w:val="18"/>
          <w:b w:val="1"/>
          <w:bCs w:val="1"/>
          <w:i w:val="1"/>
          <w:iCs w:val="1"/>
          <w:color w:val="auto"/>
        </w:rPr>
        <w:t>with respect to me</w:t>
      </w:r>
      <w:r>
        <w:rPr>
          <w:rFonts w:ascii="Times New Roman" w:cs="Times New Roman" w:eastAsia="Times New Roman" w:hAnsi="Times New Roman"/>
          <w:sz w:val="18"/>
          <w:szCs w:val="18"/>
          <w:i w:val="1"/>
          <w:iCs w:val="1"/>
          <w:color w:val="auto"/>
        </w:rPr>
        <w:t xml:space="preserve"> unless I was employed by, performed services for, or had operational knowledge of, a Protected Honeywell Business in a covered job (i.e., a job subject to a noncompetition agreement) during the Look Back Period</w:t>
      </w:r>
      <w:r>
        <w:rPr>
          <w:rFonts w:ascii="Times New Roman" w:cs="Times New Roman" w:eastAsia="Times New Roman" w:hAnsi="Times New Roman"/>
          <w:sz w:val="18"/>
          <w:szCs w:val="18"/>
          <w:color w:val="auto"/>
        </w:rPr>
        <w:t>. For purposes of the foregoing, I acknowledge that I will be deemed to have knowledge of a Protected Honeywell Business if I received, was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possession of, or otherwise had access to Confidential Information regarding such Protected Honeywell Business.</w:t>
      </w:r>
    </w:p>
    <w:p>
      <w:pPr>
        <w:spacing w:after="0" w:line="183" w:lineRule="exact"/>
        <w:rPr>
          <w:sz w:val="20"/>
          <w:szCs w:val="20"/>
          <w:color w:val="auto"/>
        </w:rPr>
      </w:pPr>
    </w:p>
    <w:p>
      <w:pPr>
        <w:ind w:left="4" w:right="180" w:firstLine="440"/>
        <w:spacing w:after="0" w:line="256" w:lineRule="auto"/>
        <w:rPr>
          <w:sz w:val="20"/>
          <w:szCs w:val="20"/>
          <w:color w:val="auto"/>
        </w:rPr>
      </w:pPr>
      <w:r>
        <w:rPr>
          <w:rFonts w:ascii="Times New Roman" w:cs="Times New Roman" w:eastAsia="Times New Roman" w:hAnsi="Times New Roman"/>
          <w:sz w:val="18"/>
          <w:szCs w:val="18"/>
          <w:color w:val="auto"/>
        </w:rPr>
        <w:t>For purposes of illustration only, I acknowledge and understand that each of the corporations or entities (and any related entities, subsidiaries, affiliates or successors) set forth on the Addendum attached hereto is a Competing Business as of the date hereof. I further acknowledge and agree that the Addendum attached hereto is not an exhaustive list and is not intended to include all of Honeywell’s current or future competitors, which I acknowledge may include other persons or entities in the future. I further acknowledge and understand that if I have any questions about whether any prior Honeywell position that I have held over the last two (2) years may be used to identify Competing Businesses, I should contact my Human Resource representative.</w:t>
      </w:r>
    </w:p>
    <w:p>
      <w:pPr>
        <w:spacing w:after="0" w:line="187"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Honeywell recognizes that some businesses, persons, entities, or group of businesses that constitute Competing Businesses may also have lines of business that do not compete with Honeywell, and the restrictions contained herein are not intended to include such lines of business. I understand and agree that if I intend to become employed by, perform services for, or otherwise become associated with (as an employee, officer, director, principal, agent, manager, partner, co-partner or consultant or any other individual or representative role) a Competing Business, it is presumed that the restrictions contained herein apply. I further understand and agree that if I do not believe the restrictions contained herein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xml:space="preserve"> apply, I must notify Honeywell, in writing, prior to accepting employment or otherwise becoming associated with the ostensible Competing Business, and demonstrate to Honeywell that I will only be employed by, perform services for, or otherwise become associated with (as an employee, officer, director, principal, agent, manager, partner, co-partner or consultant or any other individual or representative role) a Competing Business’ line of business that does not compete with Honeywell.</w:t>
      </w:r>
    </w:p>
    <w:p>
      <w:pPr>
        <w:spacing w:after="0" w:line="184" w:lineRule="exact"/>
        <w:rPr>
          <w:sz w:val="20"/>
          <w:szCs w:val="20"/>
          <w:color w:val="auto"/>
        </w:rPr>
      </w:pPr>
    </w:p>
    <w:p>
      <w:pPr>
        <w:ind w:left="4" w:right="40" w:hanging="4"/>
        <w:spacing w:after="0" w:line="254" w:lineRule="auto"/>
        <w:tabs>
          <w:tab w:leader="none" w:pos="18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Reasonableness of Restrictions and Validity. </w:t>
      </w:r>
      <w:r>
        <w:rPr>
          <w:rFonts w:ascii="Times New Roman" w:cs="Times New Roman" w:eastAsia="Times New Roman" w:hAnsi="Times New Roman"/>
          <w:sz w:val="18"/>
          <w:szCs w:val="18"/>
          <w:color w:val="auto"/>
        </w:rPr>
        <w:t>I agree that the terms of this Agreement are reasonable and do not impose a greater restraint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protect Honeywell’s legitimate protectable business interests, including the protection of its Confidential Information. It is the desire and intent of the parties hereto that the provisions of this Agreement shall be enforced to the fullest extent legally-permissible. Accordingly, if any particular provision(s) of this Agreement shall be adjudicated to be overbroad,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 The remaining provisions of this Agreement shall remain in full force and effect. I also agree that the parties shall request that a court of competent jurisdiction not invalidate or ignore the terms of this Agreement, but instead honor this provision by reforming or modifying any overbroad or otherwise invalid terms to the extent necessary to render the terms valid and enforceable and then enforcing the Agreement as so reformed or modified.</w:t>
      </w:r>
    </w:p>
    <w:p>
      <w:pPr>
        <w:spacing w:after="0" w:line="119" w:lineRule="exact"/>
        <w:rPr>
          <w:sz w:val="20"/>
          <w:szCs w:val="20"/>
          <w:color w:val="auto"/>
        </w:rPr>
      </w:pPr>
    </w:p>
    <w:p>
      <w:pPr>
        <w:ind w:left="4"/>
        <w:spacing w:after="0"/>
        <w:tabs>
          <w:tab w:leader="none" w:pos="5324" w:val="left"/>
          <w:tab w:leader="none" w:pos="9524" w:val="left"/>
        </w:tabs>
        <w:rPr>
          <w:sz w:val="20"/>
          <w:szCs w:val="20"/>
          <w:color w:val="auto"/>
        </w:rPr>
      </w:pPr>
      <w:r>
        <w:rPr>
          <w:rFonts w:ascii="Times New Roman" w:cs="Times New Roman" w:eastAsia="Times New Roman" w:hAnsi="Times New Roman"/>
          <w:sz w:val="18"/>
          <w:szCs w:val="18"/>
          <w:color w:val="auto"/>
        </w:rPr>
        <w:t>NCA – US – Select Management Employees</w:t>
      </w:r>
      <w:r>
        <w:rPr>
          <w:sz w:val="20"/>
          <w:szCs w:val="20"/>
          <w:color w:val="auto"/>
        </w:rPr>
        <w:tab/>
      </w:r>
      <w:r>
        <w:rPr>
          <w:rFonts w:ascii="Times New Roman" w:cs="Times New Roman" w:eastAsia="Times New Roman" w:hAnsi="Times New Roman"/>
          <w:sz w:val="18"/>
          <w:szCs w:val="18"/>
          <w:color w:val="auto"/>
        </w:rPr>
        <w:t>Page 2 of 6</w:t>
      </w:r>
      <w:r>
        <w:rPr>
          <w:sz w:val="20"/>
          <w:szCs w:val="20"/>
          <w:color w:val="auto"/>
        </w:rPr>
        <w:tab/>
      </w:r>
      <w:r>
        <w:rPr>
          <w:rFonts w:ascii="Times New Roman" w:cs="Times New Roman" w:eastAsia="Times New Roman" w:hAnsi="Times New Roman"/>
          <w:sz w:val="18"/>
          <w:szCs w:val="18"/>
          <w:color w:val="auto"/>
        </w:rPr>
        <w:t>Revised 07-27-2021</w:t>
      </w:r>
    </w:p>
    <w:p>
      <w:pPr>
        <w:sectPr>
          <w:pgSz w:w="11900" w:h="16838" w:orient="portrait"/>
          <w:cols w:equalWidth="0" w:num="1">
            <w:col w:w="11024"/>
          </w:cols>
          <w:pgMar w:left="436" w:top="270" w:right="439" w:bottom="1440" w:gutter="0" w:footer="0" w:header="0"/>
        </w:sectPr>
      </w:pPr>
    </w:p>
    <w:bookmarkStart w:id="20" w:name="page21"/>
    <w:bookmarkEnd w:id="20"/>
    <w:p>
      <w:pPr>
        <w:ind w:left="4" w:hanging="4"/>
        <w:spacing w:after="0" w:line="253" w:lineRule="auto"/>
        <w:tabs>
          <w:tab w:leader="none" w:pos="18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Remedies. </w:t>
      </w:r>
      <w:r>
        <w:rPr>
          <w:rFonts w:ascii="Times New Roman" w:cs="Times New Roman" w:eastAsia="Times New Roman" w:hAnsi="Times New Roman"/>
          <w:sz w:val="18"/>
          <w:szCs w:val="18"/>
          <w:color w:val="auto"/>
        </w:rPr>
        <w:t>I acknowledge that a remedy at law for any breach or threatened breach of the provisions of this Agreement would be inadequate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therefore agree that Honeywell shall be entitled to injunctive relief in case of any such breach or threatened breach. I acknowledge and agree Honeywell may apply to any court of law or equity of competent jurisdiction for specific performance and/or injunctive relief (without posting a bond or other security) in order to enforce or prevent any violation of the provisions of this Agreement, and that money damages would not be an adequate remedy for any breach of the provisions of this Agreement. I acknowledge and agree that a violation of this Agreement would cause irreparable harm to Honeywell, and I covenant that I will not assert in any proceeding that a violation or further violation of this Agreement: (i) will not result in irreparable harm to Honeywell; or (ii) could be remedied adequately at law. Honeywell’s right to injunctive relief shall be cumulative and in addition to any other remedies available at law or equity. In the event that a court determines that I have breached this Agreement or enters an order enforcing or upholding any provision of this Agreement, I agree that the post-employment restrictive covenant period shall be tolled during the time period that I was in violation of the covenant so that Honeywell gets the full benefit of the entire restrictive covenant period set forth in Paragraph 1. In the event that a court determines that I have breached or threatened to breach this Agreement, I agree to reimburse Honeywell for all attorneys’ fees and costs incurred in enforcing the terms of this Agreement. However, nothing contained herein shall be construed as prohibiting Honeywell from pursuing any other remedies available for any such breach or threatened breach against me or my new employer, which may also include, but not be limited to, contract damages, lost profits and punitive damages.</w:t>
      </w:r>
    </w:p>
    <w:p>
      <w:pPr>
        <w:spacing w:after="0" w:line="185" w:lineRule="exact"/>
        <w:rPr>
          <w:rFonts w:ascii="Times New Roman" w:cs="Times New Roman" w:eastAsia="Times New Roman" w:hAnsi="Times New Roman"/>
          <w:sz w:val="18"/>
          <w:szCs w:val="18"/>
          <w:b w:val="1"/>
          <w:bCs w:val="1"/>
          <w:color w:val="auto"/>
        </w:rPr>
      </w:pPr>
    </w:p>
    <w:p>
      <w:pPr>
        <w:ind w:left="4" w:right="100" w:hanging="4"/>
        <w:spacing w:after="0" w:line="254" w:lineRule="auto"/>
        <w:tabs>
          <w:tab w:leader="none" w:pos="18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Harm and Injunctive Relief and Permitted Disclosures. </w:t>
      </w:r>
      <w:r>
        <w:rPr>
          <w:rFonts w:ascii="Times New Roman" w:cs="Times New Roman" w:eastAsia="Times New Roman" w:hAnsi="Times New Roman"/>
          <w:sz w:val="18"/>
          <w:szCs w:val="18"/>
          <w:color w:val="auto"/>
        </w:rPr>
        <w:t>I agree and acknowledge that the restrictions contained in this Agreement do not preclude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 from earning a livelihood, nor do they unreasonably impose limitations on my ability to earn a living. I further agree and acknowledge that the potential harm to Honeywell of the non-enforcement of this Agreement outweighs any potential harm to me from its enforcement by injunction or otherwise. I acknowledge that I have carefully read this Agreement and have given careful consideration to the restraints imposed upon me by this Agreement, and am in full accord as to their necessity for the reasonable and proper protection of Honeywell’s legitimate protectable business interests, including the protection of its Confidential Information. I agree and acknowledge that I have been provided adequate and reasonable consideration in exchange for the obligations under this Agreement, including employment or continued employment by Honeywell, goodwill, access or continued access to Honeywell’s Confidential Information, access or continued access to customers, and additional good and valuable consideration. I expressly acknowledge and agree that each and every restraint imposed by this Agreement is reasonable with respect to subject matter, duration and geographical scope.</w:t>
      </w:r>
    </w:p>
    <w:p>
      <w:pPr>
        <w:spacing w:after="0" w:line="189"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 acknowledge that I have been hereby provided notice that federal law provides that an individual shall not be held criminally or civilly liable under any federal or state trade secret law for the disclosure of a trade secret where: (a) the disclosure is made (i) in confidence to a Federal, State, or local government official, either directly or indirectly, or to an attorney; and (ii) solely for the purpose of reporting or investigating a suspected violation of law; or (b) the disclosure is made in a complaint or other document filed in a lawsuit or other proceeding, if such filing is made under seal. Federal law also provides that an individual who files a lawsuit for retaliation by an employer for reporting a suspected violation of law may disclose the trade secret to the attorney of the individual and use the trade secret information in the court proceeding, if the individual (x) files any document containing the trade secret under seal; and (y) does not disclose the trade secret, except pursuant to court order. </w:t>
      </w:r>
      <w:r>
        <w:rPr>
          <w:rFonts w:ascii="Times New Roman" w:cs="Times New Roman" w:eastAsia="Times New Roman" w:hAnsi="Times New Roman"/>
          <w:sz w:val="18"/>
          <w:szCs w:val="18"/>
          <w:b w:val="1"/>
          <w:bCs w:val="1"/>
          <w:color w:val="auto"/>
        </w:rPr>
        <w:t>I understand that in the event it is determined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that disclosure of trade secrets was not done in good faith for the reasons described above, I will be subject to substantial damages, including punitive damages and attorneys’ fees.</w:t>
      </w:r>
    </w:p>
    <w:p>
      <w:pPr>
        <w:spacing w:after="0" w:line="121" w:lineRule="exact"/>
        <w:rPr>
          <w:sz w:val="20"/>
          <w:szCs w:val="20"/>
          <w:color w:val="auto"/>
        </w:rPr>
      </w:pPr>
    </w:p>
    <w:p>
      <w:pPr>
        <w:ind w:left="4"/>
        <w:spacing w:after="0"/>
        <w:tabs>
          <w:tab w:leader="none" w:pos="5324" w:val="left"/>
          <w:tab w:leader="none" w:pos="9524" w:val="left"/>
        </w:tabs>
        <w:rPr>
          <w:sz w:val="20"/>
          <w:szCs w:val="20"/>
          <w:color w:val="auto"/>
        </w:rPr>
      </w:pPr>
      <w:r>
        <w:rPr>
          <w:rFonts w:ascii="Times New Roman" w:cs="Times New Roman" w:eastAsia="Times New Roman" w:hAnsi="Times New Roman"/>
          <w:sz w:val="18"/>
          <w:szCs w:val="18"/>
          <w:color w:val="auto"/>
        </w:rPr>
        <w:t>NCA – US – Select Management Employees</w:t>
      </w:r>
      <w:r>
        <w:rPr>
          <w:sz w:val="20"/>
          <w:szCs w:val="20"/>
          <w:color w:val="auto"/>
        </w:rPr>
        <w:tab/>
      </w:r>
      <w:r>
        <w:rPr>
          <w:rFonts w:ascii="Times New Roman" w:cs="Times New Roman" w:eastAsia="Times New Roman" w:hAnsi="Times New Roman"/>
          <w:sz w:val="18"/>
          <w:szCs w:val="18"/>
          <w:color w:val="auto"/>
        </w:rPr>
        <w:t>Page 3 of 6</w:t>
      </w:r>
      <w:r>
        <w:rPr>
          <w:sz w:val="20"/>
          <w:szCs w:val="20"/>
          <w:color w:val="auto"/>
        </w:rPr>
        <w:tab/>
      </w:r>
      <w:r>
        <w:rPr>
          <w:rFonts w:ascii="Times New Roman" w:cs="Times New Roman" w:eastAsia="Times New Roman" w:hAnsi="Times New Roman"/>
          <w:sz w:val="18"/>
          <w:szCs w:val="18"/>
          <w:color w:val="auto"/>
        </w:rPr>
        <w:t>Revised 07-27-2021</w:t>
      </w:r>
    </w:p>
    <w:p>
      <w:pPr>
        <w:sectPr>
          <w:pgSz w:w="11900" w:h="16838" w:orient="portrait"/>
          <w:cols w:equalWidth="0" w:num="1">
            <w:col w:w="11024"/>
          </w:cols>
          <w:pgMar w:left="436" w:top="266" w:right="439" w:bottom="1440" w:gutter="0" w:footer="0" w:header="0"/>
        </w:sectPr>
      </w:pPr>
    </w:p>
    <w:bookmarkStart w:id="21" w:name="page22"/>
    <w:bookmarkEnd w:id="21"/>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provisions of this Agreement are consistent with and do not supersede, conflict with, or otherwise alter any employee’s obligations, rights, or liabilities created by existing statute or Executive Order relating to (i) classified information, (ii) communications to Congress, (iii) the reporting to an Inspector General of a violation of any law, rule, or regulation, or mismanagement, a gross waste of funds, an abuse of authority, or a substantial and specific danger to public health or safety, or (iv) any other whistleblower protection. The definitions, requirements, obligations, rights, sanctions, and liabilities created by controlling Executive Orders and statutory provisions relating to these protections are incorporated into this Agreement and are controlling.</w:t>
      </w:r>
    </w:p>
    <w:p>
      <w:pPr>
        <w:spacing w:after="0" w:line="183" w:lineRule="exact"/>
        <w:rPr>
          <w:sz w:val="20"/>
          <w:szCs w:val="20"/>
          <w:color w:val="auto"/>
        </w:rPr>
      </w:pPr>
    </w:p>
    <w:p>
      <w:pPr>
        <w:ind w:left="4" w:right="100" w:hanging="4"/>
        <w:spacing w:after="0" w:line="253" w:lineRule="auto"/>
        <w:tabs>
          <w:tab w:leader="none" w:pos="18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Binding Agreement, Amendment, Successors. </w:t>
      </w:r>
      <w:r>
        <w:rPr>
          <w:rFonts w:ascii="Times New Roman" w:cs="Times New Roman" w:eastAsia="Times New Roman" w:hAnsi="Times New Roman"/>
          <w:sz w:val="18"/>
          <w:szCs w:val="18"/>
          <w:color w:val="auto"/>
        </w:rPr>
        <w:t>I acknowledge that the provisions of this Agreement are in addition to, and in no way intended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 restrict or narrow any prior or existing employment or other agreement with Honeywell. This Agreement does not replace or supersede any prior or existing employment or other agreement with Honeywell, but rather, shall be read in conjunction with such prior or existing agreements and shall be interpreted in a manner to provide Honeywell the maximum protection provided by all agreements I have with Honeywell. The terms of the restrictions in Paragraph 1 and the other terms in this Agreement are to be read consistent with the terms of any other noncompete or other agreements that I have executed with Honeywell; provided, however, to the extent there is a conflict between/among such agreements, such agreements shall be construed as providing the broadest possible protections to Honeywell, even if such construction would require provisions of more than one such agreement to be given effect. No waiver of this Agreement will be effective unless it is in writing and signed by Honeywell’s chief human resources officer or his/her designee. This Agreement may not be superseded or amended by any other agreement between myself and Honeywell unless such agreement specifically and expressly states that it is intended to supersede this Agreement and is executed by Honeywell’s chief human resources officer or his/her designee. This Agreement binds my heirs, executors, administrators, legal representatives and assigns and inures to the benefit of Honeywell and its successors and assigns.</w:t>
      </w:r>
    </w:p>
    <w:p>
      <w:pPr>
        <w:spacing w:after="0" w:line="189" w:lineRule="exact"/>
        <w:rPr>
          <w:rFonts w:ascii="Times New Roman" w:cs="Times New Roman" w:eastAsia="Times New Roman" w:hAnsi="Times New Roman"/>
          <w:sz w:val="18"/>
          <w:szCs w:val="18"/>
          <w:b w:val="1"/>
          <w:bCs w:val="1"/>
          <w:color w:val="auto"/>
        </w:rPr>
      </w:pPr>
    </w:p>
    <w:p>
      <w:pPr>
        <w:ind w:left="4" w:right="340" w:hanging="4"/>
        <w:spacing w:after="0" w:line="286" w:lineRule="auto"/>
        <w:tabs>
          <w:tab w:leader="none" w:pos="18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Acknowledgement of Receipt. </w:t>
      </w:r>
      <w:r>
        <w:rPr>
          <w:rFonts w:ascii="Times New Roman" w:cs="Times New Roman" w:eastAsia="Times New Roman" w:hAnsi="Times New Roman"/>
          <w:sz w:val="18"/>
          <w:szCs w:val="18"/>
          <w:color w:val="auto"/>
        </w:rPr>
        <w:t>I acknowledge that I received a copy of this Agreement prior to accepting my transfer, promotion, or hire into my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role and that execution of this Agreement was an express condition of such transfer, promotion, or hire.</w:t>
      </w:r>
    </w:p>
    <w:p>
      <w:pPr>
        <w:spacing w:after="0" w:line="154" w:lineRule="exact"/>
        <w:rPr>
          <w:rFonts w:ascii="Times New Roman" w:cs="Times New Roman" w:eastAsia="Times New Roman" w:hAnsi="Times New Roman"/>
          <w:sz w:val="18"/>
          <w:szCs w:val="18"/>
          <w:b w:val="1"/>
          <w:bCs w:val="1"/>
          <w:color w:val="auto"/>
        </w:rPr>
      </w:pPr>
    </w:p>
    <w:p>
      <w:pPr>
        <w:jc w:val="both"/>
        <w:ind w:left="4" w:right="20" w:hanging="4"/>
        <w:spacing w:after="0" w:line="268" w:lineRule="auto"/>
        <w:tabs>
          <w:tab w:leader="none" w:pos="18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Effectiveness of Agreement. </w:t>
      </w:r>
      <w:r>
        <w:rPr>
          <w:rFonts w:ascii="Times New Roman" w:cs="Times New Roman" w:eastAsia="Times New Roman" w:hAnsi="Times New Roman"/>
          <w:sz w:val="18"/>
          <w:szCs w:val="18"/>
          <w:color w:val="auto"/>
        </w:rPr>
        <w:t>This Agreement becomes effective when I sign it. The obligations under it continue throughout the entire period of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am employed by Honeywell, without regard to the business within Honeywell with which I am associated and these obligations will continue after, and survive, the end of my employment with Honeywell.</w:t>
      </w:r>
    </w:p>
    <w:p>
      <w:pPr>
        <w:spacing w:after="0" w:line="170" w:lineRule="exact"/>
        <w:rPr>
          <w:rFonts w:ascii="Times New Roman" w:cs="Times New Roman" w:eastAsia="Times New Roman" w:hAnsi="Times New Roman"/>
          <w:sz w:val="18"/>
          <w:szCs w:val="18"/>
          <w:b w:val="1"/>
          <w:bCs w:val="1"/>
          <w:color w:val="auto"/>
        </w:rPr>
      </w:pPr>
    </w:p>
    <w:p>
      <w:pPr>
        <w:jc w:val="both"/>
        <w:ind w:left="4" w:right="160" w:hanging="4"/>
        <w:spacing w:after="0" w:line="268" w:lineRule="auto"/>
        <w:tabs>
          <w:tab w:leader="none" w:pos="18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Future Employers. </w:t>
      </w:r>
      <w:r>
        <w:rPr>
          <w:rFonts w:ascii="Times New Roman" w:cs="Times New Roman" w:eastAsia="Times New Roman" w:hAnsi="Times New Roman"/>
          <w:sz w:val="18"/>
          <w:szCs w:val="18"/>
          <w:color w:val="auto"/>
        </w:rPr>
        <w:t>For the period of two (2) years immediately following the end of my employment with Honeywell, I will inform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prospective employer, prior to accepting employment, of the existence of this Agreement and provide that prospective employer with a copy of it. Honeywell has the right to inform any future employer of the existence of this Agreement and to provide any future employers with a copy of it.</w:t>
      </w:r>
    </w:p>
    <w:p>
      <w:pPr>
        <w:spacing w:after="0" w:line="107" w:lineRule="exact"/>
        <w:rPr>
          <w:sz w:val="20"/>
          <w:szCs w:val="20"/>
          <w:color w:val="auto"/>
        </w:rPr>
      </w:pPr>
    </w:p>
    <w:p>
      <w:pPr>
        <w:ind w:left="4"/>
        <w:spacing w:after="0"/>
        <w:tabs>
          <w:tab w:leader="none" w:pos="5324" w:val="left"/>
          <w:tab w:leader="none" w:pos="9524" w:val="left"/>
        </w:tabs>
        <w:rPr>
          <w:sz w:val="20"/>
          <w:szCs w:val="20"/>
          <w:color w:val="auto"/>
        </w:rPr>
      </w:pPr>
      <w:r>
        <w:rPr>
          <w:rFonts w:ascii="Times New Roman" w:cs="Times New Roman" w:eastAsia="Times New Roman" w:hAnsi="Times New Roman"/>
          <w:sz w:val="18"/>
          <w:szCs w:val="18"/>
          <w:color w:val="auto"/>
        </w:rPr>
        <w:t>NCA – US – Select Management Employees</w:t>
      </w:r>
      <w:r>
        <w:rPr>
          <w:sz w:val="20"/>
          <w:szCs w:val="20"/>
          <w:color w:val="auto"/>
        </w:rPr>
        <w:tab/>
      </w:r>
      <w:r>
        <w:rPr>
          <w:rFonts w:ascii="Times New Roman" w:cs="Times New Roman" w:eastAsia="Times New Roman" w:hAnsi="Times New Roman"/>
          <w:sz w:val="18"/>
          <w:szCs w:val="18"/>
          <w:color w:val="auto"/>
        </w:rPr>
        <w:t>Page 4 of 6</w:t>
      </w:r>
      <w:r>
        <w:rPr>
          <w:sz w:val="20"/>
          <w:szCs w:val="20"/>
          <w:color w:val="auto"/>
        </w:rPr>
        <w:tab/>
      </w:r>
      <w:r>
        <w:rPr>
          <w:rFonts w:ascii="Times New Roman" w:cs="Times New Roman" w:eastAsia="Times New Roman" w:hAnsi="Times New Roman"/>
          <w:sz w:val="18"/>
          <w:szCs w:val="18"/>
          <w:color w:val="auto"/>
        </w:rPr>
        <w:t>Revised 07-27-2021</w:t>
      </w:r>
    </w:p>
    <w:p>
      <w:pPr>
        <w:sectPr>
          <w:pgSz w:w="11900" w:h="16838" w:orient="portrait"/>
          <w:cols w:equalWidth="0" w:num="1">
            <w:col w:w="11024"/>
          </w:cols>
          <w:pgMar w:left="436" w:top="270" w:right="439" w:bottom="1440" w:gutter="0" w:footer="0" w:header="0"/>
        </w:sectPr>
      </w:pPr>
    </w:p>
    <w:bookmarkStart w:id="22" w:name="page23"/>
    <w:bookmarkEnd w:id="22"/>
    <w:p>
      <w:pPr>
        <w:ind w:left="4" w:right="120" w:hanging="4"/>
        <w:spacing w:after="0" w:line="268" w:lineRule="auto"/>
        <w:tabs>
          <w:tab w:leader="none" w:pos="18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Governing Law and Venue. </w:t>
      </w:r>
      <w:r>
        <w:rPr>
          <w:rFonts w:ascii="Times New Roman" w:cs="Times New Roman" w:eastAsia="Times New Roman" w:hAnsi="Times New Roman"/>
          <w:sz w:val="18"/>
          <w:szCs w:val="18"/>
          <w:color w:val="auto"/>
        </w:rPr>
        <w:t>This Agreement shall be governed by and construed in accordance with the laws of the State of North Carolina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 to its principles of conflicts of law. I hereby consent to the exclusive jurisdiction and venue in the federal and state courts of the State of North Carolina, Mecklenburg County, for the resolution of all disputes arising under, or relating to, this Agreement.</w:t>
      </w:r>
    </w:p>
    <w:p>
      <w:pPr>
        <w:spacing w:after="0" w:line="278"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Definitions.</w:t>
      </w:r>
    </w:p>
    <w:p>
      <w:pPr>
        <w:spacing w:after="0" w:line="121"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“Confidential Information” means information that is not generally known in the industry in which Honeywell is engaged, which may be disclosed to me or which I may learn, observe, discover or otherwise acquire during, or as a result of, my employment by Honeywell and which includes, without limitation, any information, whether patentable, patented or not, relating to any existing or contemplated products, inventions, services, technology, ideas, concepts, designs, patterns, processes, compounds, formulae, programs, devices, tools, compilations of information, methods, techniques, and including information relating to any research, development, manufacture, purchasing, engineering, know-how, business plans, sales or market methods, methods of doing business, business systems, strategic plans, plans for acquisition or disposition of products, expansion plans, financial status and plans, financial data, personnel information, customer lists or data, customer usages or requirements, or supplier information, which is owned or licensed by Honeywell or held by Honeywell in confidence.</w:t>
      </w:r>
    </w:p>
    <w:p>
      <w:pPr>
        <w:spacing w:after="0" w:line="192" w:lineRule="exact"/>
        <w:rPr>
          <w:sz w:val="20"/>
          <w:szCs w:val="20"/>
          <w:color w:val="auto"/>
        </w:rPr>
      </w:pPr>
    </w:p>
    <w:p>
      <w:pPr>
        <w:ind w:left="4" w:right="460" w:firstLine="440"/>
        <w:spacing w:after="0" w:line="266" w:lineRule="auto"/>
        <w:rPr>
          <w:sz w:val="20"/>
          <w:szCs w:val="20"/>
          <w:color w:val="auto"/>
        </w:rPr>
      </w:pPr>
      <w:r>
        <w:rPr>
          <w:rFonts w:ascii="Times New Roman" w:cs="Times New Roman" w:eastAsia="Times New Roman" w:hAnsi="Times New Roman"/>
          <w:sz w:val="18"/>
          <w:szCs w:val="18"/>
          <w:color w:val="auto"/>
        </w:rPr>
        <w:t>“Honeywell” collectively identifies Honeywell International Inc. (a Delaware corporation having its headquarters in Charlotte, Mecklenburg County, North Carolina), its predecessors, designees and successors and its past, present and future operating companies, divisions, subsidiaries, affiliates and other business units, including businesses acquired by purchase of assets, stock, merger or otherwise.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“Look Back Period” means the two (2) year period ending on the date of my Termination of Employment.</w:t>
      </w:r>
    </w:p>
    <w:p>
      <w:pPr>
        <w:spacing w:after="0" w:line="225"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“Termination of Employment” means any separation from employment with Honeywell regardless of the reason, including any and all voluntary and involuntary reasons for termination. The termination date for purposes of this Agreement shall be the last day I actively perform services for Honeywell.</w:t>
      </w:r>
    </w:p>
    <w:p>
      <w:pPr>
        <w:spacing w:after="0" w:line="172" w:lineRule="exact"/>
        <w:rPr>
          <w:sz w:val="20"/>
          <w:szCs w:val="20"/>
          <w:color w:val="auto"/>
        </w:rPr>
      </w:pPr>
    </w:p>
    <w:p>
      <w:pPr>
        <w:ind w:left="4" w:right="540" w:hanging="4"/>
        <w:spacing w:after="0" w:line="286" w:lineRule="auto"/>
        <w:tabs>
          <w:tab w:leader="none" w:pos="26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Headings. </w:t>
      </w:r>
      <w:r>
        <w:rPr>
          <w:rFonts w:ascii="Times New Roman" w:cs="Times New Roman" w:eastAsia="Times New Roman" w:hAnsi="Times New Roman"/>
          <w:sz w:val="18"/>
          <w:szCs w:val="18"/>
          <w:color w:val="auto"/>
        </w:rPr>
        <w:t>The headings of the paragraphs of this Agreement are inserted for convenience only and shall not in any way affect the meaning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of this Agreement.</w:t>
      </w:r>
    </w:p>
    <w:p>
      <w:pPr>
        <w:spacing w:after="0" w:line="159"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I have carefully read this Agreement. I understand and accept its terms. I understand and agree that I will continue to be bound by the provisions of this Agreement after my employment with Honeywell has ended.</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 Vimal Kapur</w:t>
            </w:r>
          </w:p>
        </w:tc>
        <w:tc>
          <w:tcPr>
            <w:tcW w:w="3740" w:type="dxa"/>
            <w:vAlign w:val="bottom"/>
          </w:tcPr>
          <w:p>
            <w:pPr>
              <w:spacing w:after="0"/>
              <w:rPr>
                <w:sz w:val="20"/>
                <w:szCs w:val="20"/>
                <w:color w:val="auto"/>
              </w:rPr>
            </w:pP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27, 2022</w:t>
            </w:r>
          </w:p>
        </w:tc>
      </w:tr>
      <w:tr>
        <w:trPr>
          <w:trHeight w:val="232"/>
        </w:trPr>
        <w:tc>
          <w:tcPr>
            <w:tcW w:w="3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VIMAL KAPUR (E207366)</w:t>
            </w:r>
          </w:p>
        </w:tc>
        <w:tc>
          <w:tcPr>
            <w:tcW w:w="3740" w:type="dxa"/>
            <w:vAlign w:val="bottom"/>
          </w:tcPr>
          <w:p>
            <w:pPr>
              <w:spacing w:after="0"/>
              <w:rPr>
                <w:sz w:val="20"/>
                <w:szCs w:val="20"/>
                <w:color w:val="auto"/>
              </w:rPr>
            </w:pPr>
          </w:p>
        </w:tc>
        <w:tc>
          <w:tcPr>
            <w:tcW w:w="3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0" w:type="dxa"/>
            <w:vAlign w:val="bottom"/>
          </w:tcPr>
          <w:p>
            <w:pPr>
              <w:spacing w:after="0"/>
              <w:rPr>
                <w:sz w:val="20"/>
                <w:szCs w:val="20"/>
                <w:color w:val="auto"/>
              </w:rPr>
            </w:pPr>
          </w:p>
        </w:tc>
      </w:tr>
      <w:tr>
        <w:trPr>
          <w:trHeight w:val="35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NCA – US – Select Management Employees</w:t>
            </w:r>
          </w:p>
        </w:tc>
        <w:tc>
          <w:tcPr>
            <w:tcW w:w="37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Page 5 of 6</w:t>
            </w:r>
          </w:p>
        </w:tc>
        <w:tc>
          <w:tcPr>
            <w:tcW w:w="34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Revised 07-27-2021</w:t>
            </w:r>
          </w:p>
        </w:tc>
      </w:tr>
    </w:tbl>
    <w:p>
      <w:pPr>
        <w:sectPr>
          <w:pgSz w:w="11900" w:h="16838" w:orient="portrait"/>
          <w:cols w:equalWidth="0" w:num="1">
            <w:col w:w="11024"/>
          </w:cols>
          <w:pgMar w:left="436" w:top="266" w:right="4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ADDENDUM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NONCOMPETE AGREEMENT FOR SELECT MANAGEMENT EMPLOYEES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VIMAL KAPUR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EMPLOYED AS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OPERATING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HONEYWELL INTERNATIONAL INC.</w:t>
      </w:r>
    </w:p>
    <w:p>
      <w:pPr>
        <w:spacing w:after="0" w:line="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Paragraph 1 of your Honeywell International Noncompete Agreement for Select Management Employees (“Noncompete Agreement”), this Addendum contains a list, for illustration purposes only, of specific competitors that are considered a “Competing Business,” as that term is used in your Noncompete Agreement, and are therefore covered by the restrictions contained in Paragraph 1 of your Noncompete Agreement. This list is not an exhaustive list and is not intended to include all of Honeywell’s, or your specific business’ or unit’s, current or future competitors, which you acknowledge in Paragraph 1 of your Noncompete Agreement may include other persons or entities now or in the future.</w:t>
      </w:r>
    </w:p>
    <w:p>
      <w:pPr>
        <w:spacing w:after="0" w:line="183"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Based on your current role and responsibilities with Honeywell International Inc.as its President and Chief Operating Officer, the following companies are considered key competitors and therefore fall within the definition of a Competing Business, as that term is used in your Noncompete Agreement:</w:t>
      </w:r>
    </w:p>
    <w:p>
      <w:pPr>
        <w:spacing w:after="0" w:line="24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7"/>
          <w:szCs w:val="17"/>
          <w:b w:val="1"/>
          <w:bCs w:val="1"/>
          <w:color w:val="auto"/>
        </w:rPr>
        <w:t>Illinois Tool Works, Danaher, General Electric, Raytheon Technologies, Lockheed Martin, Northrop Grumman, Garmin, Thales, Williams, Emerson, Invensys, Johnson Controls, Schneider Electric, Aveva, Siemens, Yamatake, Trane Technologies, Rockwell Automation, Carrier Global Corporation, Bosch, Mine Safety Appliances, 3M, Tyco, ABB, Yokogawa, Philips, Motorola Solutions, Zebra Technologies, Arkema, Axens, BASF, DSM, Dupont, Shell/Criterion, Albemarle, Sinopec, Chevron Lummus Global, Solvay, Fluor, Celanese</w:t>
      </w:r>
    </w:p>
    <w:p>
      <w:pPr>
        <w:spacing w:after="0" w:line="5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previously noted, this is not an exhaustive list and there may be other current and future persons or entities that would meet the definition of a Competing Business, as set forth in your Noncompete Agreement. In addition, pursuant to Paragraph 1 of your Noncompete Agreement, please note that the term Competing Business, as defined in your Noncompete Agreement, will include competitors of any Honeywell business in which you have worked in a job subject to a noncompete agreement during the Look Back Period (as defined in your Noncompete Agreement). Accordingly, if you worked in multiple Honeywell businesses in covered positions during your tenure, it is very likely that the list of Competing Businesses subject to restriction under the terms of your Noncompete Agreement will be broader than the above illustrative list. If you have questions about whether any prior Honeywell position which you have held during the Look Back Period subjects you to similar restrictions, and will be used to identify Competing Business(es), you should contact your Human Resource representative.</w:t>
      </w:r>
    </w:p>
    <w:p>
      <w:pPr>
        <w:spacing w:after="0" w:line="200" w:lineRule="exact"/>
        <w:rPr>
          <w:sz w:val="20"/>
          <w:szCs w:val="20"/>
          <w:color w:val="auto"/>
        </w:rPr>
      </w:pPr>
    </w:p>
    <w:p>
      <w:pPr>
        <w:spacing w:after="0" w:line="289" w:lineRule="exact"/>
        <w:rPr>
          <w:sz w:val="20"/>
          <w:szCs w:val="20"/>
          <w:color w:val="auto"/>
        </w:rPr>
      </w:pPr>
    </w:p>
    <w:p>
      <w:pPr>
        <w:spacing w:after="0"/>
        <w:tabs>
          <w:tab w:leader="none" w:pos="5320" w:val="left"/>
          <w:tab w:leader="none" w:pos="9520" w:val="left"/>
        </w:tabs>
        <w:rPr>
          <w:sz w:val="20"/>
          <w:szCs w:val="20"/>
          <w:color w:val="auto"/>
        </w:rPr>
      </w:pPr>
      <w:r>
        <w:rPr>
          <w:rFonts w:ascii="Times New Roman" w:cs="Times New Roman" w:eastAsia="Times New Roman" w:hAnsi="Times New Roman"/>
          <w:sz w:val="18"/>
          <w:szCs w:val="18"/>
          <w:color w:val="auto"/>
        </w:rPr>
        <w:t>NCA – US – Select Management Employees</w:t>
      </w:r>
      <w:r>
        <w:rPr>
          <w:sz w:val="20"/>
          <w:szCs w:val="20"/>
          <w:color w:val="auto"/>
        </w:rPr>
        <w:tab/>
      </w:r>
      <w:r>
        <w:rPr>
          <w:rFonts w:ascii="Times New Roman" w:cs="Times New Roman" w:eastAsia="Times New Roman" w:hAnsi="Times New Roman"/>
          <w:sz w:val="18"/>
          <w:szCs w:val="18"/>
          <w:color w:val="auto"/>
        </w:rPr>
        <w:t>Page 6 of 6</w:t>
      </w:r>
      <w:r>
        <w:rPr>
          <w:sz w:val="20"/>
          <w:szCs w:val="20"/>
          <w:color w:val="auto"/>
        </w:rPr>
        <w:tab/>
      </w:r>
      <w:r>
        <w:rPr>
          <w:rFonts w:ascii="Times New Roman" w:cs="Times New Roman" w:eastAsia="Times New Roman" w:hAnsi="Times New Roman"/>
          <w:sz w:val="18"/>
          <w:szCs w:val="18"/>
          <w:color w:val="auto"/>
        </w:rPr>
        <w:t>Revised 07-27-2021</w:t>
      </w:r>
    </w:p>
    <w:p>
      <w:pPr>
        <w:sectPr>
          <w:pgSz w:w="11900" w:h="16838" w:orient="portrait"/>
          <w:cols w:equalWidth="0" w:num="1">
            <w:col w:w="11020"/>
          </w:cols>
          <w:pgMar w:left="440" w:top="266"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EID: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Document Category: </w:t>
      </w:r>
      <w:r>
        <w:rPr>
          <w:rFonts w:ascii="Times New Roman" w:cs="Times New Roman" w:eastAsia="Times New Roman" w:hAnsi="Times New Roman"/>
          <w:sz w:val="18"/>
          <w:szCs w:val="18"/>
          <w:color w:val="auto"/>
        </w:rPr>
        <w:t>Hiring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Document Type: </w:t>
      </w:r>
      <w:r>
        <w:rPr>
          <w:rFonts w:ascii="Times New Roman" w:cs="Times New Roman" w:eastAsia="Times New Roman" w:hAnsi="Times New Roman"/>
          <w:sz w:val="18"/>
          <w:szCs w:val="18"/>
          <w:color w:val="auto"/>
        </w:rPr>
        <w:t>Noncompete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Employee File Management Purpose Only</w:t>
      </w:r>
    </w:p>
    <w:p>
      <w:pPr>
        <w:sectPr>
          <w:pgSz w:w="11900" w:h="16838" w:orient="portrait"/>
          <w:cols w:equalWidth="0" w:num="1">
            <w:col w:w="10019"/>
          </w:cols>
          <w:pgMar w:left="440" w:top="266" w:right="1440"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757045" cy="3511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570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Contacts:</w:t>
            </w:r>
          </w:p>
        </w:tc>
        <w:tc>
          <w:tcPr>
            <w:tcW w:w="78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14"/>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Media</w:t>
            </w:r>
          </w:p>
        </w:tc>
        <w:tc>
          <w:tcPr>
            <w:tcW w:w="300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Investor Relations</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Bevin Maguire</w:t>
            </w:r>
          </w:p>
        </w:tc>
        <w:tc>
          <w:tcPr>
            <w:tcW w:w="30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Sean Meakim</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(704) 654-7023</w:t>
            </w:r>
          </w:p>
        </w:tc>
        <w:tc>
          <w:tcPr>
            <w:tcW w:w="30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(704) 627-6200</w:t>
            </w:r>
          </w:p>
        </w:tc>
      </w:tr>
      <w:tr>
        <w:trPr>
          <w:trHeight w:val="194"/>
        </w:trPr>
        <w:tc>
          <w:tcPr>
            <w:tcW w:w="23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bevin.maguire@honeywell.com</w:t>
            </w:r>
          </w:p>
        </w:tc>
        <w:tc>
          <w:tcPr>
            <w:tcW w:w="780" w:type="dxa"/>
            <w:vAlign w:val="bottom"/>
          </w:tcPr>
          <w:p>
            <w:pPr>
              <w:spacing w:after="0"/>
              <w:rPr>
                <w:sz w:val="16"/>
                <w:szCs w:val="16"/>
                <w:color w:val="auto"/>
              </w:rPr>
            </w:pPr>
          </w:p>
        </w:tc>
        <w:tc>
          <w:tcPr>
            <w:tcW w:w="222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sean.meakim@honeywell.com</w:t>
            </w:r>
          </w:p>
        </w:tc>
      </w:tr>
    </w:tbl>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HONEYWELL NAMES VIMAL KAPUR PRESIDENT AND CHIEF OPERATING OFFICER</w:t>
      </w:r>
    </w:p>
    <w:p>
      <w:pPr>
        <w:spacing w:after="0" w:line="133" w:lineRule="exact"/>
        <w:rPr>
          <w:sz w:val="20"/>
          <w:szCs w:val="20"/>
          <w:color w:val="auto"/>
        </w:rPr>
      </w:pPr>
    </w:p>
    <w:p>
      <w:pPr>
        <w:ind w:left="424" w:right="20" w:hanging="424"/>
        <w:spacing w:after="0" w:line="284"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Kapur to drive execution of key sustainability and digitalization strategic initiatives and advance integration of Honeywell Accelerator throughout the organization</w:t>
      </w:r>
    </w:p>
    <w:p>
      <w:pPr>
        <w:spacing w:after="0" w:line="63" w:lineRule="exact"/>
        <w:rPr>
          <w:rFonts w:ascii="Times New Roman" w:cs="Times New Roman" w:eastAsia="Times New Roman" w:hAnsi="Times New Roman"/>
          <w:sz w:val="18"/>
          <w:szCs w:val="18"/>
          <w:color w:val="auto"/>
        </w:rPr>
      </w:pPr>
    </w:p>
    <w:p>
      <w:pPr>
        <w:ind w:left="424" w:right="560" w:hanging="424"/>
        <w:spacing w:after="0" w:line="284"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provides Honeywell Chairman and CEO Darius Adamczyk with additional flexibility to focus on overarching strategic and tactical objectives – with more time for business development, customer engagement and people development</w:t>
      </w:r>
    </w:p>
    <w:p>
      <w:pPr>
        <w:spacing w:after="0" w:line="156" w:lineRule="exact"/>
        <w:rPr>
          <w:sz w:val="20"/>
          <w:szCs w:val="20"/>
          <w:color w:val="auto"/>
        </w:rPr>
      </w:pPr>
    </w:p>
    <w:p>
      <w:pPr>
        <w:jc w:val="both"/>
        <w:ind w:left="4" w:right="2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CHARLOTTE, N.C. July 28, 2022 / PRNewswire/ — Honeywell </w:t>
      </w:r>
      <w:r>
        <w:rPr>
          <w:rFonts w:ascii="Times New Roman" w:cs="Times New Roman" w:eastAsia="Times New Roman" w:hAnsi="Times New Roman"/>
          <w:sz w:val="18"/>
          <w:szCs w:val="18"/>
          <w:b w:val="1"/>
          <w:bCs w:val="1"/>
          <w:color w:val="auto"/>
        </w:rPr>
        <w:t>(NASDAQ: HON)</w:t>
      </w:r>
      <w:r>
        <w:rPr>
          <w:rFonts w:ascii="Times New Roman" w:cs="Times New Roman" w:eastAsia="Times New Roman" w:hAnsi="Times New Roman"/>
          <w:sz w:val="18"/>
          <w:szCs w:val="18"/>
          <w:color w:val="auto"/>
        </w:rPr>
        <w:t xml:space="preserve"> today announced that Vimal Kapur, current President and CEO of Honeywell Performance Materials and Technologies (PMT), has been appointed to the role of President and Chief Operating Officer (COO), effective immediately. The presidents of all Honeywell Strategic Business Groups will report to Kapur in his new role, while Kapur and all functional leaders will continue to report to Chairman and CEO Darius Adamczyk.</w:t>
      </w:r>
    </w:p>
    <w:p>
      <w:pPr>
        <w:spacing w:after="0" w:line="180"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Kapur, 56, has over three decades of experience across various Honeywell businesses and, as COO, will work closely with Adamczyk to drive the continued profitable growth of Honeywell’s operating businesses. This includes creating new solutions to help customers drive their sustainability transformations and accelerate their digital transformation journeys. Kapur will also oversee the continued integration of Honeywell’s operating system, “Honeywell Accelerator,” across the organization and further its adoption as a learning tool for all Honeywell employees.</w:t>
      </w:r>
    </w:p>
    <w:p>
      <w:pPr>
        <w:spacing w:after="0" w:line="180" w:lineRule="exact"/>
        <w:rPr>
          <w:sz w:val="20"/>
          <w:szCs w:val="20"/>
          <w:color w:val="auto"/>
        </w:rPr>
      </w:pPr>
    </w:p>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“Vimal is uniquely qualified for this role, having proven his operational capabilities across many different industries, business models, regions, and business cycles,” said Adamczyk. “Vimal has served Honeywell customers for 33 years, and in that time has achieved a deep understanding of the Honeywell portfolio, our end markets, and our customers’ needs. He has successfully driven sustainability and digitalization solutions across our portfolio. I look forward to partnering with Vimal to strengthen our execution and drive further value creation for our customers and shareowners.”</w:t>
      </w:r>
    </w:p>
    <w:p>
      <w:pPr>
        <w:spacing w:after="0" w:line="180"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Adamczyk continued, “As Honeywell continues creating new solutions to make businesses more efficient and sustainable – which are paramount for our customers and the future of the planet – this is the perfect time to bring</w:t>
      </w:r>
    </w:p>
    <w:p>
      <w:pPr>
        <w:sectPr>
          <w:pgSz w:w="11900" w:h="16838" w:orient="portrait"/>
          <w:cols w:equalWidth="0" w:num="1">
            <w:col w:w="11024"/>
          </w:cols>
          <w:pgMar w:left="436" w:top="121" w:right="439" w:bottom="1440" w:gutter="0" w:footer="0" w:header="0"/>
        </w:sectPr>
      </w:pPr>
    </w:p>
    <w:bookmarkStart w:id="26" w:name="page27"/>
    <w:bookmarkEnd w:id="26"/>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Vimal into the COO role. His appointment provides me the additional bandwidth to prioritize overarching strategy, business development, customer engagement and people development. With this focus and a strong team in place, Honeywell is well positioned to expand our crucial partnerships with the customers and industries we serve.”</w:t>
      </w:r>
    </w:p>
    <w:p>
      <w:pPr>
        <w:spacing w:after="0" w:line="176"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“I’m honored to step into the COO role, where my initial priorities will be to support Darius with a key focus on our sustainability and digitalization solutions,” Kapur said. “By building on and expanding the use of Honeywell Accelerator, we will be able to integrate and innovate with greater speed across our lines of business. These ongoing efforts are at the core of our growth opportunities and, looking ahead, will enable us to advance our collective success.”</w:t>
      </w:r>
    </w:p>
    <w:p>
      <w:pPr>
        <w:spacing w:after="0" w:line="180"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Kapur will continue to perform the role of President and CEO of Honeywell PMT, a business group that develops process technologies, automation solutions, advanced materials, and industrial software, until his successor is named.</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Under Kapur’s leadership as President and CEO of PMT, the business continues to rapidly pivot its portfolio to sustainable offerings in circularity, energy evolution, environmental transformation, resiliency, and accountability. This includes launching innovative technologies and partnerships with Avangard Innovative and Sacyr with new plastics recycling technology and with TotalEnergies for a petrochemical offtake company. In addition, Kapur and his team introduced large scale renewable energy storage for wind and solar usage with Duke Energy and helped Walmart and AstraZeneca lower their carbon footprint and improve energy efficiency with the Solstice Line of products. The PMT business currently has 20,000 employees and operates in more than 100 countries globally.</w:t>
      </w:r>
    </w:p>
    <w:p>
      <w:pPr>
        <w:spacing w:after="0" w:line="187"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Additionally, Kapur served for three years as President and CEO of Honeywell Building Technologies (HBT), with leading offerings that improve energy performance, air quality, and the safety and security of commercial buildings in more than 10 million buildings worldwide. Under his leadership, the HBT business successfully launched the Healthy Building portfolio and expanded margins by ~200 basis points over three years.</w:t>
      </w:r>
    </w:p>
    <w:p>
      <w:pPr>
        <w:spacing w:after="0" w:line="17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Before HBT, Kapur also held the role of President of Honeywell Process Solutions where he led the business through the oil and gas downturn. Over a three-year period, Kapur was able to increase sales by 6%, expand margins by over 400 basis points and grow cash margins by 860 basis points to over 17%.</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Prior to that, he was Vice President and General Manager of the Advanced Solutions line of business, where he built the foundation of an outcome-driven software business, successfully integrating our Matrikon acquisition into Honeywell. Additionally, he has held several other leadership positions, including Managing Director for Honeywell Automation India Limited.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Kapur graduated from the Thapar Institute of Engineering in Patiala, India, as an electronics engineer, with a specialization in instrumentation.</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Honeywell (www.honeywell.com) is a Fortune 100 technology company that delivers industry-specific solutions that include aerospace products and services; control technologies for buildings and industry; and performance materials globally. Our technologies help aircraft, buildings, manufacturing plants, supply chains, and workers become more connected to make our world smarter, safer, and more sustainable. For more news and information on Honeywell, please visit www.honeywell.com/newsroom.</w:t>
      </w:r>
    </w:p>
    <w:p>
      <w:pPr>
        <w:sectPr>
          <w:pgSz w:w="11900" w:h="16838" w:orient="portrait"/>
          <w:cols w:equalWidth="0" w:num="1">
            <w:col w:w="10980"/>
          </w:cols>
          <w:pgMar w:left="440" w:top="270" w:right="479" w:bottom="1440" w:gutter="0" w:footer="0" w:header="0"/>
        </w:sectPr>
      </w:pPr>
    </w:p>
    <w:bookmarkStart w:id="27" w:name="page28"/>
    <w:bookmarkEnd w:id="2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release contains certain statements that may be deemed “forward-looking statements” within the meaning of Section 21E of the Securities Exchange Act of 1934. All statements, other than statements of historical fact, that address activities, events or developments that we or our management intends, expects, projects, believes or anticipates will or may occur in the future are forward-looking statements. Such statements are based upon certain assumptions and assessments made by our management in light of their experience and their perception of historical trends, current economic and industry conditions, expected future developments and other factors they believe to be appropriate. The forward-looking statements included in this release are also subject to a number of material risks and uncertainties, including but not limited to economic, competitive, governmental, and technological factors affecting our operations, markets, products, services and prices. Such forward-looking statements are not guarantees of future performance, and actual results, developments and business decisions may differ from those envisaged by such forward-looking statements. We identify the principal risks and uncertainties that affect our performance in our Form 10-K and other filings with the Securities and Exchange Commission.</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Roman"/>
      <w:start w:val="2"/>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5"/>
    </w:lvl>
  </w:abstractNum>
  <w:abstractNum w:abstractNumId="6">
    <w:nsid w:val="109CF92E"/>
    <w:multiLevelType w:val="hybridMultilevel"/>
    <w:lvl w:ilvl="0">
      <w:lvlJc w:val="left"/>
      <w:lvlText w:val="%1."/>
      <w:numFmt w:val="decimal"/>
      <w:start w:val="7"/>
    </w:lvl>
  </w:abstractNum>
  <w:abstractNum w:abstractNumId="7">
    <w:nsid w:val="DED7263"/>
    <w:multiLevelType w:val="hybridMultilevel"/>
    <w:lvl w:ilvl="0">
      <w:lvlJc w:val="left"/>
      <w:lvlText w:val="%1."/>
      <w:numFmt w:val="decimal"/>
      <w:start w:val="8"/>
    </w:lvl>
    <w:lvl w:ilvl="1">
      <w:lvlJc w:val="left"/>
      <w:lvlText w:val="(%2)"/>
      <w:numFmt w:val="lowerLetter"/>
      <w:start w:val="1"/>
    </w:lvl>
  </w:abstractNum>
  <w:abstractNum w:abstractNumId="8">
    <w:nsid w:val="7FDCC233"/>
    <w:multiLevelType w:val="hybridMultilevel"/>
    <w:lvl w:ilvl="0">
      <w:lvlJc w:val="left"/>
      <w:lvlText w:val="%1."/>
      <w:numFmt w:val="decimal"/>
      <w:start w:val="13"/>
    </w:lvl>
  </w:abstractNum>
  <w:abstractNum w:abstractNumId="9">
    <w:nsid w:val="1BEFD79F"/>
    <w:multiLevelType w:val="hybridMultilevel"/>
    <w:lvl w:ilvl="0">
      <w:lvlJc w:val="left"/>
      <w:lvlText w:val="%1."/>
      <w:numFmt w:val="decimal"/>
      <w:start w:val="20"/>
    </w:lvl>
    <w:lvl w:ilvl="1">
      <w:lvlJc w:val="left"/>
      <w:lvlText w:val="(%2)"/>
      <w:numFmt w:val="lowerLetter"/>
      <w:start w:val="1"/>
    </w:lvl>
    <w:lvl w:ilvl="2">
      <w:lvlJc w:val="left"/>
      <w:lvlText w:val="(%3)"/>
      <w:numFmt w:val="lowerLetter"/>
      <w:start w:val="61"/>
    </w:lvl>
  </w:abstractNum>
  <w:abstractNum w:abstractNumId="10">
    <w:nsid w:val="41A7C4C9"/>
    <w:multiLevelType w:val="hybridMultilevel"/>
    <w:lvl w:ilvl="0">
      <w:lvlJc w:val="left"/>
      <w:lvlText w:val="%1"/>
      <w:numFmt w:val="decimal"/>
      <w:start w:val="1"/>
    </w:lvl>
    <w:lvl w:ilvl="1">
      <w:lvlJc w:val="left"/>
      <w:lvlText w:val="(%2)"/>
      <w:numFmt w:val="lowerLetter"/>
      <w:start w:val="6"/>
    </w:lvl>
  </w:abstractNum>
  <w:abstractNum w:abstractNumId="11">
    <w:nsid w:val="6B68079A"/>
    <w:multiLevelType w:val="hybridMultilevel"/>
    <w:lvl w:ilvl="0">
      <w:lvlJc w:val="left"/>
      <w:lvlText w:val="%1."/>
      <w:numFmt w:val="decimal"/>
      <w:start w:val="21"/>
    </w:lvl>
    <w:lvl w:ilvl="1">
      <w:lvlJc w:val="left"/>
      <w:lvlText w:val="%2"/>
      <w:numFmt w:val="lowerLetter"/>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2"/>
    </w:lvl>
  </w:abstractNum>
  <w:abstractNum w:abstractNumId="15">
    <w:nsid w:val="431BD7B7"/>
    <w:multiLevelType w:val="hybridMultilevel"/>
    <w:lvl w:ilvl="0">
      <w:lvlJc w:val="left"/>
      <w:lvlText w:val="%1."/>
      <w:numFmt w:val="decimal"/>
      <w:start w:val="3"/>
    </w:lvl>
  </w:abstractNum>
  <w:abstractNum w:abstractNumId="16">
    <w:nsid w:val="3F2DBA31"/>
    <w:multiLevelType w:val="hybridMultilevel"/>
    <w:lvl w:ilvl="0">
      <w:lvlJc w:val="left"/>
      <w:lvlText w:val="%1."/>
      <w:numFmt w:val="decimal"/>
      <w:start w:val="5"/>
    </w:lvl>
  </w:abstractNum>
  <w:abstractNum w:abstractNumId="17">
    <w:nsid w:val="7C83E458"/>
    <w:multiLevelType w:val="hybridMultilevel"/>
    <w:lvl w:ilvl="0">
      <w:lvlJc w:val="left"/>
      <w:lvlText w:val="%1."/>
      <w:numFmt w:val="decimal"/>
      <w:start w:val="9"/>
    </w:lvl>
  </w:abstractNum>
  <w:abstractNum w:abstractNumId="18">
    <w:nsid w:val="257130A3"/>
    <w:multiLevelType w:val="hybridMultilevel"/>
    <w:lvl w:ilvl="0">
      <w:lvlJc w:val="left"/>
      <w:lvlText w:val="%1."/>
      <w:numFmt w:val="decimal"/>
      <w:start w:val="1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2022-07-28T05:48:00Z</dcterms:created>
  <dcterms:modified xsi:type="dcterms:W3CDTF">2022-07-28T05:48:00Z</dcterms:modified>
</cp:coreProperties>
</file>