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8-K</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CURRENT REPORT</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PURSUANT TO SECTION 13 OR 15(d) OF THE SECURITIES EXCHANGE ACT OF 1934</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DATE OF REPORT - April 17, 2003</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(Date of earliest event reported)</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HONEYWELL INTERNATIONAL INC.</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834" w:right="1440" w:bottom="922" w:gutter="0" w:footer="0" w:header="0"/>
        </w:sectPr>
      </w:pPr>
    </w:p>
    <w:p>
      <w:pPr>
        <w:spacing w:after="0" w:line="200" w:lineRule="exact"/>
        <w:rPr>
          <w:sz w:val="24"/>
          <w:szCs w:val="24"/>
          <w:color w:val="auto"/>
        </w:rPr>
      </w:pPr>
    </w:p>
    <w:p>
      <w:pPr>
        <w:spacing w:after="0" w:line="392"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(State or other jurisdiction of</w:t>
      </w:r>
    </w:p>
    <w:p>
      <w:pPr>
        <w:spacing w:after="0" w:line="4"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7"/>
          <w:szCs w:val="17"/>
          <w:color w:val="auto"/>
        </w:rPr>
        <w:t>1-8974</w:t>
      </w:r>
    </w:p>
    <w:p>
      <w:pPr>
        <w:spacing w:after="0" w:line="5"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22-2640650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0" w:lineRule="exact"/>
        <w:rPr>
          <w:sz w:val="24"/>
          <w:szCs w:val="24"/>
          <w:color w:val="auto"/>
        </w:rPr>
      </w:pPr>
    </w:p>
    <w:p>
      <w:pPr>
        <w:sectPr>
          <w:pgSz w:w="11900" w:h="16838" w:orient="portrait"/>
          <w:cols w:equalWidth="0" w:num="3">
            <w:col w:w="3680" w:space="720"/>
            <w:col w:w="2840" w:space="720"/>
            <w:col w:w="2259"/>
          </w:cols>
          <w:pgMar w:left="240" w:top="834" w:right="1440" w:bottom="922" w:gutter="0" w:footer="0" w:header="0"/>
          <w:type w:val="continuous"/>
        </w:sectPr>
      </w:pPr>
    </w:p>
    <w:p>
      <w:pPr>
        <w:spacing w:after="0" w:line="197" w:lineRule="exact"/>
        <w:rPr>
          <w:sz w:val="24"/>
          <w:szCs w:val="24"/>
          <w:color w:val="auto"/>
        </w:rPr>
      </w:pPr>
    </w:p>
    <w:p>
      <w:pPr>
        <w:ind w:right="2040"/>
        <w:spacing w:after="0" w:line="243" w:lineRule="auto"/>
        <w:rPr>
          <w:sz w:val="20"/>
          <w:szCs w:val="20"/>
          <w:color w:val="auto"/>
        </w:rPr>
      </w:pPr>
      <w:r>
        <w:rPr>
          <w:rFonts w:ascii="Courier New" w:cs="Courier New" w:eastAsia="Courier New" w:hAnsi="Courier New"/>
          <w:sz w:val="17"/>
          <w:szCs w:val="17"/>
          <w:color w:val="auto"/>
        </w:rPr>
        <w:t>101 COLUMBIA ROAD, P.O. BOX 4000, MORRISTOWN, NEW JERSEY (Address of principal executive offices)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07962-2497</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2" w:lineRule="exact"/>
        <w:rPr>
          <w:sz w:val="24"/>
          <w:szCs w:val="24"/>
          <w:color w:val="auto"/>
        </w:rPr>
      </w:pPr>
    </w:p>
    <w:p>
      <w:pPr>
        <w:sectPr>
          <w:pgSz w:w="11900" w:h="16838" w:orient="portrait"/>
          <w:cols w:equalWidth="0" w:num="2">
            <w:col w:w="7760" w:space="720"/>
            <w:col w:w="1739"/>
          </w:cols>
          <w:pgMar w:left="240" w:top="834" w:right="1440" w:bottom="922" w:gutter="0" w:footer="0" w:header="0"/>
          <w:type w:val="continuous"/>
        </w:sectPr>
      </w:pPr>
    </w:p>
    <w:p>
      <w:pPr>
        <w:spacing w:after="0" w:line="194"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Registrant's telephone number, including area code: (973) 455-2000</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6"/>
          <w:szCs w:val="16"/>
          <w:color w:val="auto"/>
        </w:rPr>
        <w:t>DISCLOSURE OF RESULTS OF OPERATIONS AND FINANCIAL CONDITION.</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EARNINGS RELEASE.</w:t>
      </w:r>
    </w:p>
    <w:p>
      <w:pPr>
        <w:spacing w:after="0" w:line="201" w:lineRule="exact"/>
        <w:rPr>
          <w:sz w:val="24"/>
          <w:szCs w:val="24"/>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Honeywell International Inc. will hold its first quarter 2003 earnings release conference call on Thursday, April 17, 2003 at 8:30 a.m. Eastern Standard Time. The earnings release will be distributed on BusinessWire approximately one hour prior to the conference call. Interested investors may access the conference call by dialing (706) 643-7681 or through a World Wide Web simulcast available at the "Investor Relations" section of the company's website (http://www.honeywell.com/investor). Related presentation materials will also be posted to the Investor Relations section of the website prior to the conference call. Investors are advised to log on to the website at least 15 minutes prior to the conference call to allow sufficient time for downloading any necessary software.</w:t>
      </w:r>
    </w:p>
    <w:p>
      <w:pPr>
        <w:spacing w:after="0" w:line="201" w:lineRule="exact"/>
        <w:rPr>
          <w:sz w:val="24"/>
          <w:szCs w:val="24"/>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Honeywell International Inc. issued its 2003 first quarter earnings release on April 17, 2003 which is attached as an exhibit to this report.</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7.</w:t>
      </w:r>
    </w:p>
    <w:p>
      <w:pPr>
        <w:spacing w:after="0" w:line="200"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(c) Exhibits:</w:t>
      </w:r>
    </w:p>
    <w:p>
      <w:pPr>
        <w:spacing w:after="0" w:line="201" w:lineRule="exact"/>
        <w:rPr>
          <w:sz w:val="24"/>
          <w:szCs w:val="24"/>
          <w:color w:val="auto"/>
        </w:rPr>
      </w:pPr>
    </w:p>
    <w:p>
      <w:pPr>
        <w:ind w:left="3980" w:right="2159" w:hanging="3771"/>
        <w:spacing w:after="0" w:line="732" w:lineRule="auto"/>
        <w:tabs>
          <w:tab w:leader="none" w:pos="715"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Honeywell International Inc. 2003 Earnings Release dated April 17, 2003. 2</w:t>
      </w:r>
    </w:p>
    <w:p>
      <w:pPr>
        <w:sectPr>
          <w:pgSz w:w="11900" w:h="16838" w:orient="portrait"/>
          <w:cols w:equalWidth="0" w:num="1">
            <w:col w:w="10219"/>
          </w:cols>
          <w:pgMar w:left="240" w:top="834" w:right="1440" w:bottom="922" w:gutter="0" w:footer="0" w:header="0"/>
          <w:type w:val="continuous"/>
        </w:sectPr>
      </w:pPr>
    </w:p>
    <w:bookmarkStart w:id="1" w:name="page2"/>
    <w:bookmarkEnd w:id="1"/>
    <w:p>
      <w:pPr>
        <w:ind w:left="3680"/>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ind w:right="20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as amended, the Registrant has duly caused this report to be signed on its behalf by the undersigned hereunto duly authorized.</w:t>
      </w:r>
    </w:p>
    <w:p>
      <w:pPr>
        <w:sectPr>
          <w:pgSz w:w="11900" w:h="16838" w:orient="portrait"/>
          <w:cols w:equalWidth="0" w:num="1">
            <w:col w:w="10219"/>
          </w:cols>
          <w:pgMar w:left="240" w:top="141" w:right="1440" w:bottom="1440" w:gutter="0" w:footer="0" w:header="0"/>
        </w:sect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17, 2003</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HONEYWELL INTERNATIONAL INC.</w:t>
      </w:r>
    </w:p>
    <w:p>
      <w:pPr>
        <w:spacing w:after="0" w:line="210" w:lineRule="exact"/>
        <w:rPr>
          <w:sz w:val="20"/>
          <w:szCs w:val="20"/>
          <w:color w:val="auto"/>
        </w:rPr>
      </w:pPr>
    </w:p>
    <w:p>
      <w:pPr>
        <w:sectPr>
          <w:pgSz w:w="11900" w:h="16838" w:orient="portrait"/>
          <w:cols w:equalWidth="0" w:num="3">
            <w:col w:w="520" w:space="200"/>
            <w:col w:w="1940" w:space="720"/>
            <w:col w:w="6839"/>
          </w:cols>
          <w:pgMar w:left="240" w:top="141" w:right="1440" w:bottom="1440" w:gutter="0" w:footer="0" w:header="0"/>
          <w:type w:val="continuous"/>
        </w:sectPr>
      </w:pPr>
    </w:p>
    <w:p>
      <w:pPr>
        <w:spacing w:after="0" w:line="19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Thomas F. Larkins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Thomas F. Larkins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Vice President, Corporate Secretary and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Deputy General Counsel</w:t>
      </w:r>
    </w:p>
    <w:p>
      <w:pPr>
        <w:spacing w:after="0" w:line="200" w:lineRule="exact"/>
        <w:rPr>
          <w:sz w:val="20"/>
          <w:szCs w:val="20"/>
          <w:color w:val="auto"/>
        </w:rPr>
      </w:pPr>
    </w:p>
    <w:p>
      <w:pPr>
        <w:sectPr>
          <w:pgSz w:w="11900" w:h="16838" w:orient="portrait"/>
          <w:cols w:equalWidth="0" w:num="2">
            <w:col w:w="3680" w:space="0"/>
            <w:col w:w="6539"/>
          </w:cols>
          <w:pgMar w:left="240" w:top="141" w:right="1440" w:bottom="1440" w:gutter="0" w:footer="0" w:header="0"/>
          <w:type w:val="continuous"/>
        </w:sectPr>
      </w:pP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pacing w:after="0" w:line="397"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STATEMENT OF DIFFERENCES</w:t>
      </w:r>
    </w:p>
    <w:p>
      <w:pPr>
        <w:sectPr>
          <w:pgSz w:w="11900" w:h="16838" w:orient="portrait"/>
          <w:cols w:equalWidth="0" w:num="1">
            <w:col w:w="10219"/>
          </w:cols>
          <w:pgMar w:left="240" w:top="141"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trademark symbol shall be expressed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registered trademark symbol shall be expressed as....................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6"/>
          <w:szCs w:val="16"/>
          <w:color w:val="auto"/>
        </w:rPr>
        <w:t>'TM'</w:t>
      </w:r>
    </w:p>
    <w:p>
      <w:pPr>
        <w:spacing w:after="0" w:line="1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'r'</w:t>
      </w:r>
    </w:p>
    <w:p>
      <w:pPr>
        <w:sectPr>
          <w:pgSz w:w="11900" w:h="16838" w:orient="portrait"/>
          <w:cols w:equalWidth="0" w:num="2">
            <w:col w:w="7460" w:space="300"/>
            <w:col w:w="2459"/>
          </w:cols>
          <w:pgMar w:left="240" w:top="141" w:right="1440" w:bottom="1440" w:gutter="0" w:footer="0" w:header="0"/>
          <w:type w:val="continuous"/>
        </w:sectPr>
      </w:pPr>
    </w:p>
    <w:bookmarkStart w:id="2" w:name="page3"/>
    <w:bookmarkEnd w:id="2"/>
    <w:p>
      <w:pPr>
        <w:ind w:left="7140"/>
        <w:spacing w:after="0"/>
        <w:rPr>
          <w:sz w:val="20"/>
          <w:szCs w:val="20"/>
          <w:color w:val="auto"/>
        </w:rPr>
      </w:pPr>
      <w:r>
        <w:rPr>
          <w:rFonts w:ascii="Courier New" w:cs="Courier New" w:eastAsia="Courier New" w:hAnsi="Courier New"/>
          <w:sz w:val="17"/>
          <w:szCs w:val="17"/>
          <w:color w:val="auto"/>
        </w:rPr>
        <w:t>Exhibit 99</w:t>
      </w:r>
    </w:p>
    <w:p>
      <w:pPr>
        <w:spacing w:after="0" w:line="200" w:lineRule="exact"/>
        <w:rPr>
          <w:sz w:val="20"/>
          <w:szCs w:val="20"/>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7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Honeywell</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NEWS RELEASE</w:t>
      </w:r>
    </w:p>
    <w:p>
      <w:pPr>
        <w:sectPr>
          <w:pgSz w:w="11900" w:h="16838" w:orient="portrait"/>
          <w:cols w:equalWidth="0" w:num="1">
            <w:col w:w="10219"/>
          </w:cols>
          <w:pgMar w:left="240" w:top="729"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 Silverman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973-455-4732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richard.silverman@honeywell.com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Dan Gallagher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973-455-2222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dan.gallagher@honeywell.com</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180" w:space="720"/>
            <w:col w:w="5319"/>
          </w:cols>
          <w:pgMar w:left="240" w:top="729" w:right="1440" w:bottom="0" w:gutter="0" w:footer="0" w:header="0"/>
          <w:type w:val="continuous"/>
        </w:sectPr>
      </w:pPr>
    </w:p>
    <w:p>
      <w:pPr>
        <w:spacing w:after="0" w:line="1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HONEYWELL'S FIRST-QUARTER EARNINGS PER SHARE</w:t>
      </w:r>
    </w:p>
    <w:p>
      <w:pPr>
        <w:spacing w:after="0" w:line="4"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ARE 32 CENTS BEFORE REQUIRED IMPLEMENTATION</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OF NEW ACCOUNTING STANDARD</w:t>
      </w:r>
    </w:p>
    <w:p>
      <w:pPr>
        <w:spacing w:after="0" w:line="201" w:lineRule="exact"/>
        <w:rPr>
          <w:sz w:val="20"/>
          <w:szCs w:val="20"/>
          <w:color w:val="auto"/>
        </w:rPr>
      </w:pPr>
    </w:p>
    <w:p>
      <w:pPr>
        <w:jc w:val="center"/>
        <w:ind w:left="360" w:right="1420"/>
        <w:spacing w:after="0" w:line="243" w:lineRule="auto"/>
        <w:rPr>
          <w:sz w:val="20"/>
          <w:szCs w:val="20"/>
          <w:color w:val="auto"/>
        </w:rPr>
      </w:pPr>
      <w:r>
        <w:rPr>
          <w:rFonts w:ascii="Courier New" w:cs="Courier New" w:eastAsia="Courier New" w:hAnsi="Courier New"/>
          <w:sz w:val="17"/>
          <w:szCs w:val="17"/>
          <w:color w:val="auto"/>
        </w:rPr>
        <w:t>FIRST-QUARTER REVENUES ARE UP 4% TO $5.4 BILLION; CASH FLOW FROM OPERATIONS ROSE 17% TO $473 MILLION; FREE CASH FLOW GAINED 43% TO $368 MILLION</w:t>
      </w:r>
    </w:p>
    <w:p>
      <w:pPr>
        <w:spacing w:after="0" w:line="396"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MORRIS TOWNSHIP, N.J., April 17, 2003 -- Honeywell (NYSE: HON) today said the company's first-quarter earnings per share before the cumulative effect of the required implementation of Statement of Financial Accounting Standards No. 143 (SFAS 143) were 32 cents per share, in line with prior earnings guidance.</w:t>
      </w:r>
    </w:p>
    <w:p>
      <w:pPr>
        <w:spacing w:after="0" w:line="198" w:lineRule="exact"/>
        <w:rPr>
          <w:sz w:val="20"/>
          <w:szCs w:val="20"/>
          <w:color w:val="auto"/>
        </w:rPr>
      </w:pPr>
    </w:p>
    <w:p>
      <w:pPr>
        <w:jc w:val="both"/>
        <w:ind w:right="2259" w:firstLine="918"/>
        <w:spacing w:after="0" w:line="243" w:lineRule="auto"/>
        <w:rPr>
          <w:sz w:val="20"/>
          <w:szCs w:val="20"/>
          <w:color w:val="auto"/>
        </w:rPr>
      </w:pPr>
      <w:r>
        <w:rPr>
          <w:rFonts w:ascii="Courier New" w:cs="Courier New" w:eastAsia="Courier New" w:hAnsi="Courier New"/>
          <w:sz w:val="17"/>
          <w:szCs w:val="17"/>
          <w:color w:val="auto"/>
        </w:rPr>
        <w:t>Earnings per share after the required implementation of SFAS 143 were 30 cents, compared with 46 cents in the first quarter of 2002. The difference in earnings per share was due to:</w:t>
      </w:r>
    </w:p>
    <w:p>
      <w:pPr>
        <w:spacing w:after="0" w:line="200" w:lineRule="exact"/>
        <w:rPr>
          <w:sz w:val="20"/>
          <w:szCs w:val="20"/>
          <w:color w:val="auto"/>
        </w:rPr>
      </w:pPr>
    </w:p>
    <w:p>
      <w:pPr>
        <w:ind w:left="1440" w:right="2359" w:hanging="517"/>
        <w:spacing w:after="0" w:line="243" w:lineRule="auto"/>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nine cents from higher pension expense, including the effect of dilution from the prior year contribution of shares to the company's pension plans;</w:t>
      </w:r>
    </w:p>
    <w:p>
      <w:pPr>
        <w:spacing w:after="0" w:line="199" w:lineRule="exact"/>
        <w:rPr>
          <w:rFonts w:ascii="Courier New" w:cs="Courier New" w:eastAsia="Courier New" w:hAnsi="Courier New"/>
          <w:sz w:val="17"/>
          <w:szCs w:val="17"/>
          <w:color w:val="auto"/>
        </w:rPr>
      </w:pPr>
    </w:p>
    <w:p>
      <w:pPr>
        <w:ind w:left="1440" w:right="3479" w:hanging="517"/>
        <w:spacing w:after="0" w:line="243" w:lineRule="auto"/>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cents from the cumulative effect of the required implementation of SFAS 143;</w:t>
      </w:r>
    </w:p>
    <w:p>
      <w:pPr>
        <w:spacing w:after="0" w:line="198" w:lineRule="exact"/>
        <w:rPr>
          <w:rFonts w:ascii="Courier New" w:cs="Courier New" w:eastAsia="Courier New" w:hAnsi="Courier New"/>
          <w:sz w:val="17"/>
          <w:szCs w:val="17"/>
          <w:color w:val="auto"/>
        </w:rPr>
      </w:pPr>
    </w:p>
    <w:p>
      <w:pPr>
        <w:ind w:left="1440" w:right="2259" w:hanging="517"/>
        <w:spacing w:after="0" w:line="244" w:lineRule="auto"/>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cents from lower equity income, primarily due to the sale of Commercial Vehicle Braking Systems at the end of the first quarter of 2002, and the gain on that sale, less repositioning and other charges;</w:t>
      </w:r>
    </w:p>
    <w:p>
      <w:pPr>
        <w:spacing w:after="0" w:line="197" w:lineRule="exact"/>
        <w:rPr>
          <w:rFonts w:ascii="Courier New" w:cs="Courier New" w:eastAsia="Courier New" w:hAnsi="Courier New"/>
          <w:sz w:val="17"/>
          <w:szCs w:val="17"/>
          <w:color w:val="auto"/>
        </w:rPr>
      </w:pPr>
    </w:p>
    <w:p>
      <w:pPr>
        <w:ind w:left="1440" w:right="2359" w:hanging="517"/>
        <w:spacing w:after="0" w:line="243" w:lineRule="auto"/>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cents from lower volume in higher margin businesses in this quarter; and</w:t>
      </w:r>
    </w:p>
    <w:p>
      <w:pPr>
        <w:spacing w:after="0" w:line="198" w:lineRule="exact"/>
        <w:rPr>
          <w:rFonts w:ascii="Courier New" w:cs="Courier New" w:eastAsia="Courier New" w:hAnsi="Courier New"/>
          <w:sz w:val="17"/>
          <w:szCs w:val="17"/>
          <w:color w:val="auto"/>
        </w:rPr>
      </w:pPr>
    </w:p>
    <w:p>
      <w:pPr>
        <w:ind w:left="1440" w:right="3679" w:hanging="517"/>
        <w:spacing w:after="0" w:line="243" w:lineRule="auto"/>
        <w:tabs>
          <w:tab w:leader="none" w:pos="14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cent from spending on growth programs, product launches, and facility relocations.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First-quarter revenues were $5.4 billion, up 4% compared with the first quarter of 2002 due to favorable foreign exchange resulting from the effect of a weaker U.S. dollar. Organic growth was flat and the impact of acquisitions was offset by divestitures. Year-over-year, revenues increased in three of Honeywell's four operating segments as Transportation and Power Systems (TPS) rose 16%, Automation and Control Solutions was up 7%, and Specialty Materials gained 3%. Revenues in Aerospace declined 1%.</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2-results</w:t>
      </w:r>
    </w:p>
    <w:p>
      <w:pPr>
        <w:spacing w:after="0" w:line="397"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Organic growth in Defense &amp; Space, Turbochargers, Industry Solutions, Electronic Materials and Fluorines, and the revenues from the acquisitions of Invensys Sensor Systems and Ultrak's closed-circuit television business were offset by declines in Commercial Aerospace and ACS Service as well as the dispositions of Advanced Circuits, Pharmaceutical Fine Chemicals and ACS' Consumer Products business.</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Free cash flow in the quarter was $368 million, up 43% compared with</w:t>
      </w:r>
    </w:p>
    <w:p>
      <w:pPr>
        <w:sectPr>
          <w:pgSz w:w="11900" w:h="16838" w:orient="portrait"/>
          <w:cols w:equalWidth="0" w:num="1">
            <w:col w:w="10219"/>
          </w:cols>
          <w:pgMar w:left="240" w:top="729" w:right="1440" w:bottom="0" w:gutter="0" w:footer="0" w:header="0"/>
          <w:type w:val="continuous"/>
        </w:sectPr>
      </w:pPr>
    </w:p>
    <w:bookmarkStart w:id="3" w:name="page4"/>
    <w:bookmarkEnd w:id="3"/>
    <w:p>
      <w:pPr>
        <w:ind w:right="2359"/>
        <w:spacing w:after="0" w:line="243" w:lineRule="auto"/>
        <w:rPr>
          <w:sz w:val="20"/>
          <w:szCs w:val="20"/>
          <w:color w:val="auto"/>
        </w:rPr>
      </w:pPr>
      <w:r>
        <w:rPr>
          <w:rFonts w:ascii="Courier New" w:cs="Courier New" w:eastAsia="Courier New" w:hAnsi="Courier New"/>
          <w:sz w:val="17"/>
          <w:szCs w:val="17"/>
          <w:color w:val="auto"/>
        </w:rPr>
        <w:t>$258 million in the same period last year. Cash flow from operations was $473 million, up 17% compared with $405 million in the year-ago period.</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 the first quarter, segment profit margins were 8.4% compared with 10.8% in the same period last year. The increase in pension costs accounted for 1.7 percentage points of the margin decline, while the remainder was due to lower volume in higher margin businesses and spending on growth programs, product launches and facility relocations.</w:t>
      </w:r>
    </w:p>
    <w:p>
      <w:pPr>
        <w:spacing w:after="0" w:line="198" w:lineRule="exact"/>
        <w:rPr>
          <w:sz w:val="20"/>
          <w:szCs w:val="20"/>
          <w:color w:val="auto"/>
        </w:rPr>
      </w:pPr>
    </w:p>
    <w:p>
      <w:pPr>
        <w:ind w:right="2359" w:firstLine="1020"/>
        <w:spacing w:after="0" w:line="244" w:lineRule="auto"/>
        <w:rPr>
          <w:sz w:val="20"/>
          <w:szCs w:val="20"/>
          <w:color w:val="auto"/>
        </w:rPr>
      </w:pPr>
      <w:r>
        <w:rPr>
          <w:rFonts w:ascii="Courier New" w:cs="Courier New" w:eastAsia="Courier New" w:hAnsi="Courier New"/>
          <w:sz w:val="17"/>
          <w:szCs w:val="17"/>
          <w:color w:val="auto"/>
        </w:rPr>
        <w:t>"We continue to address the critical issues facing the company and relentlessly drive our growth processes across the entire organization," said Honeywell Chairman and Chief Executive Officer David Cote. "Despite a challenging economic environment, several of our businesses achieved solid volume increases in the quarter. We had another strong quarter of cash generation, with our cash conversion over 100%.</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"We continued to strengthen our portfolio in core growth areas by integrating our Invensys Sensor Systems and Ultrak's closed-circuit television acquisitions, and completing the acquisitions of Gamewell, a world leader in fire controls and fire detection technology, and Sensotec, a leading supplier of pressure, force and wireless sensors.</w:t>
      </w:r>
    </w:p>
    <w:p>
      <w:pPr>
        <w:spacing w:after="0" w:line="198"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"We also entered into definitive agreements to sell our Engineering Plastics business to BASF for $90 million in cash plus BASF's Nylon Fibers business. Completion of this transaction will allow us to create a fully integrated nylon business with the scale and synergies to make it a more valuable asset with the flexibility to serve the needs of its customers, while at the same time exiting a non-core compounding business.</w:t>
      </w:r>
    </w:p>
    <w:p>
      <w:pPr>
        <w:spacing w:after="0" w:line="199" w:lineRule="exact"/>
        <w:rPr>
          <w:sz w:val="20"/>
          <w:szCs w:val="20"/>
          <w:color w:val="auto"/>
        </w:rPr>
      </w:pPr>
    </w:p>
    <w:p>
      <w:pPr>
        <w:ind w:right="2759" w:firstLine="918"/>
        <w:spacing w:after="0" w:line="243" w:lineRule="auto"/>
        <w:rPr>
          <w:sz w:val="20"/>
          <w:szCs w:val="20"/>
          <w:color w:val="auto"/>
        </w:rPr>
      </w:pPr>
      <w:r>
        <w:rPr>
          <w:rFonts w:ascii="Courier New" w:cs="Courier New" w:eastAsia="Courier New" w:hAnsi="Courier New"/>
          <w:sz w:val="17"/>
          <w:szCs w:val="17"/>
          <w:color w:val="auto"/>
        </w:rPr>
        <w:t>"Taken as a whole," Mr. Cote added, "these actions will create a stronger, better positioned and more flexible Honeywell."</w:t>
      </w:r>
    </w:p>
    <w:p>
      <w:pPr>
        <w:spacing w:after="0" w:line="3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3-results</w:t>
      </w:r>
    </w:p>
    <w:p>
      <w:pPr>
        <w:spacing w:after="0" w:line="396"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First-Quarter Segment Highlights</w:t>
      </w:r>
    </w:p>
    <w:p>
      <w:pPr>
        <w:spacing w:after="0" w:line="201" w:lineRule="exact"/>
        <w:rPr>
          <w:sz w:val="20"/>
          <w:szCs w:val="20"/>
          <w:color w:val="auto"/>
        </w:rPr>
      </w:pPr>
    </w:p>
    <w:p>
      <w:pPr>
        <w:ind w:right="2059" w:firstLine="918"/>
        <w:spacing w:after="0" w:line="259" w:lineRule="auto"/>
        <w:rPr>
          <w:sz w:val="20"/>
          <w:szCs w:val="20"/>
          <w:color w:val="auto"/>
        </w:rPr>
      </w:pPr>
      <w:r>
        <w:rPr>
          <w:rFonts w:ascii="Courier New" w:cs="Courier New" w:eastAsia="Courier New" w:hAnsi="Courier New"/>
          <w:sz w:val="16"/>
          <w:szCs w:val="16"/>
          <w:color w:val="auto"/>
        </w:rPr>
        <w:t>Aerospace - Revenues were down 1%, compared with the 2002 first quarter. Strong sales in Defense &amp; Space, and Business and General Aviation aftermarket were more than offset by declines in Commercial Aerospace as many commercial airline customers struggle financially and business jet manufacturers have reduced their delivery forecasts. Segment margins were 10.6%, down from</w:t>
      </w:r>
    </w:p>
    <w:p>
      <w:pPr>
        <w:spacing w:after="0" w:line="3"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14.7%, due to an increase in pension costs and continued decline in the sales of higher margin commercial spares.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Aerospace's Runway Awareness and Advisory System, a new technology that advises pilots of potential ground-based collisions, was demonstrated to more than 150 pilots from airlines, corporate flight departments and the Federal Aviation Administration (FAA). The company anticipates FAA certification later this year. Aerospace was also selected to provide digital fire control for all mortar systems in the U.S. Army, a contract with a potential value of $250 million over the next five years. The U.S. Army's Consolidated Fire Control for Mortars represents the Army's desire for commonality across an entire line of mortar weapons systems.</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Automation and Control Solutions - Revenues were up 7%, compared with the first quarter of 2002 due to acquisitions and favorable foreign exchange. Organic growth in Industry Solutions as well as the acquisitions of Invensys Sensor Systems and Ultrak's closed-circuit television business were more than offset by the disposition of Consumer Products as well as lower sales in ACS Service due to softness in capital spending as well as commercial and residential construction. Segment margins were 10.8%, compared with 12.9% in the first quarter of 2002, driven by increased pension costs and a decline in higher margin sales in ACS Service.</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During the first quarter, Industry Solutions announced it had eclipsed the $200 million mark in total orders for its Experion PKS'TM', the next-generation business, process and asset management system introduced in April 2002. Deliveries of the system began as scheduled in February 2003. The successful rollout of Experion PKS continued as Industry Solutions announced several key competitive wins in the quarter, including ConocoPhillips, Shin-Etsu and Wintershall Noordzee. Experion PKS automates, controls and monitors manufacturing operations, boosting capacity and cost-effectiveness for our customers.</w:t>
      </w:r>
    </w:p>
    <w:p>
      <w:pPr>
        <w:sectPr>
          <w:pgSz w:w="11900" w:h="16838" w:orient="portrait"/>
          <w:cols w:equalWidth="0" w:num="1">
            <w:col w:w="10219"/>
          </w:cols>
          <w:pgMar w:left="240" w:top="142" w:right="1440" w:bottom="0" w:gutter="0" w:footer="0" w:header="0"/>
        </w:sectPr>
      </w:pPr>
    </w:p>
    <w:bookmarkStart w:id="4" w:name="page5"/>
    <w:bookmarkEnd w:id="4"/>
    <w:p>
      <w:pPr>
        <w:ind w:right="2159" w:firstLine="918"/>
        <w:spacing w:after="0" w:line="244" w:lineRule="auto"/>
        <w:rPr>
          <w:sz w:val="20"/>
          <w:szCs w:val="20"/>
          <w:color w:val="auto"/>
        </w:rPr>
      </w:pPr>
      <w:r>
        <w:rPr>
          <w:rFonts w:ascii="Courier New" w:cs="Courier New" w:eastAsia="Courier New" w:hAnsi="Courier New"/>
          <w:sz w:val="17"/>
          <w:szCs w:val="17"/>
          <w:color w:val="auto"/>
        </w:rPr>
        <w:t>Specialty Materials - Revenues were up 3%, compared with the first quarter of 2002. Sales increases in all businesses were partially offset by the disposition of Advanced Circuits and Pharmaceutical Fine Chemicals. Fluorine Products was up 12% organically on strong sales of non-ozone depleting hydrofluorocarbons as a result of conversions to next-generation refrigerants and foam-blowing agents. Segment margins were 1.3%, compared with 1.1% in the prior year.</w:t>
      </w:r>
    </w:p>
    <w:p>
      <w:pPr>
        <w:spacing w:after="0" w:line="199" w:lineRule="exact"/>
        <w:rPr>
          <w:sz w:val="20"/>
          <w:szCs w:val="20"/>
          <w:color w:val="auto"/>
        </w:rPr>
      </w:pPr>
    </w:p>
    <w:p>
      <w:pPr>
        <w:jc w:val="both"/>
        <w:ind w:right="2259" w:firstLine="918"/>
        <w:spacing w:after="0" w:line="244" w:lineRule="auto"/>
        <w:rPr>
          <w:sz w:val="20"/>
          <w:szCs w:val="20"/>
          <w:color w:val="auto"/>
        </w:rPr>
      </w:pPr>
      <w:r>
        <w:rPr>
          <w:rFonts w:ascii="Courier New" w:cs="Courier New" w:eastAsia="Courier New" w:hAnsi="Courier New"/>
          <w:sz w:val="17"/>
          <w:szCs w:val="17"/>
          <w:color w:val="auto"/>
        </w:rPr>
        <w:t>During the quarter, Fluorines solidified its position as the premier supplier of environmentally safer fluorocarbons by launching Enovate'TM' 3000 (HFC-245fa), the leading non-ozone depleting replacement for rigid-insulating foams, and beginning commercial operation at its new facility for HFC-125, one of the key components of all major non-ozone depleting refrigerants.</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Specialty Materials also announced it agreed to sell its Engineering Plastics unit to BASF for $90 million in cash plus BASF's Nylon Fiber business. The transaction was part of Specialty Materials' plan to rationalize its business by improving current financial performance and long-term growth prospects.</w:t>
      </w:r>
    </w:p>
    <w:p>
      <w:pPr>
        <w:spacing w:after="0" w:line="3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4-results</w:t>
      </w:r>
    </w:p>
    <w:p>
      <w:pPr>
        <w:spacing w:after="0" w:line="200" w:lineRule="exact"/>
        <w:rPr>
          <w:sz w:val="20"/>
          <w:szCs w:val="20"/>
          <w:color w:val="auto"/>
        </w:rPr>
      </w:pPr>
    </w:p>
    <w:p>
      <w:pPr>
        <w:spacing w:after="0" w:line="393"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Transportation and Power Systems - Revenues increased 16% year-over-year driven by six points of organic growth and ten points of favorable foreign exchange. Sales continued to be strong in turbochargers, particularly in Asia and North America; and in Prestone'r' products. Segment margins were 8.9%, down from 10.1% a year ago, reflecting increased pension costs, spending on new programs and facility relocations.</w:t>
      </w:r>
    </w:p>
    <w:p>
      <w:pPr>
        <w:spacing w:after="0" w:line="2"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 the first quarter, TPS' Garrett Engine Boosting Systems unit ramped up production of its Advanced Variable Nozzle Turbine (AVNT) turbocharger for commercial vehicles. AVNT takes the pioneering variable geometry turbocharger technology that Garrett provides for passenger cars and applies it to the truck market so commercial vehicle makers are able to meet increasingly stringent emissions requirements.</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On Jan. 1, 2003, Honeywell adopted SFAS No. 143, "Accounting for Asset Retirement Obligations," which requires recognition of the fair value of obligations associated with the retirement of tangible long-lived assets when there is a legal obligation to incur such costs. As a result of the implementation of SFAS 143, the company recorded a $20 million after-tax non-cash charge, or two cents per share.</w:t>
      </w:r>
    </w:p>
    <w:p>
      <w:pPr>
        <w:spacing w:after="0" w:line="199" w:lineRule="exact"/>
        <w:rPr>
          <w:sz w:val="20"/>
          <w:szCs w:val="20"/>
          <w:color w:val="auto"/>
        </w:rPr>
      </w:pPr>
    </w:p>
    <w:p>
      <w:pPr>
        <w:ind w:right="2759" w:firstLine="918"/>
        <w:spacing w:after="0" w:line="243" w:lineRule="auto"/>
        <w:rPr>
          <w:sz w:val="20"/>
          <w:szCs w:val="20"/>
          <w:color w:val="auto"/>
        </w:rPr>
      </w:pPr>
      <w:r>
        <w:rPr>
          <w:rFonts w:ascii="Courier New" w:cs="Courier New" w:eastAsia="Courier New" w:hAnsi="Courier New"/>
          <w:sz w:val="17"/>
          <w:szCs w:val="17"/>
          <w:color w:val="auto"/>
        </w:rPr>
        <w:t>Honeywell will discuss its 2003 first-quarter results during its investor webcast beginning at 8:30 am ET today. The webcast and related presentation materials will be available at www.honeywell.com/investor.</w:t>
      </w:r>
    </w:p>
    <w:p>
      <w:pPr>
        <w:spacing w:after="0" w:line="200"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Honeywell is a diversified technology and manufacturing leader, serving customers worldwide with aerospace products and services; control technologies for buildings, homes and industry; turbochargers; automotive products; specialty chemicals; fibers; and electronic and advanced materials. Based in Morris Township, N.J., Honeywell is one of 30 stocks that make up the Dow Jones Industrial Average and is a component of the Standard &amp; Poor's 500 Index. Its shares are traded on the New York Stock Exchange under the symbol HON, as well as on the London, Chicago and Pacific Stock Exchanges. For more information about Honeywell, visit www.honeywell.com.</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This release contains forward-looking statements as defined in Section 21E of the Securities Exchange Act of 1934, including statements about future business operations, financial performance and market conditions. Such forward-looking statements involve risks and uncertainties inherent in business forecasts as further described in our filings under the Securities Exchange Act.</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5-results</w:t>
      </w:r>
    </w:p>
    <w:p>
      <w:pPr>
        <w:sectPr>
          <w:pgSz w:w="11900" w:h="16838" w:orient="portrait"/>
          <w:cols w:equalWidth="0" w:num="1">
            <w:col w:w="10219"/>
          </w:cols>
          <w:pgMar w:left="240" w:top="142" w:right="1440" w:bottom="0" w:gutter="0" w:footer="0" w:header="0"/>
        </w:sectPr>
      </w:pPr>
    </w:p>
    <w:bookmarkStart w:id="5" w:name="page6"/>
    <w:bookmarkEnd w:id="5"/>
    <w:p>
      <w:pPr>
        <w:jc w:val="center"/>
        <w:ind w:right="3260"/>
        <w:spacing w:after="0"/>
        <w:rPr>
          <w:sz w:val="20"/>
          <w:szCs w:val="20"/>
          <w:color w:val="auto"/>
        </w:rPr>
      </w:pPr>
      <w:r>
        <w:rPr>
          <w:rFonts w:ascii="Courier New" w:cs="Courier New" w:eastAsia="Courier New" w:hAnsi="Courier New"/>
          <w:sz w:val="17"/>
          <w:szCs w:val="17"/>
          <w:color w:val="auto"/>
        </w:rPr>
        <w:t>Honeywell International Inc.</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Consolidated Statement of Operations (Unaudited)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4780" w:type="dxa"/>
            <w:vAlign w:val="bottom"/>
            <w:gridSpan w:val="2"/>
          </w:tcPr>
          <w:p>
            <w:pPr>
              <w:jc w:val="right"/>
              <w:ind w:right="935"/>
              <w:spacing w:after="0"/>
              <w:rPr>
                <w:sz w:val="20"/>
                <w:szCs w:val="20"/>
                <w:color w:val="auto"/>
              </w:rPr>
            </w:pPr>
            <w:r>
              <w:rPr>
                <w:rFonts w:ascii="Courier New" w:cs="Courier New" w:eastAsia="Courier New" w:hAnsi="Courier New"/>
                <w:sz w:val="17"/>
                <w:szCs w:val="17"/>
                <w:color w:val="auto"/>
              </w:rPr>
              <w:t>Three Months Ended March 31,</w:t>
            </w:r>
          </w:p>
        </w:tc>
        <w:tc>
          <w:tcPr>
            <w:tcW w:w="320" w:type="dxa"/>
            <w:vAlign w:val="bottom"/>
          </w:tcPr>
          <w:p>
            <w:pPr>
              <w:spacing w:after="0"/>
              <w:rPr>
                <w:sz w:val="16"/>
                <w:szCs w:val="16"/>
                <w:color w:val="auto"/>
              </w:rPr>
            </w:pPr>
          </w:p>
        </w:tc>
      </w:tr>
      <w:tr>
        <w:trPr>
          <w:trHeight w:val="196"/>
        </w:trPr>
        <w:tc>
          <w:tcPr>
            <w:tcW w:w="6340" w:type="dxa"/>
            <w:vAlign w:val="bottom"/>
          </w:tcPr>
          <w:p>
            <w:pPr>
              <w:spacing w:after="0"/>
              <w:rPr>
                <w:sz w:val="17"/>
                <w:szCs w:val="17"/>
                <w:color w:val="auto"/>
              </w:rPr>
            </w:pPr>
          </w:p>
        </w:tc>
        <w:tc>
          <w:tcPr>
            <w:tcW w:w="4780" w:type="dxa"/>
            <w:vAlign w:val="bottom"/>
            <w:gridSpan w:val="2"/>
          </w:tcPr>
          <w:p>
            <w:pPr>
              <w:jc w:val="right"/>
              <w:ind w:right="93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1275"/>
              <w:spacing w:after="0"/>
              <w:rPr>
                <w:sz w:val="20"/>
                <w:szCs w:val="20"/>
                <w:color w:val="auto"/>
              </w:rPr>
            </w:pPr>
            <w:r>
              <w:rPr>
                <w:rFonts w:ascii="Courier New" w:cs="Courier New" w:eastAsia="Courier New" w:hAnsi="Courier New"/>
                <w:sz w:val="17"/>
                <w:szCs w:val="17"/>
                <w:color w:val="auto"/>
              </w:rPr>
              <w:t>2003</w:t>
            </w:r>
          </w:p>
        </w:tc>
        <w:tc>
          <w:tcPr>
            <w:tcW w:w="2300" w:type="dxa"/>
            <w:vAlign w:val="bottom"/>
          </w:tcPr>
          <w:p>
            <w:pPr>
              <w:jc w:val="center"/>
              <w:ind w:left="395"/>
              <w:spacing w:after="0"/>
              <w:rPr>
                <w:sz w:val="20"/>
                <w:szCs w:val="20"/>
                <w:color w:val="auto"/>
              </w:rPr>
            </w:pPr>
            <w:r>
              <w:rPr>
                <w:rFonts w:ascii="Courier New" w:cs="Courier New" w:eastAsia="Courier New" w:hAnsi="Courier New"/>
                <w:sz w:val="17"/>
                <w:szCs w:val="17"/>
                <w:color w:val="auto"/>
              </w:rPr>
              <w:t>2002</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589"/>
        </w:trPr>
        <w:tc>
          <w:tcPr>
            <w:tcW w:w="63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$ 5,399</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$ 5,199</w:t>
            </w:r>
          </w:p>
        </w:tc>
        <w:tc>
          <w:tcPr>
            <w:tcW w:w="320" w:type="dxa"/>
            <w:vAlign w:val="bottom"/>
          </w:tcPr>
          <w:p>
            <w:pPr>
              <w:spacing w:after="0"/>
              <w:rPr>
                <w:sz w:val="24"/>
                <w:szCs w:val="24"/>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Costs, expenses and other</w:t>
            </w:r>
          </w:p>
        </w:tc>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Cost of goods sold</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4,240</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4,073</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(B)</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703</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617</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(B)</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(Gain) on sale of non-strategic businesses</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(125)(C)</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Business impairment charges</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(B)</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Equity in (income) loss of affiliated companies</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2</w:t>
            </w:r>
          </w:p>
        </w:tc>
        <w:tc>
          <w:tcPr>
            <w:tcW w:w="2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(7)(B)</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Other (income) expense</w:t>
            </w: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w:t>
            </w:r>
          </w:p>
        </w:tc>
        <w:tc>
          <w:tcPr>
            <w:tcW w:w="23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c>
          <w:tcPr>
            <w:tcW w:w="320" w:type="dxa"/>
            <w:vAlign w:val="bottom"/>
          </w:tcPr>
          <w:p>
            <w:pPr>
              <w:spacing w:after="0"/>
              <w:rPr>
                <w:sz w:val="17"/>
                <w:szCs w:val="17"/>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Interest and other financial charges</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84</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87</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5,026</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4,672</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w w:val="99"/>
              </w:rPr>
              <w:t>Income before taxes and cumulative effect of accounting change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373</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527</w:t>
            </w:r>
          </w:p>
        </w:tc>
        <w:tc>
          <w:tcPr>
            <w:tcW w:w="320" w:type="dxa"/>
            <w:vAlign w:val="bottom"/>
          </w:tcPr>
          <w:p>
            <w:pPr>
              <w:spacing w:after="0"/>
              <w:rPr>
                <w:sz w:val="24"/>
                <w:szCs w:val="24"/>
                <w:color w:val="auto"/>
              </w:rPr>
            </w:pP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Tax expense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99</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151</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accounting change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274</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376</w:t>
            </w:r>
          </w:p>
        </w:tc>
        <w:tc>
          <w:tcPr>
            <w:tcW w:w="320" w:type="dxa"/>
            <w:vAlign w:val="bottom"/>
          </w:tcPr>
          <w:p>
            <w:pPr>
              <w:spacing w:after="0"/>
              <w:rPr>
                <w:sz w:val="24"/>
                <w:szCs w:val="24"/>
                <w:color w:val="auto"/>
              </w:rPr>
            </w:pP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Cumulative effect of accounting change</w:t>
            </w:r>
          </w:p>
        </w:tc>
        <w:tc>
          <w:tcPr>
            <w:tcW w:w="24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(20)(A)</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$ 254</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$ 376</w:t>
            </w:r>
          </w:p>
        </w:tc>
        <w:tc>
          <w:tcPr>
            <w:tcW w:w="320" w:type="dxa"/>
            <w:vAlign w:val="bottom"/>
          </w:tcPr>
          <w:p>
            <w:pPr>
              <w:spacing w:after="0"/>
              <w:rPr>
                <w:sz w:val="24"/>
                <w:szCs w:val="24"/>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share of common stock - basic:</w:t>
            </w:r>
          </w:p>
        </w:tc>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Income before cumulative effect of accounting change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$ 0.32</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$ 0.46</w:t>
            </w:r>
          </w:p>
        </w:tc>
        <w:tc>
          <w:tcPr>
            <w:tcW w:w="320" w:type="dxa"/>
            <w:vAlign w:val="bottom"/>
          </w:tcPr>
          <w:p>
            <w:pPr>
              <w:spacing w:after="0"/>
              <w:rPr>
                <w:sz w:val="17"/>
                <w:szCs w:val="17"/>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Cumulative effect of accounting change</w:t>
            </w:r>
          </w:p>
        </w:tc>
        <w:tc>
          <w:tcPr>
            <w:tcW w:w="24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(0.02)(A)</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Net income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$ 0.30</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$ 0.46</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share of common stock - assuming dilution:</w:t>
            </w:r>
          </w:p>
        </w:tc>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Income before cumulative effect of accounting change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$ 0.32</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$ 0.46</w:t>
            </w:r>
          </w:p>
        </w:tc>
        <w:tc>
          <w:tcPr>
            <w:tcW w:w="320" w:type="dxa"/>
            <w:vAlign w:val="bottom"/>
          </w:tcPr>
          <w:p>
            <w:pPr>
              <w:spacing w:after="0"/>
              <w:rPr>
                <w:sz w:val="17"/>
                <w:szCs w:val="17"/>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Cumulative effect of accounting change</w:t>
            </w:r>
          </w:p>
        </w:tc>
        <w:tc>
          <w:tcPr>
            <w:tcW w:w="248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(0.02)(A)</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Net income</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$ 0.30</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$ 0.46</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outstanding - basic</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857</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817</w:t>
            </w:r>
          </w:p>
        </w:tc>
        <w:tc>
          <w:tcPr>
            <w:tcW w:w="320" w:type="dxa"/>
            <w:vAlign w:val="bottom"/>
          </w:tcPr>
          <w:p>
            <w:pPr>
              <w:spacing w:after="0"/>
              <w:rPr>
                <w:sz w:val="24"/>
                <w:szCs w:val="24"/>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outstanding -</w:t>
            </w:r>
          </w:p>
        </w:tc>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assuming dilution</w:t>
            </w:r>
          </w:p>
        </w:tc>
        <w:tc>
          <w:tcPr>
            <w:tcW w:w="24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858</w:t>
            </w:r>
          </w:p>
        </w:tc>
        <w:tc>
          <w:tcPr>
            <w:tcW w:w="2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820</w:t>
            </w:r>
          </w:p>
        </w:tc>
        <w:tc>
          <w:tcPr>
            <w:tcW w:w="320" w:type="dxa"/>
            <w:vAlign w:val="bottom"/>
          </w:tcPr>
          <w:p>
            <w:pPr>
              <w:spacing w:after="0"/>
              <w:rPr>
                <w:sz w:val="17"/>
                <w:szCs w:val="17"/>
                <w:color w:val="auto"/>
              </w:rPr>
            </w:pPr>
          </w:p>
        </w:tc>
      </w:tr>
      <w:tr>
        <w:trPr>
          <w:trHeight w:val="196"/>
        </w:trPr>
        <w:tc>
          <w:tcPr>
            <w:tcW w:w="6340" w:type="dxa"/>
            <w:vAlign w:val="bottom"/>
          </w:tcPr>
          <w:p>
            <w:pPr>
              <w:spacing w:after="0"/>
              <w:rPr>
                <w:sz w:val="17"/>
                <w:szCs w:val="17"/>
                <w:color w:val="auto"/>
              </w:rPr>
            </w:pPr>
          </w:p>
        </w:tc>
        <w:tc>
          <w:tcPr>
            <w:tcW w:w="2480" w:type="dxa"/>
            <w:vAlign w:val="bottom"/>
          </w:tcPr>
          <w:p>
            <w:pPr>
              <w:jc w:val="right"/>
              <w:ind w:right="675"/>
              <w:spacing w:after="0"/>
              <w:rPr>
                <w:sz w:val="20"/>
                <w:szCs w:val="20"/>
                <w:color w:val="auto"/>
              </w:rPr>
            </w:pPr>
            <w:r>
              <w:rPr>
                <w:rFonts w:ascii="Courier New" w:cs="Courier New" w:eastAsia="Courier New" w:hAnsi="Courier New"/>
                <w:sz w:val="17"/>
                <w:szCs w:val="17"/>
                <w:color w:val="auto"/>
                <w:w w:val="98"/>
              </w:rPr>
              <w:t>=================</w:t>
            </w:r>
          </w:p>
        </w:tc>
        <w:tc>
          <w:tcPr>
            <w:tcW w:w="2300" w:type="dxa"/>
            <w:vAlign w:val="bottom"/>
          </w:tcPr>
          <w:p>
            <w:pPr>
              <w:jc w:val="center"/>
              <w:ind w:left="37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r>
    </w:tbl>
    <w:p>
      <w:pPr>
        <w:spacing w:after="0" w:line="397" w:lineRule="exact"/>
        <w:rPr>
          <w:sz w:val="20"/>
          <w:szCs w:val="20"/>
          <w:color w:val="auto"/>
        </w:rPr>
      </w:pPr>
    </w:p>
    <w:p>
      <w:pPr>
        <w:ind w:left="920" w:right="3280" w:hanging="915"/>
        <w:spacing w:after="0" w:line="244"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January 1, 2003, we adopted Statement of Financial Accounting Standards No. 143, "Accounting for Asset Retirement Obligations" (SFAS No. 143). SFAS No. 143 requires recognition of the fair value of obligations associated with the retirement of tangible long-lived assets when there is a legal obligation to incur such costs. This adoption resulted in an after-tax cumulative effect adjustment of expense of $20 million, or $0.02 per share.</w:t>
      </w:r>
    </w:p>
    <w:p>
      <w:pPr>
        <w:spacing w:after="0" w:line="199" w:lineRule="exact"/>
        <w:rPr>
          <w:rFonts w:ascii="Courier New" w:cs="Courier New" w:eastAsia="Courier New" w:hAnsi="Courier New"/>
          <w:sz w:val="17"/>
          <w:szCs w:val="17"/>
          <w:color w:val="auto"/>
        </w:rPr>
      </w:pPr>
    </w:p>
    <w:p>
      <w:pPr>
        <w:ind w:left="920" w:right="3280" w:hanging="915"/>
        <w:spacing w:after="0" w:line="244"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 of goods sold and selling, general and administrative expenses include provisions of $46 and $4 million, respectively, for net repositioning charges. Equity in (income) loss of affiliated companies includes a charge of $3 million principally for severance actions by an investee. Including business impairment charges, total net pretax charges were $96 million (after-tax $69 million, or $0.08 per share).</w:t>
      </w:r>
    </w:p>
    <w:p>
      <w:pPr>
        <w:spacing w:after="0" w:line="198" w:lineRule="exact"/>
        <w:rPr>
          <w:rFonts w:ascii="Courier New" w:cs="Courier New" w:eastAsia="Courier New" w:hAnsi="Courier New"/>
          <w:sz w:val="17"/>
          <w:szCs w:val="17"/>
          <w:color w:val="auto"/>
        </w:rPr>
      </w:pPr>
    </w:p>
    <w:p>
      <w:pPr>
        <w:ind w:left="920" w:right="3380" w:hanging="915"/>
        <w:spacing w:after="0" w:line="273" w:lineRule="auto"/>
        <w:tabs>
          <w:tab w:leader="none" w:pos="9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pretax gain on the disposition of our Bendix Commercial Vehicle Systems business (after-tax $79 million, or $0.09 per share).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-MORE-</w:t>
      </w:r>
    </w:p>
    <w:p>
      <w:pPr>
        <w:sectPr>
          <w:pgSz w:w="11900" w:h="16838" w:orient="portrait"/>
          <w:cols w:equalWidth="0" w:num="1">
            <w:col w:w="11440"/>
          </w:cols>
          <w:pgMar w:left="240" w:top="141" w:right="219" w:bottom="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6-results</w:t>
      </w:r>
    </w:p>
    <w:p>
      <w:pPr>
        <w:spacing w:after="0" w:line="200"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7"/>
          <w:szCs w:val="17"/>
          <w:color w:val="auto"/>
        </w:rPr>
        <w:t>Honeywell International Inc.</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Segment Data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ind w:left="3060"/>
              <w:spacing w:after="0"/>
              <w:rPr>
                <w:sz w:val="20"/>
                <w:szCs w:val="20"/>
                <w:color w:val="auto"/>
              </w:rPr>
            </w:pPr>
            <w:r>
              <w:rPr>
                <w:rFonts w:ascii="Courier New" w:cs="Courier New" w:eastAsia="Courier New" w:hAnsi="Courier New"/>
                <w:sz w:val="17"/>
                <w:szCs w:val="17"/>
                <w:color w:val="auto"/>
              </w:rPr>
              <w:t>(Dollars in millions)</w:t>
            </w:r>
          </w:p>
        </w:tc>
        <w:tc>
          <w:tcPr>
            <w:tcW w:w="29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785"/>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90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Three Months Ended March 31,</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90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w w:val="97"/>
              </w:rPr>
              <w:t>2003</w:t>
            </w:r>
          </w:p>
        </w:tc>
        <w:tc>
          <w:tcPr>
            <w:tcW w:w="19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2002</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Aerospace</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$ 2,062</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$ 2,089</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Automation and Control Solutions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1,717</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1,609</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Specialty Materials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777</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758</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Transportation and Power Systems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840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726</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Corporate</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Total</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$ 5,399</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$ 5,199</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89"/>
        </w:trPr>
        <w:tc>
          <w:tcPr>
            <w:tcW w:w="6220" w:type="dxa"/>
            <w:vAlign w:val="bottom"/>
          </w:tcPr>
          <w:p>
            <w:pPr>
              <w:spacing w:after="0"/>
              <w:rPr>
                <w:sz w:val="20"/>
                <w:szCs w:val="20"/>
                <w:color w:val="auto"/>
              </w:rPr>
            </w:pPr>
            <w:r>
              <w:rPr>
                <w:rFonts w:ascii="Courier New" w:cs="Courier New" w:eastAsia="Courier New" w:hAnsi="Courier New"/>
                <w:sz w:val="17"/>
                <w:szCs w:val="17"/>
                <w:color w:val="auto"/>
              </w:rPr>
              <w:t>Segment Profit</w:t>
            </w:r>
          </w:p>
        </w:tc>
        <w:tc>
          <w:tcPr>
            <w:tcW w:w="490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Three Months Ended March 31,</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90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w w:val="97"/>
              </w:rPr>
              <w:t>2003</w:t>
            </w:r>
          </w:p>
        </w:tc>
        <w:tc>
          <w:tcPr>
            <w:tcW w:w="19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2002</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Aerospace</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$ 218</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$ 307</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Automation and Control Solutions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185</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207</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Specialty Materials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Transportation and Power Systems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75</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73</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Corporate</w:t>
            </w:r>
          </w:p>
        </w:tc>
        <w:tc>
          <w:tcPr>
            <w:tcW w:w="29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(32)</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Total Segment Profit</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456</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559</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Gain on sale of non-strategic businesses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125</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Business impairment charges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Equity in income (loss) of affiliated companies</w:t>
            </w:r>
          </w:p>
        </w:tc>
        <w:tc>
          <w:tcPr>
            <w:tcW w:w="29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Interest and other financial charges</w:t>
            </w:r>
          </w:p>
        </w:tc>
        <w:tc>
          <w:tcPr>
            <w:tcW w:w="29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(84)</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Repositioning charges included in cost of goods sold</w:t>
            </w:r>
          </w:p>
        </w:tc>
        <w:tc>
          <w:tcPr>
            <w:tcW w:w="29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and selling, general and administrative expenses</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Income before taxes and cumulative effect</w:t>
            </w:r>
          </w:p>
        </w:tc>
        <w:tc>
          <w:tcPr>
            <w:tcW w:w="2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6"/>
        </w:trPr>
        <w:tc>
          <w:tcPr>
            <w:tcW w:w="6220" w:type="dxa"/>
            <w:vAlign w:val="bottom"/>
          </w:tcPr>
          <w:p>
            <w:pPr>
              <w:ind w:left="920"/>
              <w:spacing w:after="0"/>
              <w:rPr>
                <w:sz w:val="20"/>
                <w:szCs w:val="20"/>
                <w:color w:val="auto"/>
              </w:rPr>
            </w:pPr>
            <w:r>
              <w:rPr>
                <w:rFonts w:ascii="Courier New" w:cs="Courier New" w:eastAsia="Courier New" w:hAnsi="Courier New"/>
                <w:sz w:val="17"/>
                <w:szCs w:val="17"/>
                <w:color w:val="auto"/>
              </w:rPr>
              <w:t>of accounting change</w:t>
            </w:r>
          </w:p>
        </w:tc>
        <w:tc>
          <w:tcPr>
            <w:tcW w:w="29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$ 373</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$ 527</w:t>
            </w:r>
          </w:p>
        </w:tc>
      </w:tr>
      <w:tr>
        <w:trPr>
          <w:trHeight w:val="196"/>
        </w:trPr>
        <w:tc>
          <w:tcPr>
            <w:tcW w:w="6220" w:type="dxa"/>
            <w:vAlign w:val="bottom"/>
          </w:tcPr>
          <w:p>
            <w:pPr>
              <w:spacing w:after="0"/>
              <w:rPr>
                <w:sz w:val="17"/>
                <w:szCs w:val="17"/>
                <w:color w:val="auto"/>
              </w:rPr>
            </w:pPr>
          </w:p>
        </w:tc>
        <w:tc>
          <w:tcPr>
            <w:tcW w:w="2920" w:type="dxa"/>
            <w:vAlign w:val="bottom"/>
          </w:tcPr>
          <w:p>
            <w:pPr>
              <w:jc w:val="center"/>
              <w:ind w:left="2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7-results</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Honeywell International Inc.</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Consolidated Balance Sheet (Unaudited)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(Dollars in millions)</w:t>
      </w:r>
    </w:p>
    <w:p>
      <w:pPr>
        <w:sectPr>
          <w:pgSz w:w="11900" w:h="16838" w:orient="portrait"/>
          <w:cols w:equalWidth="0" w:num="1">
            <w:col w:w="11120"/>
          </w:cols>
          <w:pgMar w:left="240" w:top="926" w:right="5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6940"/>
        <w:spacing w:after="0"/>
        <w:rPr>
          <w:sz w:val="20"/>
          <w:szCs w:val="20"/>
          <w:color w:val="auto"/>
        </w:rPr>
      </w:pPr>
      <w:r>
        <w:rPr>
          <w:rFonts w:ascii="Courier New" w:cs="Courier New" w:eastAsia="Courier New" w:hAnsi="Courier New"/>
          <w:sz w:val="17"/>
          <w:szCs w:val="17"/>
          <w:color w:val="auto"/>
        </w:rPr>
        <w:t>March 31,</w:t>
      </w:r>
    </w:p>
    <w:p>
      <w:pPr>
        <w:spacing w:after="0" w:line="4" w:lineRule="exact"/>
        <w:rPr>
          <w:sz w:val="20"/>
          <w:szCs w:val="20"/>
          <w:color w:val="auto"/>
        </w:rPr>
      </w:pPr>
    </w:p>
    <w:p>
      <w:pPr>
        <w:jc w:val="center"/>
        <w:ind w:left="6840"/>
        <w:spacing w:after="0"/>
        <w:rPr>
          <w:sz w:val="20"/>
          <w:szCs w:val="20"/>
          <w:color w:val="auto"/>
        </w:rPr>
      </w:pPr>
      <w:r>
        <w:rPr>
          <w:rFonts w:ascii="Courier New" w:cs="Courier New" w:eastAsia="Courier New" w:hAnsi="Courier New"/>
          <w:sz w:val="17"/>
          <w:szCs w:val="17"/>
          <w:color w:val="auto"/>
        </w:rPr>
        <w:t>2003</w:t>
      </w:r>
    </w:p>
    <w:p>
      <w:pPr>
        <w:spacing w:after="0" w:line="4" w:lineRule="exact"/>
        <w:rPr>
          <w:sz w:val="20"/>
          <w:szCs w:val="20"/>
          <w:color w:val="auto"/>
        </w:rPr>
      </w:pPr>
    </w:p>
    <w:p>
      <w:pPr>
        <w:jc w:val="center"/>
        <w:ind w:left="68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December 31,</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2">
            <w:col w:w="8680" w:space="720"/>
            <w:col w:w="1720"/>
          </w:cols>
          <w:pgMar w:left="240" w:top="926" w:right="5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ASSETS</w:t>
      </w:r>
    </w:p>
    <w:p>
      <w:pPr>
        <w:sectPr>
          <w:pgSz w:w="11900" w:h="16838" w:orient="portrait"/>
          <w:cols w:equalWidth="0" w:num="1">
            <w:col w:w="11120"/>
          </w:cols>
          <w:pgMar w:left="240" w:top="926" w:right="5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62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6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Cash and cash equivalents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$ 2,290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$ 2,021</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Accounts, notes and other receivables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3,297</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3,264</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Inventories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3,049</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2,953</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Deferred income taxes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1,297</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1,296</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Other current assets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887</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661</w:t>
            </w:r>
          </w:p>
        </w:tc>
      </w:tr>
      <w:tr>
        <w:trPr>
          <w:trHeight w:val="196"/>
        </w:trPr>
        <w:tc>
          <w:tcPr>
            <w:tcW w:w="6280" w:type="dxa"/>
            <w:vAlign w:val="bottom"/>
          </w:tcPr>
          <w:p>
            <w:pPr>
              <w:spacing w:after="0"/>
              <w:rPr>
                <w:sz w:val="17"/>
                <w:szCs w:val="17"/>
                <w:color w:val="auto"/>
              </w:rPr>
            </w:pPr>
          </w:p>
        </w:tc>
        <w:tc>
          <w:tcPr>
            <w:tcW w:w="26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280" w:type="dxa"/>
            <w:vAlign w:val="bottom"/>
          </w:tcPr>
          <w:p>
            <w:pPr>
              <w:ind w:left="1220"/>
              <w:spacing w:after="0"/>
              <w:rPr>
                <w:sz w:val="20"/>
                <w:szCs w:val="20"/>
                <w:color w:val="auto"/>
              </w:rPr>
            </w:pPr>
            <w:r>
              <w:rPr>
                <w:rFonts w:ascii="Courier New" w:cs="Courier New" w:eastAsia="Courier New" w:hAnsi="Courier New"/>
                <w:sz w:val="17"/>
                <w:szCs w:val="17"/>
                <w:color w:val="auto"/>
              </w:rPr>
              <w:t>Total current assets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10,820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10,195</w:t>
            </w:r>
          </w:p>
        </w:tc>
      </w:tr>
      <w:tr>
        <w:trPr>
          <w:trHeight w:val="392"/>
        </w:trPr>
        <w:tc>
          <w:tcPr>
            <w:tcW w:w="6280" w:type="dxa"/>
            <w:vAlign w:val="bottom"/>
          </w:tcPr>
          <w:p>
            <w:pPr>
              <w:spacing w:after="0"/>
              <w:rPr>
                <w:sz w:val="20"/>
                <w:szCs w:val="20"/>
                <w:color w:val="auto"/>
              </w:rPr>
            </w:pPr>
            <w:r>
              <w:rPr>
                <w:rFonts w:ascii="Courier New" w:cs="Courier New" w:eastAsia="Courier New" w:hAnsi="Courier New"/>
                <w:sz w:val="17"/>
                <w:szCs w:val="17"/>
                <w:color w:val="auto"/>
              </w:rPr>
              <w:t>Investments and long-term receivables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626</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624</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 net</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4,080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4,055</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Goodwill - net</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5,752</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5,698</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Other intangible assets - net</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1,080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1,074</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Insurance recoveries for asbestos related liabilities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1,360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1,636</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511</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533</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Prepaid pension benefit cost</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2,646</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2,675</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1,086</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1,069</w:t>
            </w:r>
          </w:p>
        </w:tc>
      </w:tr>
      <w:tr>
        <w:trPr>
          <w:trHeight w:val="196"/>
        </w:trPr>
        <w:tc>
          <w:tcPr>
            <w:tcW w:w="6280" w:type="dxa"/>
            <w:vAlign w:val="bottom"/>
          </w:tcPr>
          <w:p>
            <w:pPr>
              <w:spacing w:after="0"/>
              <w:rPr>
                <w:sz w:val="17"/>
                <w:szCs w:val="17"/>
                <w:color w:val="auto"/>
              </w:rPr>
            </w:pPr>
          </w:p>
        </w:tc>
        <w:tc>
          <w:tcPr>
            <w:tcW w:w="26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80" w:type="dxa"/>
            <w:vAlign w:val="bottom"/>
          </w:tcPr>
          <w:p>
            <w:pPr>
              <w:ind w:left="1220"/>
              <w:spacing w:after="0"/>
              <w:rPr>
                <w:sz w:val="20"/>
                <w:szCs w:val="20"/>
                <w:color w:val="auto"/>
              </w:rPr>
            </w:pPr>
            <w:r>
              <w:rPr>
                <w:rFonts w:ascii="Courier New" w:cs="Courier New" w:eastAsia="Courier New" w:hAnsi="Courier New"/>
                <w:sz w:val="17"/>
                <w:szCs w:val="17"/>
                <w:color w:val="auto"/>
              </w:rPr>
              <w:t>Total assets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$27,961</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$27,559</w:t>
            </w:r>
          </w:p>
        </w:tc>
      </w:tr>
      <w:tr>
        <w:trPr>
          <w:trHeight w:val="196"/>
        </w:trPr>
        <w:tc>
          <w:tcPr>
            <w:tcW w:w="6280" w:type="dxa"/>
            <w:vAlign w:val="bottom"/>
          </w:tcPr>
          <w:p>
            <w:pPr>
              <w:spacing w:after="0"/>
              <w:rPr>
                <w:sz w:val="17"/>
                <w:szCs w:val="17"/>
                <w:color w:val="auto"/>
              </w:rPr>
            </w:pPr>
          </w:p>
        </w:tc>
        <w:tc>
          <w:tcPr>
            <w:tcW w:w="26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80" w:type="dxa"/>
            <w:vAlign w:val="bottom"/>
          </w:tcPr>
          <w:p>
            <w:pPr>
              <w:spacing w:after="0"/>
              <w:rPr>
                <w:sz w:val="20"/>
                <w:szCs w:val="20"/>
                <w:color w:val="auto"/>
              </w:rPr>
            </w:pPr>
            <w:r>
              <w:rPr>
                <w:rFonts w:ascii="Courier New" w:cs="Courier New" w:eastAsia="Courier New" w:hAnsi="Courier New"/>
                <w:sz w:val="17"/>
                <w:szCs w:val="17"/>
                <w:color w:val="auto"/>
              </w:rPr>
              <w:t>LIABILITIES &amp; SHAREOWNERS' EQUITY</w:t>
            </w:r>
          </w:p>
        </w:tc>
        <w:tc>
          <w:tcPr>
            <w:tcW w:w="26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Accounts payable</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$ 2,023</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$ 1,912</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Short-term borrowings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58</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Commercial paper</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378</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201</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Current maturities of long-term debt</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47</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109</w:t>
            </w:r>
          </w:p>
        </w:tc>
      </w:tr>
      <w:tr>
        <w:trPr>
          <w:trHeight w:val="196"/>
        </w:trPr>
        <w:tc>
          <w:tcPr>
            <w:tcW w:w="6280" w:type="dxa"/>
            <w:vAlign w:val="bottom"/>
          </w:tcPr>
          <w:p>
            <w:pPr>
              <w:ind w:left="420"/>
              <w:spacing w:after="0"/>
              <w:rPr>
                <w:sz w:val="20"/>
                <w:szCs w:val="20"/>
                <w:color w:val="auto"/>
              </w:rPr>
            </w:pPr>
            <w:r>
              <w:rPr>
                <w:rFonts w:ascii="Courier New" w:cs="Courier New" w:eastAsia="Courier New" w:hAnsi="Courier New"/>
                <w:sz w:val="17"/>
                <w:szCs w:val="17"/>
                <w:color w:val="auto"/>
              </w:rPr>
              <w:t>Accrued liabilities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4,383</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4,292</w:t>
            </w:r>
          </w:p>
        </w:tc>
      </w:tr>
      <w:tr>
        <w:trPr>
          <w:trHeight w:val="196"/>
        </w:trPr>
        <w:tc>
          <w:tcPr>
            <w:tcW w:w="6280" w:type="dxa"/>
            <w:vAlign w:val="bottom"/>
          </w:tcPr>
          <w:p>
            <w:pPr>
              <w:spacing w:after="0"/>
              <w:rPr>
                <w:sz w:val="17"/>
                <w:szCs w:val="17"/>
                <w:color w:val="auto"/>
              </w:rPr>
            </w:pPr>
          </w:p>
        </w:tc>
        <w:tc>
          <w:tcPr>
            <w:tcW w:w="26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280" w:type="dxa"/>
            <w:vAlign w:val="bottom"/>
          </w:tcPr>
          <w:p>
            <w:pPr>
              <w:ind w:left="1220"/>
              <w:spacing w:after="0"/>
              <w:rPr>
                <w:sz w:val="20"/>
                <w:szCs w:val="20"/>
                <w:color w:val="auto"/>
              </w:rPr>
            </w:pPr>
            <w:r>
              <w:rPr>
                <w:rFonts w:ascii="Courier New" w:cs="Courier New" w:eastAsia="Courier New" w:hAnsi="Courier New"/>
                <w:sz w:val="17"/>
                <w:szCs w:val="17"/>
                <w:color w:val="auto"/>
              </w:rPr>
              <w:t>Total current liabilities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6,889</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6,574</w:t>
            </w:r>
          </w:p>
        </w:tc>
      </w:tr>
      <w:tr>
        <w:trPr>
          <w:trHeight w:val="392"/>
        </w:trPr>
        <w:tc>
          <w:tcPr>
            <w:tcW w:w="62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4,721</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4,719</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416</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419</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Postretirement benefit obligations other than pensions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1,688</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1,684</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Asbestos related liabilities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2,490</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2,700</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2,533</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2,538</w:t>
            </w:r>
          </w:p>
        </w:tc>
      </w:tr>
      <w:tr>
        <w:trPr>
          <w:trHeight w:val="196"/>
        </w:trPr>
        <w:tc>
          <w:tcPr>
            <w:tcW w:w="6280" w:type="dxa"/>
            <w:vAlign w:val="bottom"/>
          </w:tcPr>
          <w:p>
            <w:pPr>
              <w:spacing w:after="0"/>
              <w:rPr>
                <w:sz w:val="20"/>
                <w:szCs w:val="20"/>
                <w:color w:val="auto"/>
              </w:rPr>
            </w:pPr>
            <w:r>
              <w:rPr>
                <w:rFonts w:ascii="Courier New" w:cs="Courier New" w:eastAsia="Courier New" w:hAnsi="Courier New"/>
                <w:sz w:val="17"/>
                <w:szCs w:val="17"/>
                <w:color w:val="auto"/>
              </w:rPr>
              <w:t>Shareowners' equity</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9,224</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8,925</w:t>
            </w:r>
          </w:p>
        </w:tc>
      </w:tr>
      <w:tr>
        <w:trPr>
          <w:trHeight w:val="196"/>
        </w:trPr>
        <w:tc>
          <w:tcPr>
            <w:tcW w:w="6280" w:type="dxa"/>
            <w:vAlign w:val="bottom"/>
          </w:tcPr>
          <w:p>
            <w:pPr>
              <w:spacing w:after="0"/>
              <w:rPr>
                <w:sz w:val="17"/>
                <w:szCs w:val="17"/>
                <w:color w:val="auto"/>
              </w:rPr>
            </w:pPr>
          </w:p>
        </w:tc>
        <w:tc>
          <w:tcPr>
            <w:tcW w:w="26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80" w:type="dxa"/>
            <w:vAlign w:val="bottom"/>
          </w:tcPr>
          <w:p>
            <w:pPr>
              <w:ind w:left="1220"/>
              <w:spacing w:after="0"/>
              <w:rPr>
                <w:sz w:val="20"/>
                <w:szCs w:val="20"/>
                <w:color w:val="auto"/>
              </w:rPr>
            </w:pPr>
            <w:r>
              <w:rPr>
                <w:rFonts w:ascii="Courier New" w:cs="Courier New" w:eastAsia="Courier New" w:hAnsi="Courier New"/>
                <w:sz w:val="17"/>
                <w:szCs w:val="17"/>
                <w:color w:val="auto"/>
              </w:rPr>
              <w:t>Total liabilities and shareowners' equity</w:t>
            </w:r>
          </w:p>
        </w:tc>
        <w:tc>
          <w:tcPr>
            <w:tcW w:w="26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$27,961</w:t>
            </w:r>
          </w:p>
        </w:tc>
        <w:tc>
          <w:tcPr>
            <w:tcW w:w="1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$27,559</w:t>
            </w:r>
          </w:p>
        </w:tc>
      </w:tr>
      <w:tr>
        <w:trPr>
          <w:trHeight w:val="196"/>
        </w:trPr>
        <w:tc>
          <w:tcPr>
            <w:tcW w:w="6280" w:type="dxa"/>
            <w:vAlign w:val="bottom"/>
          </w:tcPr>
          <w:p>
            <w:pPr>
              <w:spacing w:after="0"/>
              <w:rPr>
                <w:sz w:val="17"/>
                <w:szCs w:val="17"/>
                <w:color w:val="auto"/>
              </w:rPr>
            </w:pPr>
          </w:p>
        </w:tc>
        <w:tc>
          <w:tcPr>
            <w:tcW w:w="26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8-results</w:t>
      </w:r>
    </w:p>
    <w:p>
      <w:pPr>
        <w:spacing w:after="0" w:line="200"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Honeywell International Inc.</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Consolidated Statement of Cash Flows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00" w:type="dxa"/>
            <w:vAlign w:val="bottom"/>
          </w:tcPr>
          <w:p>
            <w:pPr>
              <w:ind w:left="3060"/>
              <w:spacing w:after="0"/>
              <w:rPr>
                <w:sz w:val="20"/>
                <w:szCs w:val="20"/>
                <w:color w:val="auto"/>
              </w:rPr>
            </w:pPr>
            <w:r>
              <w:rPr>
                <w:rFonts w:ascii="Courier New" w:cs="Courier New" w:eastAsia="Courier New" w:hAnsi="Courier New"/>
                <w:sz w:val="17"/>
                <w:szCs w:val="17"/>
                <w:color w:val="auto"/>
              </w:rPr>
              <w:t>(Dollars in millions)</w:t>
            </w:r>
          </w:p>
        </w:tc>
        <w:tc>
          <w:tcPr>
            <w:tcW w:w="25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785"/>
        </w:trPr>
        <w:tc>
          <w:tcPr>
            <w:tcW w:w="7200" w:type="dxa"/>
            <w:vAlign w:val="bottom"/>
          </w:tcPr>
          <w:p>
            <w:pPr>
              <w:spacing w:after="0"/>
              <w:rPr>
                <w:sz w:val="24"/>
                <w:szCs w:val="24"/>
                <w:color w:val="auto"/>
              </w:rPr>
            </w:pPr>
          </w:p>
        </w:tc>
        <w:tc>
          <w:tcPr>
            <w:tcW w:w="4320" w:type="dxa"/>
            <w:vAlign w:val="bottom"/>
            <w:gridSpan w:val="2"/>
          </w:tcPr>
          <w:p>
            <w:pPr>
              <w:jc w:val="right"/>
              <w:ind w:right="91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7200" w:type="dxa"/>
            <w:vAlign w:val="bottom"/>
          </w:tcPr>
          <w:p>
            <w:pPr>
              <w:spacing w:after="0"/>
              <w:rPr>
                <w:sz w:val="17"/>
                <w:szCs w:val="17"/>
                <w:color w:val="auto"/>
              </w:rPr>
            </w:pPr>
          </w:p>
        </w:tc>
        <w:tc>
          <w:tcPr>
            <w:tcW w:w="4320" w:type="dxa"/>
            <w:vAlign w:val="bottom"/>
            <w:gridSpan w:val="2"/>
          </w:tcPr>
          <w:p>
            <w:pPr>
              <w:jc w:val="right"/>
              <w:ind w:right="1335"/>
              <w:spacing w:after="0"/>
              <w:rPr>
                <w:sz w:val="20"/>
                <w:szCs w:val="20"/>
                <w:color w:val="auto"/>
              </w:rPr>
            </w:pPr>
            <w:r>
              <w:rPr>
                <w:rFonts w:ascii="Courier New" w:cs="Courier New" w:eastAsia="Courier New" w:hAnsi="Courier New"/>
                <w:sz w:val="17"/>
                <w:szCs w:val="17"/>
                <w:color w:val="auto"/>
              </w:rPr>
              <w:t>March 31,</w:t>
            </w:r>
          </w:p>
        </w:tc>
      </w:tr>
      <w:tr>
        <w:trPr>
          <w:trHeight w:val="196"/>
        </w:trPr>
        <w:tc>
          <w:tcPr>
            <w:tcW w:w="7200" w:type="dxa"/>
            <w:vAlign w:val="bottom"/>
          </w:tcPr>
          <w:p>
            <w:pPr>
              <w:spacing w:after="0"/>
              <w:rPr>
                <w:sz w:val="17"/>
                <w:szCs w:val="17"/>
                <w:color w:val="auto"/>
              </w:rPr>
            </w:pPr>
          </w:p>
        </w:tc>
        <w:tc>
          <w:tcPr>
            <w:tcW w:w="4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200" w:type="dxa"/>
            <w:vAlign w:val="bottom"/>
          </w:tcPr>
          <w:p>
            <w:pPr>
              <w:spacing w:after="0"/>
              <w:rPr>
                <w:sz w:val="17"/>
                <w:szCs w:val="17"/>
                <w:color w:val="auto"/>
              </w:rPr>
            </w:pPr>
          </w:p>
        </w:tc>
        <w:tc>
          <w:tcPr>
            <w:tcW w:w="250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2003</w:t>
            </w:r>
          </w:p>
        </w:tc>
        <w:tc>
          <w:tcPr>
            <w:tcW w:w="18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2002</w:t>
            </w:r>
          </w:p>
        </w:tc>
      </w:tr>
      <w:tr>
        <w:trPr>
          <w:trHeight w:val="196"/>
        </w:trPr>
        <w:tc>
          <w:tcPr>
            <w:tcW w:w="7200" w:type="dxa"/>
            <w:vAlign w:val="bottom"/>
          </w:tcPr>
          <w:p>
            <w:pPr>
              <w:spacing w:after="0"/>
              <w:rPr>
                <w:sz w:val="17"/>
                <w:szCs w:val="17"/>
                <w:color w:val="auto"/>
              </w:rPr>
            </w:pP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2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6"/>
        </w:trPr>
        <w:tc>
          <w:tcPr>
            <w:tcW w:w="7200" w:type="dxa"/>
            <w:vAlign w:val="bottom"/>
          </w:tcPr>
          <w:p>
            <w:pPr>
              <w:ind w:left="420"/>
              <w:spacing w:after="0"/>
              <w:rPr>
                <w:sz w:val="20"/>
                <w:szCs w:val="20"/>
                <w:color w:val="auto"/>
              </w:rPr>
            </w:pPr>
            <w:r>
              <w:rPr>
                <w:rFonts w:ascii="Courier New" w:cs="Courier New" w:eastAsia="Courier New" w:hAnsi="Courier New"/>
                <w:sz w:val="17"/>
                <w:szCs w:val="17"/>
                <w:color w:val="auto"/>
              </w:rPr>
              <w:t>Net income</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$ 254</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$ 376</w:t>
            </w:r>
          </w:p>
        </w:tc>
      </w:tr>
      <w:tr>
        <w:trPr>
          <w:trHeight w:val="196"/>
        </w:trPr>
        <w:tc>
          <w:tcPr>
            <w:tcW w:w="7200" w:type="dxa"/>
            <w:vAlign w:val="bottom"/>
          </w:tcPr>
          <w:p>
            <w:pPr>
              <w:ind w:left="420"/>
              <w:spacing w:after="0"/>
              <w:rPr>
                <w:sz w:val="20"/>
                <w:szCs w:val="20"/>
                <w:color w:val="auto"/>
              </w:rPr>
            </w:pPr>
            <w:r>
              <w:rPr>
                <w:rFonts w:ascii="Courier New" w:cs="Courier New" w:eastAsia="Courier New" w:hAnsi="Courier New"/>
                <w:sz w:val="17"/>
                <w:szCs w:val="17"/>
                <w:color w:val="auto"/>
              </w:rPr>
              <w:t>Adjustments to reconcile net income to net cash provided</w:t>
            </w: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200" w:type="dxa"/>
            <w:vAlign w:val="bottom"/>
          </w:tcPr>
          <w:p>
            <w:pPr>
              <w:ind w:left="420"/>
              <w:spacing w:after="0"/>
              <w:rPr>
                <w:sz w:val="20"/>
                <w:szCs w:val="20"/>
                <w:color w:val="auto"/>
              </w:rPr>
            </w:pPr>
            <w:r>
              <w:rPr>
                <w:rFonts w:ascii="Courier New" w:cs="Courier New" w:eastAsia="Courier New" w:hAnsi="Courier New"/>
                <w:sz w:val="17"/>
                <w:szCs w:val="17"/>
                <w:color w:val="auto"/>
              </w:rPr>
              <w:t>by operating activities:</w:t>
            </w: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Cumulative effect of accounting change</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31</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(Gain) on sale of non-strategic businesses</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(125)</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Repositioning charges</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Business impairment charges</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Insurance receipts for asbestos related liabilities</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Asbestos related liability payments</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(31)</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Depreciation</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142</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176</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Undistributed earnings of equity affiliates</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Deferred income taxes</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49</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121</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Other</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(136)</w:t>
            </w: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Changes in assets and liabilities, net of the effects of</w:t>
            </w: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200" w:type="dxa"/>
            <w:vAlign w:val="bottom"/>
          </w:tcPr>
          <w:p>
            <w:pPr>
              <w:ind w:left="820"/>
              <w:spacing w:after="0"/>
              <w:rPr>
                <w:sz w:val="20"/>
                <w:szCs w:val="20"/>
                <w:color w:val="auto"/>
              </w:rPr>
            </w:pPr>
            <w:r>
              <w:rPr>
                <w:rFonts w:ascii="Courier New" w:cs="Courier New" w:eastAsia="Courier New" w:hAnsi="Courier New"/>
                <w:sz w:val="17"/>
                <w:szCs w:val="17"/>
                <w:color w:val="auto"/>
              </w:rPr>
              <w:t>acquisitions and divestitures:</w:t>
            </w:r>
          </w:p>
        </w:tc>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200" w:type="dxa"/>
            <w:vAlign w:val="bottom"/>
          </w:tcPr>
          <w:p>
            <w:pPr>
              <w:ind w:left="1120"/>
              <w:spacing w:after="0"/>
              <w:rPr>
                <w:sz w:val="20"/>
                <w:szCs w:val="20"/>
                <w:color w:val="auto"/>
              </w:rPr>
            </w:pPr>
            <w:r>
              <w:rPr>
                <w:rFonts w:ascii="Courier New" w:cs="Courier New" w:eastAsia="Courier New" w:hAnsi="Courier New"/>
                <w:sz w:val="17"/>
                <w:szCs w:val="17"/>
                <w:color w:val="auto"/>
              </w:rPr>
              <w:t>Accounts, notes and other receivables</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(29)</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170</w:t>
            </w:r>
          </w:p>
        </w:tc>
      </w:tr>
      <w:tr>
        <w:trPr>
          <w:trHeight w:val="196"/>
        </w:trPr>
        <w:tc>
          <w:tcPr>
            <w:tcW w:w="7200" w:type="dxa"/>
            <w:vAlign w:val="bottom"/>
          </w:tcPr>
          <w:p>
            <w:pPr>
              <w:ind w:left="1120"/>
              <w:spacing w:after="0"/>
              <w:rPr>
                <w:sz w:val="20"/>
                <w:szCs w:val="20"/>
                <w:color w:val="auto"/>
              </w:rPr>
            </w:pPr>
            <w:r>
              <w:rPr>
                <w:rFonts w:ascii="Courier New" w:cs="Courier New" w:eastAsia="Courier New" w:hAnsi="Courier New"/>
                <w:sz w:val="17"/>
                <w:szCs w:val="17"/>
                <w:color w:val="auto"/>
              </w:rPr>
              <w:t>Inventories</w:t>
            </w:r>
          </w:p>
        </w:tc>
        <w:tc>
          <w:tcPr>
            <w:tcW w:w="25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(90)</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bl>
    <w:p>
      <w:pPr>
        <w:sectPr>
          <w:pgSz w:w="11900" w:h="16838" w:orient="portrait"/>
          <w:cols w:equalWidth="0" w:num="1">
            <w:col w:w="11520"/>
          </w:cols>
          <w:pgMar w:left="240" w:top="141" w:right="1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00" w:type="dxa"/>
            <w:vAlign w:val="bottom"/>
          </w:tcPr>
          <w:p>
            <w:pPr>
              <w:ind w:left="1120"/>
              <w:spacing w:after="0"/>
              <w:rPr>
                <w:sz w:val="20"/>
                <w:szCs w:val="20"/>
                <w:color w:val="auto"/>
              </w:rPr>
            </w:pPr>
            <w:r>
              <w:rPr>
                <w:rFonts w:ascii="Courier New" w:cs="Courier New" w:eastAsia="Courier New" w:hAnsi="Courier New"/>
                <w:sz w:val="17"/>
                <w:szCs w:val="17"/>
                <w:color w:val="auto"/>
              </w:rPr>
              <w:t>Other current assets</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42</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6"/>
        </w:trPr>
        <w:tc>
          <w:tcPr>
            <w:tcW w:w="7000" w:type="dxa"/>
            <w:vAlign w:val="bottom"/>
          </w:tcPr>
          <w:p>
            <w:pPr>
              <w:ind w:left="1120"/>
              <w:spacing w:after="0"/>
              <w:rPr>
                <w:sz w:val="20"/>
                <w:szCs w:val="20"/>
                <w:color w:val="auto"/>
              </w:rPr>
            </w:pPr>
            <w:r>
              <w:rPr>
                <w:rFonts w:ascii="Courier New" w:cs="Courier New" w:eastAsia="Courier New" w:hAnsi="Courier New"/>
                <w:sz w:val="17"/>
                <w:szCs w:val="17"/>
                <w:color w:val="auto"/>
              </w:rPr>
              <w:t>Accounts payable</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110</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6"/>
        </w:trPr>
        <w:tc>
          <w:tcPr>
            <w:tcW w:w="7000" w:type="dxa"/>
            <w:vAlign w:val="bottom"/>
          </w:tcPr>
          <w:p>
            <w:pPr>
              <w:ind w:left="1120"/>
              <w:spacing w:after="0"/>
              <w:rPr>
                <w:sz w:val="20"/>
                <w:szCs w:val="20"/>
                <w:color w:val="auto"/>
              </w:rPr>
            </w:pPr>
            <w:r>
              <w:rPr>
                <w:rFonts w:ascii="Courier New" w:cs="Courier New" w:eastAsia="Courier New" w:hAnsi="Courier New"/>
                <w:sz w:val="17"/>
                <w:szCs w:val="17"/>
                <w:color w:val="auto"/>
              </w:rPr>
              <w:t>Accrued liabilities</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16</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(224)</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473</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405</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7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6"/>
        </w:trPr>
        <w:tc>
          <w:tcPr>
            <w:tcW w:w="7000" w:type="dxa"/>
            <w:vAlign w:val="bottom"/>
          </w:tcPr>
          <w:p>
            <w:pPr>
              <w:ind w:left="420"/>
              <w:spacing w:after="0"/>
              <w:rPr>
                <w:sz w:val="20"/>
                <w:szCs w:val="20"/>
                <w:color w:val="auto"/>
              </w:rPr>
            </w:pPr>
            <w:r>
              <w:rPr>
                <w:rFonts w:ascii="Courier New" w:cs="Courier New" w:eastAsia="Courier New" w:hAnsi="Courier New"/>
                <w:sz w:val="17"/>
                <w:szCs w:val="17"/>
                <w:color w:val="auto"/>
              </w:rPr>
              <w:t>Expenditures for property, plant and equipment</w:t>
            </w: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(105)</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(147)</w:t>
            </w:r>
          </w:p>
        </w:tc>
      </w:tr>
      <w:tr>
        <w:trPr>
          <w:trHeight w:val="196"/>
        </w:trPr>
        <w:tc>
          <w:tcPr>
            <w:tcW w:w="7000" w:type="dxa"/>
            <w:vAlign w:val="bottom"/>
          </w:tcPr>
          <w:p>
            <w:pPr>
              <w:ind w:left="420"/>
              <w:spacing w:after="0"/>
              <w:rPr>
                <w:sz w:val="20"/>
                <w:szCs w:val="20"/>
                <w:color w:val="auto"/>
              </w:rPr>
            </w:pPr>
            <w:r>
              <w:rPr>
                <w:rFonts w:ascii="Courier New" w:cs="Courier New" w:eastAsia="Courier New" w:hAnsi="Courier New"/>
                <w:sz w:val="17"/>
                <w:szCs w:val="17"/>
                <w:color w:val="auto"/>
              </w:rPr>
              <w:t>Proceeds from disposals of property, plant and equipment</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Cash paid for acquisitions</w:t>
            </w: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(90)</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Proceeds from sales of businesses</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96</w:t>
            </w: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Decrease in short-term investments</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cash (used for) investing activities</w:t>
            </w: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(195)</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7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Net increase in commercial paper</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177</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237</w:t>
            </w: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Net (decrease) in short-term borrowings</w:t>
            </w: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Proceeds from issuance of common stock</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24</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Payments of long-term debt</w:t>
            </w: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(47)</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(200)</w:t>
            </w:r>
          </w:p>
        </w:tc>
      </w:tr>
      <w:tr>
        <w:trPr>
          <w:trHeight w:val="196"/>
        </w:trPr>
        <w:tc>
          <w:tcPr>
            <w:tcW w:w="7000" w:type="dxa"/>
            <w:vAlign w:val="bottom"/>
          </w:tcPr>
          <w:p>
            <w:pPr>
              <w:ind w:left="520"/>
              <w:spacing w:after="0"/>
              <w:rPr>
                <w:sz w:val="20"/>
                <w:szCs w:val="20"/>
                <w:color w:val="auto"/>
              </w:rPr>
            </w:pPr>
            <w:r>
              <w:rPr>
                <w:rFonts w:ascii="Courier New" w:cs="Courier New" w:eastAsia="Courier New" w:hAnsi="Courier New"/>
                <w:sz w:val="17"/>
                <w:szCs w:val="17"/>
                <w:color w:val="auto"/>
              </w:rPr>
              <w:t>Cash dividends on common stock</w:t>
            </w: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(161)</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(153)</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cash (used for) financing activities</w:t>
            </w: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(154)</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000" w:type="dxa"/>
            <w:vAlign w:val="bottom"/>
          </w:tcPr>
          <w:p>
            <w:pPr>
              <w:spacing w:after="0"/>
              <w:rPr>
                <w:sz w:val="20"/>
                <w:szCs w:val="20"/>
                <w:color w:val="auto"/>
              </w:rPr>
            </w:pPr>
            <w:r>
              <w:rPr>
                <w:rFonts w:ascii="Courier New" w:cs="Courier New" w:eastAsia="Courier New" w:hAnsi="Courier New"/>
                <w:sz w:val="17"/>
                <w:szCs w:val="17"/>
                <w:color w:val="auto"/>
              </w:rPr>
              <w:t>Net increase in cash and cash equivalents</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269</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199</w:t>
            </w:r>
          </w:p>
        </w:tc>
      </w:tr>
      <w:tr>
        <w:trPr>
          <w:trHeight w:val="1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2,021</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1,393</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70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2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$ 2,290</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$ 1,592</w:t>
            </w:r>
          </w:p>
        </w:tc>
      </w:tr>
      <w:tr>
        <w:trPr>
          <w:trHeight w:val="196"/>
        </w:trPr>
        <w:tc>
          <w:tcPr>
            <w:tcW w:w="7000" w:type="dxa"/>
            <w:vAlign w:val="bottom"/>
          </w:tcPr>
          <w:p>
            <w:pPr>
              <w:spacing w:after="0"/>
              <w:rPr>
                <w:sz w:val="17"/>
                <w:szCs w:val="17"/>
                <w:color w:val="auto"/>
              </w:rPr>
            </w:pPr>
          </w:p>
        </w:tc>
        <w:tc>
          <w:tcPr>
            <w:tcW w:w="2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9-results</w:t>
      </w:r>
    </w:p>
    <w:p>
      <w:pPr>
        <w:spacing w:after="0" w:line="200"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7"/>
          <w:szCs w:val="17"/>
          <w:color w:val="auto"/>
        </w:rPr>
        <w:t>Honeywell International Inc.</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Reconciliation of Cash Provided by Operating Activities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to Free Cash Flow (Unaudited)</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(Dollars in Millions)</w:t>
      </w:r>
    </w:p>
    <w:p>
      <w:pPr>
        <w:spacing w:after="0" w:line="200" w:lineRule="exact"/>
        <w:rPr>
          <w:sz w:val="20"/>
          <w:szCs w:val="20"/>
          <w:color w:val="auto"/>
        </w:rPr>
      </w:pPr>
    </w:p>
    <w:p>
      <w:pPr>
        <w:spacing w:after="0" w:line="392" w:lineRule="exact"/>
        <w:rPr>
          <w:sz w:val="20"/>
          <w:szCs w:val="20"/>
          <w:color w:val="auto"/>
        </w:rPr>
      </w:pPr>
    </w:p>
    <w:p>
      <w:pPr>
        <w:ind w:left="766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8160"/>
        <w:spacing w:after="0"/>
        <w:rPr>
          <w:sz w:val="20"/>
          <w:szCs w:val="20"/>
          <w:color w:val="auto"/>
        </w:rPr>
      </w:pPr>
      <w:r>
        <w:rPr>
          <w:rFonts w:ascii="Courier New" w:cs="Courier New" w:eastAsia="Courier New" w:hAnsi="Courier New"/>
          <w:sz w:val="17"/>
          <w:szCs w:val="17"/>
          <w:color w:val="auto"/>
        </w:rPr>
        <w:t>March 31,</w:t>
      </w:r>
    </w:p>
    <w:p>
      <w:pPr>
        <w:spacing w:after="0" w:line="4" w:lineRule="exact"/>
        <w:rPr>
          <w:sz w:val="20"/>
          <w:szCs w:val="20"/>
          <w:color w:val="auto"/>
        </w:rPr>
      </w:pPr>
    </w:p>
    <w:p>
      <w:pPr>
        <w:ind w:left="66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7240"/>
        <w:spacing w:after="0"/>
        <w:tabs>
          <w:tab w:leader="none" w:pos="9580" w:val="left"/>
        </w:tabs>
        <w:rPr>
          <w:sz w:val="20"/>
          <w:szCs w:val="20"/>
          <w:color w:val="auto"/>
        </w:rPr>
      </w:pPr>
      <w:r>
        <w:rPr>
          <w:rFonts w:ascii="Courier New" w:cs="Courier New" w:eastAsia="Courier New" w:hAnsi="Courier New"/>
          <w:sz w:val="17"/>
          <w:szCs w:val="17"/>
          <w:color w:val="auto"/>
        </w:rPr>
        <w:t>2003</w:t>
      </w:r>
      <w:r>
        <w:rPr>
          <w:sz w:val="20"/>
          <w:szCs w:val="20"/>
          <w:color w:val="auto"/>
        </w:rPr>
        <w:tab/>
      </w:r>
      <w:r>
        <w:rPr>
          <w:rFonts w:ascii="Courier New" w:cs="Courier New" w:eastAsia="Courier New" w:hAnsi="Courier New"/>
          <w:sz w:val="17"/>
          <w:szCs w:val="17"/>
          <w:color w:val="auto"/>
        </w:rPr>
        <w:t>2002</w:t>
      </w:r>
    </w:p>
    <w:p>
      <w:pPr>
        <w:spacing w:after="0" w:line="4" w:lineRule="exact"/>
        <w:rPr>
          <w:sz w:val="20"/>
          <w:szCs w:val="20"/>
          <w:color w:val="auto"/>
        </w:rPr>
      </w:pPr>
    </w:p>
    <w:p>
      <w:pPr>
        <w:ind w:left="6640"/>
        <w:spacing w:after="0"/>
        <w:tabs>
          <w:tab w:leader="none" w:pos="88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38" w:orient="portrait"/>
          <w:cols w:equalWidth="0" w:num="1">
            <w:col w:w="11520"/>
          </w:cols>
          <w:pgMar w:left="240" w:top="141" w:right="139"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provided by operating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$ 473</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$ 405</w:t>
      </w:r>
    </w:p>
    <w:p>
      <w:pPr>
        <w:spacing w:after="0" w:line="200" w:lineRule="exact"/>
        <w:rPr>
          <w:sz w:val="20"/>
          <w:szCs w:val="20"/>
          <w:color w:val="auto"/>
        </w:rPr>
      </w:pPr>
    </w:p>
    <w:p>
      <w:pPr>
        <w:sectPr>
          <w:pgSz w:w="11900" w:h="16838" w:orient="portrait"/>
          <w:cols w:equalWidth="0" w:num="3">
            <w:col w:w="7040" w:space="720"/>
            <w:col w:w="1620" w:space="720"/>
            <w:col w:w="1420"/>
          </w:cols>
          <w:pgMar w:left="240" w:top="141" w:right="1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Expenditures for property, plant and equipment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7"/>
          <w:szCs w:val="17"/>
          <w:color w:val="auto"/>
        </w:rPr>
        <w:t>(105)</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right"/>
        <w:ind w:right="800"/>
        <w:spacing w:after="0"/>
        <w:rPr>
          <w:sz w:val="20"/>
          <w:szCs w:val="20"/>
          <w:color w:val="auto"/>
        </w:rPr>
      </w:pPr>
      <w:r>
        <w:rPr>
          <w:rFonts w:ascii="Courier New" w:cs="Courier New" w:eastAsia="Courier New" w:hAnsi="Courier New"/>
          <w:sz w:val="17"/>
          <w:szCs w:val="17"/>
          <w:color w:val="auto"/>
        </w:rPr>
        <w:t>(147)</w:t>
      </w:r>
    </w:p>
    <w:p>
      <w:pPr>
        <w:spacing w:after="0" w:line="4" w:lineRule="exact"/>
        <w:rPr>
          <w:sz w:val="20"/>
          <w:szCs w:val="20"/>
          <w:color w:val="auto"/>
        </w:rPr>
      </w:pPr>
    </w:p>
    <w:p>
      <w:pPr>
        <w:jc w:val="right"/>
        <w:ind w:right="8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5920" w:space="720"/>
            <w:col w:w="1740" w:space="500"/>
            <w:col w:w="2640"/>
          </w:cols>
          <w:pgMar w:left="240" w:top="141" w:right="1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Free cash flow</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7"/>
          <w:szCs w:val="17"/>
          <w:color w:val="auto"/>
        </w:rPr>
        <w:t>$ 368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7"/>
          <w:szCs w:val="17"/>
          <w:color w:val="auto"/>
        </w:rPr>
        <w:t>$ 258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5920" w:space="720"/>
            <w:col w:w="1740" w:space="500"/>
            <w:col w:w="2640"/>
          </w:cols>
          <w:pgMar w:left="240" w:top="141" w:right="139" w:bottom="1440" w:gutter="0" w:footer="0" w:header="0"/>
          <w:type w:val="continuous"/>
        </w:sectPr>
      </w:pPr>
    </w:p>
    <w:p>
      <w:pPr>
        <w:spacing w:after="0" w:line="393" w:lineRule="exact"/>
        <w:rPr>
          <w:sz w:val="20"/>
          <w:szCs w:val="20"/>
          <w:color w:val="auto"/>
        </w:rPr>
      </w:pPr>
    </w:p>
    <w:p>
      <w:pPr>
        <w:ind w:right="3760"/>
        <w:spacing w:after="0" w:line="243" w:lineRule="auto"/>
        <w:rPr>
          <w:sz w:val="20"/>
          <w:szCs w:val="20"/>
          <w:color w:val="auto"/>
        </w:rPr>
      </w:pPr>
      <w:r>
        <w:rPr>
          <w:rFonts w:ascii="Courier New" w:cs="Courier New" w:eastAsia="Courier New" w:hAnsi="Courier New"/>
          <w:sz w:val="17"/>
          <w:szCs w:val="17"/>
          <w:color w:val="auto"/>
        </w:rPr>
        <w:t>We define free cash flow as cash provided by operating activities, less cash expenditures for property, plant and equipment.</w:t>
      </w:r>
    </w:p>
    <w:p>
      <w:pPr>
        <w:spacing w:after="0" w:line="199" w:lineRule="exact"/>
        <w:rPr>
          <w:sz w:val="20"/>
          <w:szCs w:val="20"/>
          <w:color w:val="auto"/>
        </w:rPr>
      </w:pPr>
    </w:p>
    <w:p>
      <w:pPr>
        <w:jc w:val="both"/>
        <w:ind w:right="3460"/>
        <w:spacing w:after="0" w:line="244" w:lineRule="auto"/>
        <w:rPr>
          <w:sz w:val="20"/>
          <w:szCs w:val="20"/>
          <w:color w:val="auto"/>
        </w:rPr>
      </w:pPr>
      <w:r>
        <w:rPr>
          <w:rFonts w:ascii="Courier New" w:cs="Courier New" w:eastAsia="Courier New" w:hAnsi="Courier New"/>
          <w:sz w:val="17"/>
          <w:szCs w:val="17"/>
          <w:color w:val="auto"/>
        </w:rPr>
        <w:t>We believe that this metric is useful to investors and management as a measure of cash generated by business operations that can be used to invest in future growth through new business development activities or acquisitions, and to pay dividends, repurchase stock, or repay debt obligations. This metric can also be used to evaluate our ability to generate cash flow from business operations and the impact that this cash flow has on our liquidity.</w:t>
      </w:r>
    </w:p>
    <w:sectPr>
      <w:pgSz w:w="11900" w:h="16838" w:orient="portrait"/>
      <w:cols w:equalWidth="0" w:num="1">
        <w:col w:w="11520"/>
      </w:cols>
      <w:pgMar w:left="24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99"/>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2020-02-17T01:13:20Z</dcterms:created>
  <dcterms:modified xsi:type="dcterms:W3CDTF">2020-02-17T01:13:20Z</dcterms:modified>
</cp:coreProperties>
</file>