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89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8967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Mattimore Karen</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HONEYWELL INTERNATIONAL INC </w:t>
              </w:r>
            </w:hyperlink>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20" w:type="dxa"/>
            <w:vAlign w:val="bottom"/>
            <w:tcBorders>
              <w:bottom w:val="single" w:sz="8" w:color="0000EE"/>
            </w:tcBorders>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 xml:space="preserve">HON </w:t>
            </w:r>
            <w:r>
              <w:rPr>
                <w:rFonts w:ascii="Times New Roman" w:cs="Times New Roman" w:eastAsia="Times New Roman" w:hAnsi="Times New Roman"/>
                <w:sz w:val="20"/>
                <w:szCs w:val="20"/>
                <w:color w:val="000000"/>
                <w:w w:val="96"/>
              </w:rPr>
              <w:t>]</w:t>
            </w: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2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bottom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vMerge w:val="continue"/>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Former SrVP &amp; Chief HR Officer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855 S. MINT STREET</w:t>
            </w:r>
          </w:p>
        </w:tc>
        <w:tc>
          <w:tcPr>
            <w:tcW w:w="1100" w:type="dxa"/>
            <w:vAlign w:val="bottom"/>
          </w:tcPr>
          <w:p>
            <w:pPr>
              <w:spacing w:after="0"/>
              <w:rPr>
                <w:sz w:val="9"/>
                <w:szCs w:val="9"/>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06/29/2026</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90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28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CHARLOTTE   NC</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28202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2,704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2,704</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2,704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(5)</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1,746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1,746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1,746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9"/>
              </w:rPr>
              <w:t>1,745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1,745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1,745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(7)</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8"/>
              </w:rPr>
              <w:t>12,531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840" w:type="dxa"/>
            <w:vAlign w:val="bottom"/>
          </w:tcPr>
          <w:p>
            <w:pPr>
              <w:jc w:val="center"/>
              <w:ind w:right="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200.61</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4"/>
              </w:rPr>
              <w:t>12,531</w:t>
            </w:r>
          </w:p>
        </w:tc>
        <w:tc>
          <w:tcPr>
            <w:tcW w:w="340" w:type="dxa"/>
            <w:vAlign w:val="bottom"/>
          </w:tcPr>
          <w:p>
            <w:pPr>
              <w:spacing w:after="0"/>
              <w:rPr>
                <w:sz w:val="11"/>
                <w:szCs w:val="11"/>
                <w:color w:val="auto"/>
              </w:rPr>
            </w:pPr>
          </w:p>
        </w:tc>
        <w:tc>
          <w:tcPr>
            <w:tcW w:w="76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02/19/2035</w:t>
            </w:r>
          </w:p>
        </w:tc>
        <w:tc>
          <w:tcPr>
            <w:tcW w:w="6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12,531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spacing w:after="0" w:line="27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(8)</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(8)</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7"/>
                <w:szCs w:val="17"/>
                <w:color w:val="0000FF"/>
                <w:w w:val="98"/>
              </w:rPr>
              <w:t>12,531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Options</w:t>
            </w:r>
          </w:p>
        </w:tc>
        <w:tc>
          <w:tcPr>
            <w:tcW w:w="840" w:type="dxa"/>
            <w:vAlign w:val="bottom"/>
          </w:tcPr>
          <w:p>
            <w:pPr>
              <w:jc w:val="center"/>
              <w:ind w:right="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200.61</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06/29/2026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4"/>
              </w:rPr>
              <w:t>12,531</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02/19/2035</w:t>
            </w:r>
          </w:p>
        </w:tc>
        <w:tc>
          <w:tcPr>
            <w:tcW w:w="6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12,531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Instrument converts to Common Stock, par value $1.00 per share ('Common Stock'), of Honeywell International Inc. ('Honeywell') on a one-for-one basis.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share units ('PSUs') granted under the 2016 Stock Incentive Plan of Honeywell International Inc and its Affiliates (the 'Plan') which were later converted in connection with the spin-off of Honeywell Aerospace Inc. ('HONA') from Honeywell on June 29, 2026 into restricted stock units of Honeywell and restricted stock units of HONA and were further adjusted to reflect the reverse stock split of Honeywell, in each case in accordance with the Employee Matters Agreement, dated July 29, 2026 between Honeywell and HONA.</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February 16,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Instrument converts to Common Stock on a one-for-one basis.</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PSUs granted under the Plan, which vested upon the successful completion of the spin-off of HONA from Honeywell on June 29, 2026 and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PSUs granted under the Plan, with vesting on June 29, 2027 (i.e., the first anniversary of the successful completion of the spin-off of HONA from Honeywell on June 29, 2026), which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options granted under the Plan subject to successful completion of the spin-off to HONA from Honeywell on June 29, 2026, which are fully vested and were adjusted to reflect the spin-off and further adjusted to reflect the reverse stock split of Honeywell.</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options granted under the Plan subject to successful completion of the spin-off of HONA from Honeywell on June 29, 2026, which will vest on June 29, 2027 and were adjusted to reflect the spin-off and further adjusted to reflect the reverse stock split of Honeywell.</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As of July 1, 2026, Ms. Mattimore is no longer an 'officer' within the meaning of Rule 16a-1.</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Richard Kent for Karen</w:t>
            </w:r>
          </w:p>
        </w:tc>
        <w:tc>
          <w:tcPr>
            <w:tcW w:w="6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Mattimore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5605" TargetMode="External"/><Relationship Id="rId14"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2026-07-01T15:26:03Z</dcterms:created>
  <dcterms:modified xsi:type="dcterms:W3CDTF">2026-07-01T15:26:03Z</dcterms:modified>
</cp:coreProperties>
</file>