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Kapur Vimal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 S. MINT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HONEYWELL INTERNATIONAL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HON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80" w:space="3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37,345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37,345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164,353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240.99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164,353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164,353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Incentive Plan of Honeywell International Inc. and its Affiliates and will vest 25% on each of February 19, 2027, February 19, 2028, February 19, 2029 and February 19, 2030, respectively.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Employee Stock Options were granted under the 2016 Stock Incentive Plan of Honeywell International Inc. and its Affiliates and vest on February 19, 2030.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Kent for Vimal Kapur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02/23/2026</w:t>
            </w:r>
          </w:p>
        </w:tc>
      </w:tr>
      <w:tr>
        <w:trPr>
          <w:trHeight w:val="224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42938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2026-02-23T15:45:25Z</dcterms:created>
  <dcterms:modified xsi:type="dcterms:W3CDTF">2026-02-23T15:45:25Z</dcterms:modified>
</cp:coreProperties>
</file>