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-236220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-617220</wp:posOffset>
            </wp:positionV>
            <wp:extent cx="57785" cy="630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196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19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Lieblein Grace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87.96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194.07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2,568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options held by the Reporting Person have been adjusted to increase the number of shares and reduce the exercise price in a manner subject to the adjustment provisions of the AdvanSix Inc. spin-off from Honeywell which occurred on October 1, 2016; the Garrett Motion Inc. spin-off from Honeywell which occurred on October 1, 2018; and the Resideo Technologies, Inc. spin-off from Honeywell which occurred on October 29, 2018.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exempt grant of non-qualified stock options under the 2006 Stock Plan for Non-Employee Directors that vest in four equal annual installments, with the first installment vesting on April 1, 2015.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Su Ping Lu for Grace Lieblein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02/07/2024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4342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2024-02-07T15:49:57Z</dcterms:created>
  <dcterms:modified xsi:type="dcterms:W3CDTF">2024-02-07T15:49:57Z</dcterms:modified>
</cp:coreProperties>
</file>