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4"/>
          <w:szCs w:val="24"/>
          <w:color w:val="auto"/>
        </w:rPr>
        <w:t>______________________</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 w:lineRule="exact"/>
        <w:rPr>
          <w:sz w:val="24"/>
          <w:szCs w:val="24"/>
          <w:color w:val="auto"/>
        </w:rPr>
      </w:pPr>
    </w:p>
    <w:p>
      <w:pPr>
        <w:jc w:val="center"/>
        <w:ind w:right="-1120"/>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2"/>
          <w:szCs w:val="22"/>
          <w:b w:val="1"/>
          <w:bCs w:val="1"/>
          <w:color w:val="auto"/>
        </w:rPr>
        <w:t>)</w:t>
      </w:r>
    </w:p>
    <w:p>
      <w:pPr>
        <w:spacing w:after="0" w:line="73"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24"/>
          <w:szCs w:val="24"/>
          <w:color w:val="auto"/>
        </w:rPr>
        <w:t>______________________</w:t>
      </w:r>
    </w:p>
    <w:p>
      <w:pPr>
        <w:sectPr>
          <w:pgSz w:w="11900" w:h="16838" w:orient="portrait"/>
          <w:cols w:equalWidth="0" w:num="1">
            <w:col w:w="10139"/>
          </w:cols>
          <w:pgMar w:left="320" w:top="1294" w:right="1440" w:bottom="1440" w:gutter="0" w:footer="0" w:header="0"/>
        </w:sectPr>
      </w:pPr>
    </w:p>
    <w:p>
      <w:pPr>
        <w:spacing w:after="0" w:line="19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87" w:lineRule="exact"/>
        <w:rPr>
          <w:sz w:val="24"/>
          <w:szCs w:val="24"/>
          <w:color w:val="auto"/>
        </w:rPr>
      </w:pPr>
    </w:p>
    <w:p>
      <w:pPr>
        <w:sectPr>
          <w:pgSz w:w="11900" w:h="16838" w:orient="portrait"/>
          <w:cols w:equalWidth="0" w:num="4">
            <w:col w:w="1680" w:space="500"/>
            <w:col w:w="640" w:space="720"/>
            <w:col w:w="3100" w:space="720"/>
            <w:col w:w="2779"/>
          </w:cols>
          <w:pgMar w:left="320" w:top="1294" w:right="1440"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10139"/>
          </w:cols>
          <w:pgMar w:left="320" w:top="1294" w:right="1440" w:bottom="1440" w:gutter="0" w:footer="0" w:header="0"/>
          <w:type w:val="continuous"/>
        </w:sectPr>
      </w:pPr>
    </w:p>
    <w:p>
      <w:pPr>
        <w:spacing w:after="0" w:line="183"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6"/>
          <w:szCs w:val="16"/>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7" w:lineRule="exact"/>
        <w:rPr>
          <w:rFonts w:ascii="MS PGothic" w:cs="MS PGothic" w:eastAsia="MS PGothic" w:hAnsi="MS PGothic"/>
          <w:sz w:val="16"/>
          <w:szCs w:val="16"/>
          <w:color w:val="auto"/>
        </w:rPr>
      </w:pPr>
    </w:p>
    <w:p>
      <w:pPr>
        <w:ind w:left="20"/>
        <w:spacing w:after="0" w:line="207"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7"/>
          <w:szCs w:val="17"/>
          <w:color w:val="auto"/>
        </w:rPr>
        <w:t>Definitive Proxy Statement</w:t>
      </w:r>
    </w:p>
    <w:p>
      <w:pPr>
        <w:spacing w:after="0" w:line="92" w:lineRule="exact"/>
        <w:rPr>
          <w:rFonts w:ascii="MS PGothic" w:cs="MS PGothic" w:eastAsia="MS PGothic" w:hAnsi="MS PGothic"/>
          <w:sz w:val="16"/>
          <w:szCs w:val="16"/>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Definitive Additional Materials</w:t>
      </w:r>
    </w:p>
    <w:p>
      <w:pPr>
        <w:spacing w:after="0" w:line="63" w:lineRule="exact"/>
        <w:rPr>
          <w:rFonts w:ascii="MS PGothic" w:cs="MS PGothic" w:eastAsia="MS PGothic" w:hAnsi="MS PGothic"/>
          <w:sz w:val="16"/>
          <w:szCs w:val="16"/>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under §240.14a-12</w:t>
      </w: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1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1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71"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6"/>
          <w:szCs w:val="16"/>
          <w:color w:val="auto"/>
        </w:rPr>
      </w:pPr>
    </w:p>
    <w:p>
      <w:pPr>
        <w:ind w:left="580" w:hanging="554"/>
        <w:spacing w:after="0"/>
        <w:tabs>
          <w:tab w:leader="none" w:pos="5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1350645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754380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0139"/>
          </w:cols>
          <w:pgMar w:left="320" w:top="1294"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1533525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5"/>
          <w:szCs w:val="45"/>
          <w:b w:val="1"/>
          <w:bCs w:val="1"/>
          <w:color w:val="auto"/>
        </w:rPr>
        <w:t>LETTER FROM THE</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LEAD DIRECTOR</w:t>
      </w:r>
    </w:p>
    <w:p>
      <w:pPr>
        <w:sectPr>
          <w:pgSz w:w="11900" w:h="16838" w:orient="portrait"/>
          <w:cols w:equalWidth="0" w:num="1">
            <w:col w:w="11240"/>
          </w:cols>
          <w:pgMar w:left="320" w:top="1293" w:right="3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April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2"/>
          <w:szCs w:val="22"/>
          <w:color w:val="D7282F"/>
        </w:rPr>
        <w:t>DEAR SHAREOWNERS,</w:t>
      </w:r>
    </w:p>
    <w:p>
      <w:pPr>
        <w:spacing w:after="0" w:line="200" w:lineRule="exact"/>
        <w:rPr>
          <w:sz w:val="20"/>
          <w:szCs w:val="20"/>
          <w:color w:val="auto"/>
        </w:rPr>
      </w:pPr>
    </w:p>
    <w:p>
      <w:pPr>
        <w:spacing w:after="0" w:line="203" w:lineRule="exact"/>
        <w:rPr>
          <w:sz w:val="20"/>
          <w:szCs w:val="20"/>
          <w:color w:val="auto"/>
        </w:rPr>
      </w:pPr>
    </w:p>
    <w:p>
      <w:pPr>
        <w:ind w:left="20"/>
        <w:spacing w:after="0" w:line="262" w:lineRule="auto"/>
        <w:rPr>
          <w:sz w:val="20"/>
          <w:szCs w:val="20"/>
          <w:color w:val="auto"/>
        </w:rPr>
      </w:pPr>
      <w:r>
        <w:rPr>
          <w:rFonts w:ascii="Arial" w:cs="Arial" w:eastAsia="Arial" w:hAnsi="Arial"/>
          <w:sz w:val="18"/>
          <w:szCs w:val="18"/>
          <w:color w:val="auto"/>
        </w:rPr>
        <w:t>I've had the privilege of serving as Honeywell's independent Lead Director for the past four years, and I take pride in witnessing firsthand the Company's transformative efforts to streamline our portfolio, simplify our structure, and unlock greater value. Honeywell has never been more well-positioned to capitalize on our financial strength to address some of the world's most difficult challenges.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SCOTT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-1637665</wp:posOffset>
            </wp:positionV>
            <wp:extent cx="1251585" cy="1465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1585" cy="146558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Lead Director</w:t>
      </w:r>
    </w:p>
    <w:p>
      <w:pPr>
        <w:spacing w:after="0" w:line="173" w:lineRule="exact"/>
        <w:rPr>
          <w:sz w:val="20"/>
          <w:szCs w:val="20"/>
          <w:color w:val="auto"/>
        </w:rPr>
      </w:pPr>
    </w:p>
    <w:p>
      <w:pPr>
        <w:sectPr>
          <w:pgSz w:w="11900" w:h="16838" w:orient="portrait"/>
          <w:cols w:equalWidth="0" w:num="2">
            <w:col w:w="8400" w:space="320"/>
            <w:col w:w="2520"/>
          </w:cols>
          <w:pgMar w:left="320" w:top="1293" w:right="339" w:bottom="1440" w:gutter="0" w:footer="0" w:header="0"/>
          <w:type w:val="continuous"/>
        </w:sectPr>
      </w:pPr>
    </w:p>
    <w:p>
      <w:pPr>
        <w:ind w:left="20" w:right="580"/>
        <w:spacing w:after="0" w:line="287" w:lineRule="auto"/>
        <w:rPr>
          <w:sz w:val="20"/>
          <w:szCs w:val="20"/>
          <w:color w:val="auto"/>
        </w:rPr>
      </w:pPr>
      <w:r>
        <w:rPr>
          <w:rFonts w:ascii="Arial" w:cs="Arial" w:eastAsia="Arial" w:hAnsi="Arial"/>
          <w:sz w:val="18"/>
          <w:szCs w:val="18"/>
          <w:color w:val="auto"/>
        </w:rPr>
        <w:t>With my tenure as Lead Director concluding at the upcoming annual meeting, I'd like to share perspectives on Honeywell's impressive growth and express my strong confidence in the Company's future.</w:t>
      </w:r>
    </w:p>
    <w:p>
      <w:pPr>
        <w:spacing w:after="0" w:line="45" w:lineRule="exact"/>
        <w:rPr>
          <w:sz w:val="20"/>
          <w:szCs w:val="20"/>
          <w:color w:val="auto"/>
        </w:rPr>
      </w:pPr>
    </w:p>
    <w:p>
      <w:pPr>
        <w:ind w:left="20" w:right="40"/>
        <w:spacing w:after="0" w:line="270" w:lineRule="auto"/>
        <w:rPr>
          <w:sz w:val="20"/>
          <w:szCs w:val="20"/>
          <w:color w:val="auto"/>
        </w:rPr>
      </w:pPr>
      <w:r>
        <w:rPr>
          <w:rFonts w:ascii="Arial" w:cs="Arial" w:eastAsia="Arial" w:hAnsi="Arial"/>
          <w:sz w:val="18"/>
          <w:szCs w:val="18"/>
          <w:color w:val="auto"/>
        </w:rPr>
        <w:t xml:space="preserve">The Company's recent segment realignment to focus on three key megatrends — automation, the future of aviation, and energy transition — </w:t>
      </w:r>
      <w:r>
        <w:rPr>
          <w:rFonts w:ascii="Arial" w:cs="Arial" w:eastAsia="Arial" w:hAnsi="Arial"/>
          <w:sz w:val="16"/>
          <w:szCs w:val="16"/>
          <w:color w:val="auto"/>
        </w:rPr>
        <w:t xml:space="preserve">all </w:t>
      </w:r>
      <w:r>
        <w:rPr>
          <w:rFonts w:ascii="Arial" w:cs="Arial" w:eastAsia="Arial" w:hAnsi="Arial"/>
          <w:sz w:val="17"/>
          <w:szCs w:val="17"/>
          <w:color w:val="auto"/>
        </w:rPr>
        <w:t>underpinned by digitalization will enable Honeywell to drive innovation and growth across our portfolio. Vimal Kapur and his team of</w:t>
      </w:r>
      <w:r>
        <w:rPr>
          <w:rFonts w:ascii="Arial" w:cs="Arial" w:eastAsia="Arial" w:hAnsi="Arial"/>
          <w:sz w:val="16"/>
          <w:szCs w:val="16"/>
          <w:color w:val="auto"/>
        </w:rPr>
        <w:t xml:space="preserve"> </w:t>
      </w:r>
      <w:r>
        <w:rPr>
          <w:rFonts w:ascii="Arial" w:cs="Arial" w:eastAsia="Arial" w:hAnsi="Arial"/>
          <w:sz w:val="17"/>
          <w:szCs w:val="17"/>
          <w:color w:val="auto"/>
        </w:rPr>
        <w:t>Futureshapers have the full support of the Board as they continue to drive business growth and future value creation for our shareowners. The Board is unified in its view that Vimal will provide decisive strategic leadership and strong execution of Honeywell's growth plans, capital deployment, portfolio optimization, succession planning, and continuing operational excellence.</w:t>
      </w:r>
    </w:p>
    <w:p>
      <w:pPr>
        <w:spacing w:after="0" w:line="63" w:lineRule="exact"/>
        <w:rPr>
          <w:sz w:val="20"/>
          <w:szCs w:val="20"/>
          <w:color w:val="auto"/>
        </w:rPr>
      </w:pPr>
    </w:p>
    <w:p>
      <w:pPr>
        <w:ind w:left="20" w:right="440"/>
        <w:spacing w:after="0" w:line="259" w:lineRule="auto"/>
        <w:rPr>
          <w:sz w:val="20"/>
          <w:szCs w:val="20"/>
          <w:color w:val="auto"/>
        </w:rPr>
      </w:pPr>
      <w:r>
        <w:rPr>
          <w:rFonts w:ascii="Arial" w:cs="Arial" w:eastAsia="Arial" w:hAnsi="Arial"/>
          <w:sz w:val="18"/>
          <w:szCs w:val="18"/>
          <w:color w:val="auto"/>
        </w:rPr>
        <w:t>Board refreshment has been a priority over the past several years. In the last five years, we have added five new directors to the Board, including Michael W. Lamach, who joined us in 2023. Mike has extensive management expertise with more than 30 years as a senior executive in several leadership positions, including CEO, at Trane Technologies, Ingersoll Rand, and Johnson Controls. His significant experience and strong reputation for driving growth, and sustainable value creation, and innovative leadership across multiple industrial sectors will help drive our transformation.</w:t>
      </w:r>
    </w:p>
    <w:p>
      <w:pPr>
        <w:spacing w:after="0" w:line="71" w:lineRule="exact"/>
        <w:rPr>
          <w:sz w:val="20"/>
          <w:szCs w:val="20"/>
          <w:color w:val="auto"/>
        </w:rPr>
      </w:pPr>
    </w:p>
    <w:p>
      <w:pPr>
        <w:ind w:left="20" w:right="80"/>
        <w:spacing w:after="0" w:line="259" w:lineRule="auto"/>
        <w:rPr>
          <w:sz w:val="20"/>
          <w:szCs w:val="20"/>
          <w:color w:val="auto"/>
        </w:rPr>
      </w:pPr>
      <w:r>
        <w:rPr>
          <w:rFonts w:ascii="Arial" w:cs="Arial" w:eastAsia="Arial" w:hAnsi="Arial"/>
          <w:sz w:val="18"/>
          <w:szCs w:val="18"/>
          <w:color w:val="auto"/>
        </w:rPr>
        <w:t>William S. Ayer, retired Chairman and Chief Executive Officer of Alaska Air Group, will become our independent Lead Director after my term ends at the annual meeting. Throughout his tenure at Alaska Air, Bill's leadership was marked by a management style that prioritized customer focus, continuous improvement, and the establishment of a culture centered around safety, innovation, sustainability, and diversity. This approach fostered long-term, sustained success, which, together with his profound knowledge of the aerospace industry, will be instrumental as we embark on the next chapter.</w:t>
      </w:r>
    </w:p>
    <w:p>
      <w:pPr>
        <w:spacing w:after="0" w:line="71" w:lineRule="exact"/>
        <w:rPr>
          <w:sz w:val="20"/>
          <w:szCs w:val="20"/>
          <w:color w:val="auto"/>
        </w:rPr>
      </w:pPr>
    </w:p>
    <w:p>
      <w:pPr>
        <w:ind w:left="20" w:right="100"/>
        <w:spacing w:after="0" w:line="268" w:lineRule="auto"/>
        <w:rPr>
          <w:sz w:val="20"/>
          <w:szCs w:val="20"/>
          <w:color w:val="auto"/>
        </w:rPr>
      </w:pPr>
      <w:r>
        <w:rPr>
          <w:rFonts w:ascii="Arial" w:cs="Arial" w:eastAsia="Arial" w:hAnsi="Arial"/>
          <w:sz w:val="18"/>
          <w:szCs w:val="18"/>
          <w:color w:val="auto"/>
        </w:rPr>
        <w:t>As we approach Darius Adamczyk's retirement from the Board, I would like to thank Darius for his leadership and numerous contributions to position Honeywell for growth. His vision and commitment while navigating an unprecedented period of global crisis and uncertainty will enable Honeywell to continue delivering for our shareowners while executing the next stage of our transformation.</w:t>
      </w:r>
    </w:p>
    <w:p>
      <w:pPr>
        <w:spacing w:after="0" w:line="63" w:lineRule="exact"/>
        <w:rPr>
          <w:sz w:val="20"/>
          <w:szCs w:val="20"/>
          <w:color w:val="auto"/>
        </w:rPr>
      </w:pPr>
    </w:p>
    <w:p>
      <w:pPr>
        <w:ind w:left="20" w:right="360"/>
        <w:spacing w:after="0" w:line="287" w:lineRule="auto"/>
        <w:rPr>
          <w:sz w:val="20"/>
          <w:szCs w:val="20"/>
          <w:color w:val="auto"/>
        </w:rPr>
      </w:pPr>
      <w:r>
        <w:rPr>
          <w:rFonts w:ascii="Arial" w:cs="Arial" w:eastAsia="Arial" w:hAnsi="Arial"/>
          <w:sz w:val="18"/>
          <w:szCs w:val="18"/>
          <w:color w:val="auto"/>
        </w:rPr>
        <w:t>As my term ends, I thank you for the privilege of serving as your Lead Director over the past four years. I’m excited about what the future holds here at Honeywell.</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86360</wp:posOffset>
            </wp:positionV>
            <wp:extent cx="105410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100" cy="21463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 SCOTT DAVIS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D7282F"/>
        </w:rPr>
        <w:t>Lead Director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4" w:name="page5"/>
    <w:bookmarkEnd w:id="4"/>
    <w:p>
      <w:pPr>
        <w:ind w:right="620"/>
        <w:spacing w:after="0" w:line="298" w:lineRule="auto"/>
        <w:rPr>
          <w:sz w:val="20"/>
          <w:szCs w:val="20"/>
          <w:color w:val="auto"/>
        </w:rPr>
      </w:pPr>
      <w:r>
        <w:rPr>
          <w:rFonts w:ascii="Arial" w:cs="Arial" w:eastAsia="Arial" w:hAnsi="Arial"/>
          <w:sz w:val="45"/>
          <w:szCs w:val="45"/>
          <w:b w:val="1"/>
          <w:bCs w:val="1"/>
          <w:color w:val="auto"/>
        </w:rPr>
        <w:t>NOTICE OF ANNUAL MEETING OF SHAREOWNERS</w:t>
      </w:r>
    </w:p>
    <w:p>
      <w:pPr>
        <w:spacing w:after="0" w:line="364" w:lineRule="exact"/>
        <w:rPr>
          <w:sz w:val="20"/>
          <w:szCs w:val="20"/>
          <w:color w:val="auto"/>
        </w:rPr>
      </w:pPr>
    </w:p>
    <w:tbl>
      <w:tblPr>
        <w:tblLayout w:type="fixed"/>
        <w:tblInd w:w="1120" w:type="dxa"/>
        <w:tblCellMar>
          <w:top w:w="0" w:type="dxa"/>
          <w:left w:w="0" w:type="dxa"/>
          <w:bottom w:w="0" w:type="dxa"/>
          <w:right w:w="0" w:type="dxa"/>
        </w:tblCellMar>
      </w:tblPr>
      <w:tr>
        <w:trPr>
          <w:trHeight w:val="247"/>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4680" w:type="dxa"/>
            <w:vAlign w:val="bottom"/>
          </w:tcPr>
          <w:p>
            <w:pPr>
              <w:ind w:left="100"/>
              <w:spacing w:after="0"/>
              <w:rPr>
                <w:sz w:val="20"/>
                <w:szCs w:val="20"/>
                <w:color w:val="auto"/>
              </w:rPr>
            </w:pPr>
            <w:r>
              <w:rPr>
                <w:rFonts w:ascii="Arial" w:cs="Arial" w:eastAsia="Arial" w:hAnsi="Arial"/>
                <w:sz w:val="14"/>
                <w:szCs w:val="14"/>
                <w:color w:val="auto"/>
              </w:rPr>
              <w:t>May 14, 2024</w:t>
            </w:r>
          </w:p>
        </w:tc>
      </w:tr>
      <w:tr>
        <w:trPr>
          <w:trHeight w:val="311"/>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TIME:</w:t>
            </w:r>
          </w:p>
        </w:tc>
        <w:tc>
          <w:tcPr>
            <w:tcW w:w="4680" w:type="dxa"/>
            <w:vAlign w:val="bottom"/>
          </w:tcPr>
          <w:p>
            <w:pPr>
              <w:ind w:left="100"/>
              <w:spacing w:after="0"/>
              <w:rPr>
                <w:sz w:val="20"/>
                <w:szCs w:val="20"/>
                <w:color w:val="auto"/>
              </w:rPr>
            </w:pPr>
            <w:r>
              <w:rPr>
                <w:rFonts w:ascii="Arial" w:cs="Arial" w:eastAsia="Arial" w:hAnsi="Arial"/>
                <w:sz w:val="14"/>
                <w:szCs w:val="14"/>
                <w:color w:val="auto"/>
              </w:rPr>
              <w:t>10:30 a.m. EDT</w:t>
            </w:r>
          </w:p>
        </w:tc>
      </w:tr>
      <w:tr>
        <w:trPr>
          <w:trHeight w:val="249"/>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PLACE:</w:t>
            </w:r>
          </w:p>
        </w:tc>
        <w:tc>
          <w:tcPr>
            <w:tcW w:w="4680" w:type="dxa"/>
            <w:vAlign w:val="bottom"/>
          </w:tcPr>
          <w:p>
            <w:pPr>
              <w:ind w:left="100"/>
              <w:spacing w:after="0"/>
              <w:rPr>
                <w:sz w:val="20"/>
                <w:szCs w:val="20"/>
                <w:color w:val="auto"/>
              </w:rPr>
            </w:pPr>
            <w:r>
              <w:rPr>
                <w:rFonts w:ascii="Arial" w:cs="Arial" w:eastAsia="Arial" w:hAnsi="Arial"/>
                <w:sz w:val="14"/>
                <w:szCs w:val="14"/>
                <w:b w:val="1"/>
                <w:bCs w:val="1"/>
                <w:color w:val="D7282F"/>
              </w:rPr>
              <w:t>www.virtualshareholdermeeting.com/HON2024</w:t>
            </w:r>
          </w:p>
        </w:tc>
      </w:tr>
      <w:tr>
        <w:trPr>
          <w:trHeight w:val="162"/>
        </w:trPr>
        <w:tc>
          <w:tcPr>
            <w:tcW w:w="1480" w:type="dxa"/>
            <w:vAlign w:val="bottom"/>
          </w:tcPr>
          <w:p>
            <w:pPr>
              <w:spacing w:after="0"/>
              <w:rPr>
                <w:sz w:val="14"/>
                <w:szCs w:val="14"/>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The meeting will be held in virtual format only. Please see page 108 of</w:t>
            </w:r>
          </w:p>
        </w:tc>
      </w:tr>
      <w:tr>
        <w:trPr>
          <w:trHeight w:val="190"/>
        </w:trPr>
        <w:tc>
          <w:tcPr>
            <w:tcW w:w="1480" w:type="dxa"/>
            <w:vAlign w:val="bottom"/>
          </w:tcPr>
          <w:p>
            <w:pPr>
              <w:spacing w:after="0"/>
              <w:rPr>
                <w:sz w:val="16"/>
                <w:szCs w:val="16"/>
                <w:color w:val="auto"/>
              </w:rPr>
            </w:pPr>
          </w:p>
        </w:tc>
        <w:tc>
          <w:tcPr>
            <w:tcW w:w="4680" w:type="dxa"/>
            <w:vAlign w:val="bottom"/>
          </w:tcPr>
          <w:p>
            <w:pPr>
              <w:ind w:left="100"/>
              <w:spacing w:after="0"/>
              <w:rPr>
                <w:sz w:val="20"/>
                <w:szCs w:val="20"/>
                <w:color w:val="auto"/>
              </w:rPr>
            </w:pPr>
            <w:r>
              <w:rPr>
                <w:rFonts w:ascii="Arial" w:cs="Arial" w:eastAsia="Arial" w:hAnsi="Arial"/>
                <w:sz w:val="14"/>
                <w:szCs w:val="14"/>
                <w:color w:val="auto"/>
              </w:rPr>
              <w:t>the Proxy Statement for additional details.</w:t>
            </w:r>
          </w:p>
        </w:tc>
      </w:tr>
      <w:tr>
        <w:trPr>
          <w:trHeight w:val="317"/>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RECORD DATE:</w:t>
            </w:r>
          </w:p>
        </w:tc>
        <w:tc>
          <w:tcPr>
            <w:tcW w:w="4680" w:type="dxa"/>
            <w:vAlign w:val="bottom"/>
          </w:tcPr>
          <w:p>
            <w:pPr>
              <w:ind w:left="100"/>
              <w:spacing w:after="0"/>
              <w:rPr>
                <w:sz w:val="20"/>
                <w:szCs w:val="20"/>
                <w:color w:val="auto"/>
              </w:rPr>
            </w:pPr>
            <w:r>
              <w:rPr>
                <w:rFonts w:ascii="Arial" w:cs="Arial" w:eastAsia="Arial" w:hAnsi="Arial"/>
                <w:sz w:val="14"/>
                <w:szCs w:val="14"/>
                <w:color w:val="auto"/>
              </w:rPr>
              <w:t>Close of business on March 22, 2024</w:t>
            </w:r>
          </w:p>
        </w:tc>
      </w:tr>
      <w:tr>
        <w:trPr>
          <w:trHeight w:val="56"/>
        </w:trPr>
        <w:tc>
          <w:tcPr>
            <w:tcW w:w="1480" w:type="dxa"/>
            <w:vAlign w:val="bottom"/>
            <w:tcBorders>
              <w:bottom w:val="single" w:sz="8" w:color="D7282F"/>
            </w:tcBorders>
          </w:tcPr>
          <w:p>
            <w:pPr>
              <w:spacing w:after="0"/>
              <w:rPr>
                <w:sz w:val="4"/>
                <w:szCs w:val="4"/>
                <w:color w:val="auto"/>
              </w:rPr>
            </w:pPr>
          </w:p>
        </w:tc>
        <w:tc>
          <w:tcPr>
            <w:tcW w:w="4680" w:type="dxa"/>
            <w:vAlign w:val="bottom"/>
            <w:tcBorders>
              <w:bottom w:val="single" w:sz="8" w:color="D7282F"/>
            </w:tcBorders>
          </w:tcPr>
          <w:p>
            <w:pPr>
              <w:spacing w:after="0"/>
              <w:rPr>
                <w:sz w:val="4"/>
                <w:szCs w:val="4"/>
                <w:color w:val="auto"/>
              </w:rPr>
            </w:pPr>
          </w:p>
        </w:tc>
      </w:tr>
    </w:tbl>
    <w:p>
      <w:pPr>
        <w:spacing w:after="0" w:line="161"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MEETING AGENDA</w:t>
      </w:r>
    </w:p>
    <w:p>
      <w:pPr>
        <w:spacing w:after="0" w:line="131" w:lineRule="exact"/>
        <w:rPr>
          <w:sz w:val="20"/>
          <w:szCs w:val="20"/>
          <w:color w:val="auto"/>
        </w:rPr>
      </w:pPr>
    </w:p>
    <w:p>
      <w:pPr>
        <w:ind w:left="1320" w:hanging="180"/>
        <w:spacing w:after="0"/>
        <w:tabs>
          <w:tab w:leader="none" w:pos="1320" w:val="left"/>
        </w:tabs>
        <w:numPr>
          <w:ilvl w:val="0"/>
          <w:numId w:val="4"/>
        </w:numPr>
        <w:rPr>
          <w:rFonts w:ascii="Arial" w:cs="Arial" w:eastAsia="Arial" w:hAnsi="Arial"/>
          <w:sz w:val="14"/>
          <w:szCs w:val="14"/>
          <w:b w:val="1"/>
          <w:bCs w:val="1"/>
          <w:color w:val="D7282F"/>
        </w:rPr>
      </w:pPr>
      <w:r>
        <w:rPr>
          <w:rFonts w:ascii="Arial" w:cs="Arial" w:eastAsia="Arial" w:hAnsi="Arial"/>
          <w:sz w:val="14"/>
          <w:szCs w:val="14"/>
          <w:color w:val="auto"/>
        </w:rPr>
        <w:t>Election to the Board of Directors of the 12 nominees listed in the Proxy Statement.</w:t>
      </w:r>
    </w:p>
    <w:p>
      <w:pPr>
        <w:spacing w:after="0" w:line="55" w:lineRule="exact"/>
        <w:rPr>
          <w:rFonts w:ascii="Arial" w:cs="Arial" w:eastAsia="Arial" w:hAnsi="Arial"/>
          <w:sz w:val="14"/>
          <w:szCs w:val="14"/>
          <w:b w:val="1"/>
          <w:bCs w:val="1"/>
          <w:color w:val="D7282F"/>
        </w:rPr>
      </w:pPr>
    </w:p>
    <w:p>
      <w:pPr>
        <w:ind w:left="1320" w:hanging="180"/>
        <w:spacing w:after="0"/>
        <w:tabs>
          <w:tab w:leader="none" w:pos="1320" w:val="left"/>
        </w:tabs>
        <w:numPr>
          <w:ilvl w:val="0"/>
          <w:numId w:val="4"/>
        </w:numPr>
        <w:rPr>
          <w:rFonts w:ascii="Arial" w:cs="Arial" w:eastAsia="Arial" w:hAnsi="Arial"/>
          <w:sz w:val="14"/>
          <w:szCs w:val="14"/>
          <w:b w:val="1"/>
          <w:bCs w:val="1"/>
          <w:color w:val="D7282F"/>
        </w:rPr>
      </w:pPr>
      <w:r>
        <w:rPr>
          <w:rFonts w:ascii="Arial" w:cs="Arial" w:eastAsia="Arial" w:hAnsi="Arial"/>
          <w:sz w:val="14"/>
          <w:szCs w:val="14"/>
          <w:color w:val="auto"/>
        </w:rPr>
        <w:t>An advisory vote to approve executive compensation.</w:t>
      </w:r>
    </w:p>
    <w:p>
      <w:pPr>
        <w:spacing w:after="0" w:line="68" w:lineRule="exact"/>
        <w:rPr>
          <w:rFonts w:ascii="Arial" w:cs="Arial" w:eastAsia="Arial" w:hAnsi="Arial"/>
          <w:sz w:val="14"/>
          <w:szCs w:val="14"/>
          <w:b w:val="1"/>
          <w:bCs w:val="1"/>
          <w:color w:val="D7282F"/>
        </w:rPr>
      </w:pPr>
    </w:p>
    <w:p>
      <w:pPr>
        <w:ind w:left="1320" w:hanging="180"/>
        <w:spacing w:after="0"/>
        <w:tabs>
          <w:tab w:leader="none" w:pos="1320" w:val="left"/>
        </w:tabs>
        <w:numPr>
          <w:ilvl w:val="0"/>
          <w:numId w:val="4"/>
        </w:numPr>
        <w:rPr>
          <w:rFonts w:ascii="Arial" w:cs="Arial" w:eastAsia="Arial" w:hAnsi="Arial"/>
          <w:sz w:val="14"/>
          <w:szCs w:val="14"/>
          <w:b w:val="1"/>
          <w:bCs w:val="1"/>
          <w:color w:val="D7282F"/>
        </w:rPr>
      </w:pPr>
      <w:r>
        <w:rPr>
          <w:rFonts w:ascii="Arial" w:cs="Arial" w:eastAsia="Arial" w:hAnsi="Arial"/>
          <w:sz w:val="14"/>
          <w:szCs w:val="14"/>
          <w:color w:val="auto"/>
        </w:rPr>
        <w:t>Approval of the appointment of Deloitte &amp; Touche LLP as independent accountants for 2024.</w:t>
      </w:r>
    </w:p>
    <w:p>
      <w:pPr>
        <w:spacing w:after="0" w:line="68" w:lineRule="exact"/>
        <w:rPr>
          <w:rFonts w:ascii="Arial" w:cs="Arial" w:eastAsia="Arial" w:hAnsi="Arial"/>
          <w:sz w:val="14"/>
          <w:szCs w:val="14"/>
          <w:b w:val="1"/>
          <w:bCs w:val="1"/>
          <w:color w:val="D7282F"/>
        </w:rPr>
      </w:pPr>
    </w:p>
    <w:p>
      <w:pPr>
        <w:ind w:left="1340" w:right="520" w:hanging="200"/>
        <w:spacing w:after="0" w:line="301" w:lineRule="auto"/>
        <w:tabs>
          <w:tab w:leader="none" w:pos="1331" w:val="left"/>
        </w:tabs>
        <w:numPr>
          <w:ilvl w:val="0"/>
          <w:numId w:val="4"/>
        </w:numPr>
        <w:rPr>
          <w:rFonts w:ascii="Arial" w:cs="Arial" w:eastAsia="Arial" w:hAnsi="Arial"/>
          <w:sz w:val="14"/>
          <w:szCs w:val="14"/>
          <w:b w:val="1"/>
          <w:bCs w:val="1"/>
          <w:color w:val="D7282F"/>
        </w:rPr>
      </w:pPr>
      <w:r>
        <w:rPr>
          <w:rFonts w:ascii="Arial" w:cs="Arial" w:eastAsia="Arial" w:hAnsi="Arial"/>
          <w:sz w:val="14"/>
          <w:szCs w:val="14"/>
          <w:color w:val="auto"/>
        </w:rPr>
        <w:t>If properly raised, the one shareowner proposal described starting on page 103 of the Proxy Statement.</w:t>
      </w:r>
    </w:p>
    <w:p>
      <w:pPr>
        <w:spacing w:after="0" w:line="1" w:lineRule="exact"/>
        <w:rPr>
          <w:rFonts w:ascii="Arial" w:cs="Arial" w:eastAsia="Arial" w:hAnsi="Arial"/>
          <w:sz w:val="14"/>
          <w:szCs w:val="14"/>
          <w:b w:val="1"/>
          <w:bCs w:val="1"/>
          <w:color w:val="D7282F"/>
        </w:rPr>
      </w:pPr>
    </w:p>
    <w:p>
      <w:pPr>
        <w:ind w:left="1320" w:hanging="180"/>
        <w:spacing w:after="0"/>
        <w:tabs>
          <w:tab w:leader="none" w:pos="1320" w:val="left"/>
        </w:tabs>
        <w:numPr>
          <w:ilvl w:val="0"/>
          <w:numId w:val="4"/>
        </w:numPr>
        <w:rPr>
          <w:rFonts w:ascii="Arial" w:cs="Arial" w:eastAsia="Arial" w:hAnsi="Arial"/>
          <w:sz w:val="14"/>
          <w:szCs w:val="14"/>
          <w:b w:val="1"/>
          <w:bCs w:val="1"/>
          <w:color w:val="D7282F"/>
        </w:rPr>
      </w:pPr>
      <w:r>
        <w:rPr>
          <w:rFonts w:ascii="Arial" w:cs="Arial" w:eastAsia="Arial" w:hAnsi="Arial"/>
          <w:sz w:val="14"/>
          <w:szCs w:val="14"/>
          <w:color w:val="auto"/>
        </w:rPr>
        <w:t>Transact any other business that may properly come before the meeting.</w:t>
      </w:r>
    </w:p>
    <w:p>
      <w:pPr>
        <w:spacing w:after="0" w:line="96"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D7282F"/>
        </w:rPr>
        <w:t>IMPORTANT NOTICE OF INTERNET AVAILABILITY OF PROXY MATERIALS</w:t>
      </w:r>
    </w:p>
    <w:p>
      <w:pPr>
        <w:spacing w:after="0" w:line="29" w:lineRule="exact"/>
        <w:rPr>
          <w:sz w:val="20"/>
          <w:szCs w:val="20"/>
          <w:color w:val="auto"/>
        </w:rPr>
      </w:pPr>
    </w:p>
    <w:p>
      <w:pPr>
        <w:ind w:left="1140" w:right="80"/>
        <w:spacing w:after="0" w:line="256" w:lineRule="auto"/>
        <w:rPr>
          <w:sz w:val="20"/>
          <w:szCs w:val="20"/>
          <w:color w:val="auto"/>
        </w:rPr>
      </w:pPr>
      <w:r>
        <w:rPr>
          <w:rFonts w:ascii="Arial" w:cs="Arial" w:eastAsia="Arial" w:hAnsi="Arial"/>
          <w:sz w:val="14"/>
          <w:szCs w:val="14"/>
          <w:color w:val="auto"/>
        </w:rPr>
        <w:t>The Securities and Exchange Commission’s “Notice and Access” rule enables Honeywell to deliver a Notice of Internet Availability of Proxy Materials to shareowners in lieu of a paper copy of the Proxy Statement, related materials, and its Annual Report to Shareowners. It contains instructions on how to access the Proxy Statement and 2023 Annual Report and how to</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vote online.</w:t>
      </w:r>
    </w:p>
    <w:p>
      <w:pPr>
        <w:spacing w:after="0" w:line="95" w:lineRule="exact"/>
        <w:rPr>
          <w:sz w:val="20"/>
          <w:szCs w:val="20"/>
          <w:color w:val="auto"/>
        </w:rPr>
      </w:pPr>
    </w:p>
    <w:p>
      <w:pPr>
        <w:ind w:left="1140" w:right="280"/>
        <w:spacing w:after="0" w:line="277" w:lineRule="auto"/>
        <w:rPr>
          <w:sz w:val="20"/>
          <w:szCs w:val="20"/>
          <w:color w:val="auto"/>
        </w:rPr>
      </w:pPr>
      <w:r>
        <w:rPr>
          <w:rFonts w:ascii="Arial" w:cs="Arial" w:eastAsia="Arial" w:hAnsi="Arial"/>
          <w:sz w:val="14"/>
          <w:szCs w:val="14"/>
          <w:b w:val="1"/>
          <w:bCs w:val="1"/>
          <w:color w:val="auto"/>
        </w:rPr>
        <w:t>Shares cannot be voted by marking, writing on, and/or returning the Notice of Internet Availability. Any Notices of Internet Availability that are returned will not be counted as votes.</w:t>
      </w:r>
    </w:p>
    <w:p>
      <w:pPr>
        <w:spacing w:after="0" w:line="50" w:lineRule="exact"/>
        <w:rPr>
          <w:sz w:val="20"/>
          <w:szCs w:val="20"/>
          <w:color w:val="auto"/>
        </w:rPr>
      </w:pPr>
    </w:p>
    <w:p>
      <w:pPr>
        <w:ind w:left="1140" w:right="80"/>
        <w:spacing w:after="0" w:line="269" w:lineRule="auto"/>
        <w:rPr>
          <w:sz w:val="20"/>
          <w:szCs w:val="20"/>
          <w:color w:val="auto"/>
        </w:rPr>
      </w:pPr>
      <w:r>
        <w:rPr>
          <w:rFonts w:ascii="Arial" w:cs="Arial" w:eastAsia="Arial" w:hAnsi="Arial"/>
          <w:sz w:val="14"/>
          <w:szCs w:val="14"/>
          <w:color w:val="auto"/>
        </w:rPr>
        <w:t>Honeywell encourages shareowners to vote promptly as this will save the expense of additional proxy solicitation. Shareowners of record on the record date are entitled to vote online at the virtual meeting or prior to the meeting, by telephone, by mail, online at www.proxyvote.com, or by scanning the QR code on your proxy card.</w:t>
      </w:r>
    </w:p>
    <w:p>
      <w:pPr>
        <w:spacing w:after="0" w:line="48"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D7282F"/>
        </w:rPr>
        <w:t>MEETING ADMISSION</w:t>
      </w:r>
    </w:p>
    <w:p>
      <w:pPr>
        <w:spacing w:after="0" w:line="29" w:lineRule="exact"/>
        <w:rPr>
          <w:sz w:val="20"/>
          <w:szCs w:val="20"/>
          <w:color w:val="auto"/>
        </w:rPr>
      </w:pPr>
    </w:p>
    <w:p>
      <w:pPr>
        <w:ind w:left="1140" w:right="40"/>
        <w:spacing w:after="0" w:line="259" w:lineRule="auto"/>
        <w:rPr>
          <w:sz w:val="20"/>
          <w:szCs w:val="20"/>
          <w:color w:val="auto"/>
        </w:rPr>
      </w:pPr>
      <w:r>
        <w:rPr>
          <w:rFonts w:ascii="Arial" w:cs="Arial" w:eastAsia="Arial" w:hAnsi="Arial"/>
          <w:sz w:val="14"/>
          <w:szCs w:val="14"/>
          <w:color w:val="auto"/>
        </w:rPr>
        <w:t xml:space="preserve">You are entitled to attend the virtual Annual Meeting of Shareowners, vote, and submit questions during the meeting by visiting </w:t>
      </w:r>
      <w:r>
        <w:rPr>
          <w:rFonts w:ascii="Arial" w:cs="Arial" w:eastAsia="Arial" w:hAnsi="Arial"/>
          <w:sz w:val="14"/>
          <w:szCs w:val="14"/>
          <w:b w:val="1"/>
          <w:bCs w:val="1"/>
          <w:color w:val="auto"/>
        </w:rPr>
        <w:t>www.virtualshareholdermeeting.com/HON2024</w:t>
      </w:r>
      <w:r>
        <w:rPr>
          <w:rFonts w:ascii="Arial" w:cs="Arial" w:eastAsia="Arial" w:hAnsi="Arial"/>
          <w:sz w:val="14"/>
          <w:szCs w:val="14"/>
          <w:color w:val="auto"/>
        </w:rPr>
        <w:t xml:space="preserve"> and entering the 16-digit control number included on the Notice of Internet Availability of Proxy Materials, on your proxy card (if you requested printed materials), or on the instructions that accompanied your Proxy Materials. You will only be entitled to vote and submit questions at the Annual Meeting if you are a shareowner as of the close of business on March 22, 2024, the record date. More details on how to participate in this year's virtual Annual Meeting can be found under “Virtual Annual Meeting” beginning on page 108. In the event of a technical malfunction or other situation that at the discretion of the Chairman of the Board of Directors may affect the ability of the Annual Meeting to satisfy the requirements for a meeting of shareowners to be held, the Chairman or Corporate Secretary of Honeywell will convene the meeting at 12 p.m. EDT on the same date and at the location specified above solely for the purpose of holding the adjourned meeting at this later time. Under the foregoing circumstances, we will post information regarding the announcement on Honeywell’s Investor Relations website at investor.honeywell.com.</w:t>
      </w:r>
    </w:p>
    <w:p>
      <w:pPr>
        <w:spacing w:after="0" w:line="240" w:lineRule="exact"/>
        <w:rPr>
          <w:sz w:val="20"/>
          <w:szCs w:val="20"/>
          <w:color w:val="auto"/>
        </w:rPr>
      </w:pPr>
    </w:p>
    <w:p>
      <w:pPr>
        <w:ind w:left="1140" w:right="40"/>
        <w:spacing w:after="0" w:line="305" w:lineRule="auto"/>
        <w:rPr>
          <w:sz w:val="20"/>
          <w:szCs w:val="20"/>
          <w:color w:val="auto"/>
        </w:rPr>
      </w:pPr>
      <w:r>
        <w:rPr>
          <w:rFonts w:ascii="Arial" w:cs="Arial" w:eastAsia="Arial" w:hAnsi="Arial"/>
          <w:sz w:val="14"/>
          <w:szCs w:val="14"/>
          <w:color w:val="auto"/>
        </w:rPr>
        <w:t>This Notice of Annual Meeting of Shareowners and related Proxy Materials are being distributed or made available to shareowners beginning on or about April 2, 2024.</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152400</wp:posOffset>
            </wp:positionV>
            <wp:extent cx="899795"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97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SU PING LU</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D7282F"/>
        </w:rPr>
        <w:t>Corporate Secretary</w:t>
      </w: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sz w:val="1"/>
          <w:szCs w:val="1"/>
          <w:color w:val="auto"/>
        </w:rPr>
        <w:drawing>
          <wp:inline distT="0" distB="0" distL="0" distR="0">
            <wp:extent cx="548640" cy="1028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-578485</wp:posOffset>
            </wp:positionV>
            <wp:extent cx="8255" cy="6797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67976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-561340</wp:posOffset>
            </wp:positionV>
            <wp:extent cx="19685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6850" cy="325755"/>
                    </a:xfrm>
                    <a:prstGeom prst="rect">
                      <a:avLst/>
                    </a:prstGeom>
                    <a:noFill/>
                  </pic:spPr>
                </pic:pic>
              </a:graphicData>
            </a:graphic>
          </wp:anchor>
        </w:drawing>
      </w:r>
    </w:p>
    <w:p>
      <w:pPr>
        <w:spacing w:after="0" w:line="98" w:lineRule="exact"/>
        <w:rPr>
          <w:sz w:val="20"/>
          <w:szCs w:val="20"/>
          <w:color w:val="auto"/>
        </w:rPr>
      </w:pPr>
    </w:p>
    <w:p>
      <w:pPr>
        <w:ind w:right="119"/>
        <w:spacing w:after="0" w:line="272" w:lineRule="auto"/>
        <w:rPr>
          <w:sz w:val="20"/>
          <w:szCs w:val="20"/>
          <w:color w:val="auto"/>
        </w:rPr>
      </w:pPr>
      <w:r>
        <w:rPr>
          <w:rFonts w:ascii="Arial" w:cs="Arial" w:eastAsia="Arial" w:hAnsi="Arial"/>
          <w:sz w:val="14"/>
          <w:szCs w:val="14"/>
          <w:color w:val="auto"/>
        </w:rPr>
        <w:t>In the U.S. or Canada, you can vote your shares by calling 800-690-6903. You will need the 16-digit control number on the Notice of Internet Availability or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325755" cy="266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INTERNET</w:t>
      </w:r>
    </w:p>
    <w:p>
      <w:pPr>
        <w:spacing w:after="0" w:line="118" w:lineRule="exact"/>
        <w:rPr>
          <w:sz w:val="20"/>
          <w:szCs w:val="20"/>
          <w:color w:val="auto"/>
        </w:rPr>
      </w:pPr>
    </w:p>
    <w:p>
      <w:pPr>
        <w:ind w:right="159"/>
        <w:spacing w:after="0" w:line="272" w:lineRule="auto"/>
        <w:rPr>
          <w:sz w:val="20"/>
          <w:szCs w:val="20"/>
          <w:color w:val="auto"/>
        </w:rPr>
      </w:pPr>
      <w:r>
        <w:rPr>
          <w:rFonts w:ascii="Arial" w:cs="Arial" w:eastAsia="Arial" w:hAnsi="Arial"/>
          <w:sz w:val="14"/>
          <w:szCs w:val="14"/>
          <w:color w:val="auto"/>
        </w:rPr>
        <w:t xml:space="preserve">You can vote your shares online at </w:t>
      </w:r>
      <w:r>
        <w:rPr>
          <w:rFonts w:ascii="Arial" w:cs="Arial" w:eastAsia="Arial" w:hAnsi="Arial"/>
          <w:sz w:val="14"/>
          <w:szCs w:val="14"/>
          <w:b w:val="1"/>
          <w:bCs w:val="1"/>
          <w:color w:val="D7282F"/>
        </w:rPr>
        <w:t xml:space="preserve">www.proxyvote.com. </w:t>
      </w:r>
      <w:r>
        <w:rPr>
          <w:rFonts w:ascii="Arial" w:cs="Arial" w:eastAsia="Arial" w:hAnsi="Arial"/>
          <w:sz w:val="14"/>
          <w:szCs w:val="14"/>
          <w:color w:val="000000"/>
        </w:rPr>
        <w:t>You will need</w:t>
      </w:r>
      <w:r>
        <w:rPr>
          <w:rFonts w:ascii="Arial" w:cs="Arial" w:eastAsia="Arial" w:hAnsi="Arial"/>
          <w:sz w:val="14"/>
          <w:szCs w:val="14"/>
          <w:b w:val="1"/>
          <w:bCs w:val="1"/>
          <w:color w:val="D7282F"/>
        </w:rPr>
        <w:t xml:space="preserve"> </w:t>
      </w:r>
      <w:r>
        <w:rPr>
          <w:rFonts w:ascii="Arial" w:cs="Arial" w:eastAsia="Arial" w:hAnsi="Arial"/>
          <w:sz w:val="14"/>
          <w:szCs w:val="14"/>
          <w:color w:val="000000"/>
        </w:rPr>
        <w:t>the 16-digit control number on the Notice of Internet Availability or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26543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43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SCANNING</w:t>
      </w:r>
    </w:p>
    <w:p>
      <w:pPr>
        <w:spacing w:after="0" w:line="118" w:lineRule="exact"/>
        <w:rPr>
          <w:sz w:val="20"/>
          <w:szCs w:val="20"/>
          <w:color w:val="auto"/>
        </w:rPr>
      </w:pPr>
    </w:p>
    <w:p>
      <w:pPr>
        <w:ind w:right="59"/>
        <w:spacing w:after="0" w:line="265" w:lineRule="auto"/>
        <w:rPr>
          <w:sz w:val="20"/>
          <w:szCs w:val="20"/>
          <w:color w:val="auto"/>
        </w:rPr>
      </w:pPr>
      <w:r>
        <w:rPr>
          <w:rFonts w:ascii="Arial" w:cs="Arial" w:eastAsia="Arial" w:hAnsi="Arial"/>
          <w:sz w:val="14"/>
          <w:szCs w:val="14"/>
          <w:color w:val="auto"/>
        </w:rPr>
        <w:t>You can vote your shares online by scanning the QR code on your proxy card. You will need the 16-digit control number on the Notice of Internet Availability or your proxy card. Additional software may need to be downloaded.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325755"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BY MAIL</w:t>
      </w:r>
    </w:p>
    <w:p>
      <w:pPr>
        <w:spacing w:after="0" w:line="118" w:lineRule="exact"/>
        <w:rPr>
          <w:sz w:val="20"/>
          <w:szCs w:val="20"/>
          <w:color w:val="auto"/>
        </w:rPr>
      </w:pPr>
    </w:p>
    <w:p>
      <w:pPr>
        <w:ind w:right="39"/>
        <w:spacing w:after="0" w:line="269" w:lineRule="auto"/>
        <w:rPr>
          <w:sz w:val="20"/>
          <w:szCs w:val="20"/>
          <w:color w:val="auto"/>
        </w:rPr>
      </w:pPr>
      <w:r>
        <w:rPr>
          <w:rFonts w:ascii="Arial" w:cs="Arial" w:eastAsia="Arial" w:hAnsi="Arial"/>
          <w:sz w:val="14"/>
          <w:szCs w:val="14"/>
          <w:color w:val="auto"/>
        </w:rPr>
        <w:t>You can vote by mail by marking, dating, and signing your proxy card or voting instruction form, and returning it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87630</wp:posOffset>
            </wp:positionV>
            <wp:extent cx="3257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57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39"/>
        <w:spacing w:after="0" w:line="296" w:lineRule="auto"/>
        <w:rPr>
          <w:sz w:val="20"/>
          <w:szCs w:val="20"/>
          <w:color w:val="auto"/>
        </w:rPr>
      </w:pPr>
      <w:r>
        <w:rPr>
          <w:rFonts w:ascii="Arial" w:cs="Arial" w:eastAsia="Arial" w:hAnsi="Arial"/>
          <w:sz w:val="16"/>
          <w:szCs w:val="16"/>
          <w:b w:val="1"/>
          <w:bCs w:val="1"/>
          <w:color w:val="auto"/>
        </w:rPr>
        <w:t>VOTE DURING THE VIRTUAL MEETING OF SHAREOWNERS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You can vote your shares during</w:t>
      </w:r>
    </w:p>
    <w:p>
      <w:pPr>
        <w:spacing w:after="0" w:line="15" w:lineRule="exact"/>
        <w:rPr>
          <w:sz w:val="20"/>
          <w:szCs w:val="20"/>
          <w:color w:val="auto"/>
        </w:rPr>
      </w:pPr>
    </w:p>
    <w:p>
      <w:pPr>
        <w:ind w:right="119"/>
        <w:spacing w:after="0" w:line="269" w:lineRule="auto"/>
        <w:rPr>
          <w:sz w:val="20"/>
          <w:szCs w:val="20"/>
          <w:color w:val="auto"/>
        </w:rPr>
      </w:pPr>
      <w:r>
        <w:rPr>
          <w:rFonts w:ascii="Arial" w:cs="Arial" w:eastAsia="Arial" w:hAnsi="Arial"/>
          <w:sz w:val="14"/>
          <w:szCs w:val="14"/>
          <w:color w:val="auto"/>
        </w:rPr>
        <w:t>the virtual meeting. You will need the 16-digit control number on the Notice of Internet Availability or your proxy card.</w:t>
      </w:r>
    </w:p>
    <w:p>
      <w:pPr>
        <w:sectPr>
          <w:pgSz w:w="11900" w:h="16838" w:orient="portrait"/>
          <w:cols w:equalWidth="0" w:num="2">
            <w:col w:w="7280" w:space="380"/>
            <w:col w:w="2479"/>
          </w:cols>
          <w:pgMar w:left="320" w:top="1293" w:right="1440" w:bottom="1440" w:gutter="0" w:footer="0" w:header="0"/>
        </w:sectPr>
      </w:pPr>
    </w:p>
    <w:bookmarkStart w:id="5" w:name="page6"/>
    <w:bookmarkEnd w:id="5"/>
    <w:p>
      <w:pPr>
        <w:spacing w:after="0"/>
        <w:rPr>
          <w:sz w:val="20"/>
          <w:szCs w:val="20"/>
          <w:color w:val="auto"/>
        </w:rPr>
      </w:pPr>
      <w:r>
        <w:rPr>
          <w:rFonts w:ascii="Arial" w:cs="Arial" w:eastAsia="Arial" w:hAnsi="Arial"/>
          <w:sz w:val="45"/>
          <w:szCs w:val="45"/>
          <w:b w:val="1"/>
          <w:bCs w:val="1"/>
          <w:color w:val="auto"/>
        </w:rPr>
        <w:t>TABLE OF CONTENTS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LETTER FROM THE LEAD DIRECTOR</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1</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NOTICE OF ANNUAL MEETING OF SHAREOWNERS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2</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HONEYWELL PERFORMANCE IN 2023</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4</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Honeywell Portfolio</w:t>
            </w: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2023 Performance Highlights</w:t>
            </w: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Commitment to Sustainability</w:t>
            </w: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51"/>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PROXY SUMMARY</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11</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Annual Meeting of Shareowners</w:t>
            </w: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Voting Matters</w:t>
            </w: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24"/>
        </w:trPr>
        <w:tc>
          <w:tcPr>
            <w:tcW w:w="4920" w:type="dxa"/>
            <w:vAlign w:val="bottom"/>
            <w:tcBorders>
              <w:bottom w:val="single" w:sz="8" w:color="D7282F"/>
            </w:tcBorders>
          </w:tcPr>
          <w:p>
            <w:pPr>
              <w:spacing w:after="0"/>
              <w:rPr>
                <w:sz w:val="10"/>
                <w:szCs w:val="10"/>
                <w:color w:val="auto"/>
              </w:rPr>
            </w:pPr>
          </w:p>
        </w:tc>
        <w:tc>
          <w:tcPr>
            <w:tcW w:w="440" w:type="dxa"/>
            <w:vAlign w:val="bottom"/>
            <w:tcBorders>
              <w:bottom w:val="single" w:sz="8" w:color="D7282F"/>
            </w:tcBorders>
          </w:tcPr>
          <w:p>
            <w:pPr>
              <w:spacing w:after="0"/>
              <w:rPr>
                <w:sz w:val="10"/>
                <w:szCs w:val="10"/>
                <w:color w:val="auto"/>
              </w:rPr>
            </w:pPr>
          </w:p>
        </w:tc>
      </w:tr>
      <w:tr>
        <w:trPr>
          <w:trHeight w:val="269"/>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PROPOSAL 1: ELECTION OF DIRECTORS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17</w:t>
            </w:r>
          </w:p>
        </w:tc>
      </w:tr>
      <w:tr>
        <w:trPr>
          <w:trHeight w:val="316"/>
        </w:trPr>
        <w:tc>
          <w:tcPr>
            <w:tcW w:w="4920" w:type="dxa"/>
            <w:vAlign w:val="bottom"/>
          </w:tcPr>
          <w:p>
            <w:pPr>
              <w:ind w:left="520"/>
              <w:spacing w:after="0"/>
              <w:rPr>
                <w:sz w:val="20"/>
                <w:szCs w:val="20"/>
                <w:color w:val="auto"/>
              </w:rPr>
            </w:pPr>
            <w:r>
              <w:rPr>
                <w:rFonts w:ascii="Arial" w:cs="Arial" w:eastAsia="Arial" w:hAnsi="Arial"/>
                <w:sz w:val="16"/>
                <w:szCs w:val="16"/>
                <w:color w:val="auto"/>
              </w:rPr>
              <w:t>Director Skills and Qualifications</w:t>
            </w: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Skillset Matrix</w:t>
            </w:r>
          </w:p>
        </w:tc>
        <w:tc>
          <w:tcPr>
            <w:tcW w:w="4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31"/>
        </w:trPr>
        <w:tc>
          <w:tcPr>
            <w:tcW w:w="4920" w:type="dxa"/>
            <w:vAlign w:val="bottom"/>
          </w:tcPr>
          <w:p>
            <w:pPr>
              <w:ind w:left="520"/>
              <w:spacing w:after="0"/>
              <w:rPr>
                <w:sz w:val="20"/>
                <w:szCs w:val="20"/>
                <w:color w:val="auto"/>
              </w:rPr>
            </w:pPr>
            <w:r>
              <w:rPr>
                <w:rFonts w:ascii="Arial" w:cs="Arial" w:eastAsia="Arial" w:hAnsi="Arial"/>
                <w:sz w:val="16"/>
                <w:szCs w:val="16"/>
                <w:color w:val="auto"/>
              </w:rPr>
              <w:t>Commitment to Board Integrity, Diversity,</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920" w:type="dxa"/>
            <w:vAlign w:val="bottom"/>
          </w:tcPr>
          <w:p>
            <w:pPr>
              <w:ind w:left="520"/>
              <w:spacing w:after="0"/>
              <w:rPr>
                <w:sz w:val="20"/>
                <w:szCs w:val="20"/>
                <w:color w:val="auto"/>
              </w:rPr>
            </w:pPr>
            <w:r>
              <w:rPr>
                <w:rFonts w:ascii="Arial" w:cs="Arial" w:eastAsia="Arial" w:hAnsi="Arial"/>
                <w:sz w:val="16"/>
                <w:szCs w:val="16"/>
                <w:color w:val="auto"/>
              </w:rPr>
              <w:t>and Independence</w:t>
            </w:r>
          </w:p>
        </w:tc>
        <w:tc>
          <w:tcPr>
            <w:tcW w:w="440" w:type="dxa"/>
            <w:vAlign w:val="bottom"/>
          </w:tcPr>
          <w:p>
            <w:pPr>
              <w:spacing w:after="0"/>
              <w:rPr>
                <w:sz w:val="18"/>
                <w:szCs w:val="18"/>
                <w:color w:val="auto"/>
              </w:rPr>
            </w:pP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Nominees for Election</w:t>
            </w: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CORPORATE GOVERNANCE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27</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Shareowner Outreach and Engagement</w:t>
            </w: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Leadership Structure</w:t>
            </w:r>
          </w:p>
        </w:tc>
        <w:tc>
          <w:tcPr>
            <w:tcW w:w="4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Director Independence</w:t>
            </w:r>
          </w:p>
        </w:tc>
        <w:tc>
          <w:tcPr>
            <w:tcW w:w="4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Practices and Procedures</w:t>
            </w: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 Committees</w:t>
            </w: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Leadership Succession Planning</w:t>
            </w: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Board’s Role in Risk Oversight</w:t>
            </w:r>
          </w:p>
        </w:tc>
        <w:tc>
          <w:tcPr>
            <w:tcW w:w="4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1"/>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DIRECTOR COMPENSATION</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45</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Elements of Compensation</w:t>
            </w:r>
          </w:p>
        </w:tc>
        <w:tc>
          <w:tcPr>
            <w:tcW w:w="4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2023 Director Compensation Table</w:t>
            </w: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Director Stock Ownership Guidelines</w:t>
            </w: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8"/>
        </w:trPr>
        <w:tc>
          <w:tcPr>
            <w:tcW w:w="4920" w:type="dxa"/>
            <w:vAlign w:val="bottom"/>
            <w:tcBorders>
              <w:bottom w:val="single" w:sz="8" w:color="D7282F"/>
            </w:tcBorders>
          </w:tcPr>
          <w:p>
            <w:pPr>
              <w:spacing w:after="0"/>
              <w:rPr>
                <w:sz w:val="22"/>
                <w:szCs w:val="22"/>
                <w:color w:val="auto"/>
              </w:rPr>
            </w:pPr>
          </w:p>
        </w:tc>
        <w:tc>
          <w:tcPr>
            <w:tcW w:w="440" w:type="dxa"/>
            <w:vAlign w:val="bottom"/>
            <w:tcBorders>
              <w:bottom w:val="single" w:sz="8" w:color="D7282F"/>
            </w:tcBorders>
          </w:tcPr>
          <w:p>
            <w:pPr>
              <w:spacing w:after="0"/>
              <w:rPr>
                <w:sz w:val="22"/>
                <w:szCs w:val="22"/>
                <w:color w:val="auto"/>
              </w:rPr>
            </w:pPr>
          </w:p>
        </w:tc>
      </w:tr>
      <w:tr>
        <w:trPr>
          <w:trHeight w:val="249"/>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PROPOSAL 2: ADVISORY VOTE TO APPROVE</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48</w:t>
            </w:r>
          </w:p>
        </w:tc>
      </w:tr>
      <w:tr>
        <w:trPr>
          <w:trHeight w:val="22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EXECUTIVE COMPENSATION</w:t>
            </w:r>
          </w:p>
        </w:tc>
        <w:tc>
          <w:tcPr>
            <w:tcW w:w="440" w:type="dxa"/>
            <w:vAlign w:val="bottom"/>
          </w:tcPr>
          <w:p>
            <w:pPr>
              <w:spacing w:after="0"/>
              <w:rPr>
                <w:sz w:val="19"/>
                <w:szCs w:val="19"/>
                <w:color w:val="auto"/>
              </w:rPr>
            </w:pP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b w:val="1"/>
                <w:bCs w:val="1"/>
                <w:color w:val="D7282F"/>
              </w:rPr>
              <w:t>COMPENSATION DISCUSSION AND ANALYSIS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D7282F"/>
              </w:rPr>
              <w:t>49</w:t>
            </w:r>
          </w:p>
        </w:tc>
      </w:tr>
      <w:tr>
        <w:trPr>
          <w:trHeight w:val="235"/>
        </w:trPr>
        <w:tc>
          <w:tcPr>
            <w:tcW w:w="4920" w:type="dxa"/>
            <w:vAlign w:val="bottom"/>
          </w:tcPr>
          <w:p>
            <w:pPr>
              <w:ind w:left="520"/>
              <w:spacing w:after="0"/>
              <w:rPr>
                <w:sz w:val="20"/>
                <w:szCs w:val="20"/>
                <w:color w:val="auto"/>
              </w:rPr>
            </w:pPr>
            <w:r>
              <w:rPr>
                <w:rFonts w:ascii="Arial" w:cs="Arial" w:eastAsia="Arial" w:hAnsi="Arial"/>
                <w:sz w:val="16"/>
                <w:szCs w:val="16"/>
                <w:color w:val="auto"/>
              </w:rPr>
              <w:t>Our Named Executive Officers (NEOs)</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CEO Transition</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Our Compensation Program</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2023 Compensation Summary</w:t>
            </w:r>
          </w:p>
        </w:tc>
        <w:tc>
          <w:tcPr>
            <w:tcW w:w="4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CEO Compensation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2023 Base Salary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2023 Annual Incentive Compensation Plan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2023 Long-Term Incentive Compensation Decisions</w:t>
            </w:r>
          </w:p>
        </w:tc>
        <w:tc>
          <w:tcPr>
            <w:tcW w:w="4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Other Compensation and Benefit Programs</w:t>
            </w:r>
          </w:p>
        </w:tc>
        <w:tc>
          <w:tcPr>
            <w:tcW w:w="4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43"/>
        </w:trPr>
        <w:tc>
          <w:tcPr>
            <w:tcW w:w="4920" w:type="dxa"/>
            <w:vAlign w:val="bottom"/>
          </w:tcPr>
          <w:p>
            <w:pPr>
              <w:ind w:left="520"/>
              <w:spacing w:after="0"/>
              <w:rPr>
                <w:sz w:val="20"/>
                <w:szCs w:val="20"/>
                <w:color w:val="auto"/>
              </w:rPr>
            </w:pPr>
            <w:r>
              <w:rPr>
                <w:rFonts w:ascii="Arial" w:cs="Arial" w:eastAsia="Arial" w:hAnsi="Arial"/>
                <w:sz w:val="16"/>
                <w:szCs w:val="16"/>
                <w:color w:val="auto"/>
              </w:rPr>
              <w:t>Risk Oversight Considerations</w:t>
            </w:r>
          </w:p>
        </w:tc>
        <w:tc>
          <w:tcPr>
            <w:tcW w:w="4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31"/>
        </w:trPr>
        <w:tc>
          <w:tcPr>
            <w:tcW w:w="4920" w:type="dxa"/>
            <w:vAlign w:val="bottom"/>
          </w:tcPr>
          <w:p>
            <w:pPr>
              <w:ind w:left="520"/>
              <w:spacing w:after="0"/>
              <w:rPr>
                <w:sz w:val="20"/>
                <w:szCs w:val="20"/>
                <w:color w:val="auto"/>
              </w:rPr>
            </w:pPr>
            <w:r>
              <w:rPr>
                <w:rFonts w:ascii="Arial" w:cs="Arial" w:eastAsia="Arial" w:hAnsi="Arial"/>
                <w:sz w:val="16"/>
                <w:szCs w:val="16"/>
                <w:color w:val="auto"/>
              </w:rPr>
              <w:t>Management Development and Compensation Committee</w:t>
            </w: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15"/>
        </w:trPr>
        <w:tc>
          <w:tcPr>
            <w:tcW w:w="4920" w:type="dxa"/>
            <w:vAlign w:val="bottom"/>
          </w:tcPr>
          <w:p>
            <w:pPr>
              <w:ind w:left="520"/>
              <w:spacing w:after="0"/>
              <w:rPr>
                <w:sz w:val="20"/>
                <w:szCs w:val="20"/>
                <w:color w:val="auto"/>
              </w:rPr>
            </w:pPr>
            <w:r>
              <w:rPr>
                <w:rFonts w:ascii="Arial" w:cs="Arial" w:eastAsia="Arial" w:hAnsi="Arial"/>
                <w:sz w:val="16"/>
                <w:szCs w:val="16"/>
                <w:color w:val="auto"/>
              </w:rPr>
              <w:t>Report</w:t>
            </w:r>
          </w:p>
        </w:tc>
        <w:tc>
          <w:tcPr>
            <w:tcW w:w="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-5227320</wp:posOffset>
            </wp:positionV>
            <wp:extent cx="11112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-2235835</wp:posOffset>
            </wp:positionV>
            <wp:extent cx="11112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23"/>
        </w:trPr>
        <w:tc>
          <w:tcPr>
            <w:tcW w:w="3800" w:type="dxa"/>
            <w:vAlign w:val="bottom"/>
          </w:tcPr>
          <w:p>
            <w:pPr>
              <w:spacing w:after="0"/>
              <w:rPr>
                <w:sz w:val="20"/>
                <w:szCs w:val="20"/>
                <w:color w:val="auto"/>
              </w:rPr>
            </w:pPr>
            <w:r>
              <w:rPr>
                <w:rFonts w:ascii="Arial" w:cs="Arial" w:eastAsia="Arial" w:hAnsi="Arial"/>
                <w:sz w:val="16"/>
                <w:szCs w:val="16"/>
                <w:b w:val="1"/>
                <w:bCs w:val="1"/>
                <w:color w:val="D7282F"/>
              </w:rPr>
              <w:t>EXECUTIVE COMPENSATION TABLES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D7282F"/>
              </w:rPr>
              <w:t>81</w:t>
            </w:r>
          </w:p>
        </w:tc>
      </w:tr>
      <w:tr>
        <w:trPr>
          <w:trHeight w:val="235"/>
        </w:trPr>
        <w:tc>
          <w:tcPr>
            <w:tcW w:w="3800" w:type="dxa"/>
            <w:vAlign w:val="bottom"/>
          </w:tcPr>
          <w:p>
            <w:pPr>
              <w:spacing w:after="0"/>
              <w:rPr>
                <w:sz w:val="20"/>
                <w:szCs w:val="20"/>
                <w:color w:val="auto"/>
              </w:rPr>
            </w:pPr>
            <w:r>
              <w:rPr>
                <w:rFonts w:ascii="Arial" w:cs="Arial" w:eastAsia="Arial" w:hAnsi="Arial"/>
                <w:sz w:val="16"/>
                <w:szCs w:val="16"/>
                <w:color w:val="auto"/>
              </w:rPr>
              <w:t>Summary Compensation Table</w:t>
            </w:r>
          </w:p>
        </w:tc>
        <w:tc>
          <w:tcPr>
            <w:tcW w:w="10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43"/>
        </w:trPr>
        <w:tc>
          <w:tcPr>
            <w:tcW w:w="3800" w:type="dxa"/>
            <w:vAlign w:val="bottom"/>
          </w:tcPr>
          <w:p>
            <w:pPr>
              <w:spacing w:after="0"/>
              <w:rPr>
                <w:sz w:val="20"/>
                <w:szCs w:val="20"/>
                <w:color w:val="auto"/>
              </w:rPr>
            </w:pPr>
            <w:r>
              <w:rPr>
                <w:rFonts w:ascii="Arial" w:cs="Arial" w:eastAsia="Arial" w:hAnsi="Arial"/>
                <w:sz w:val="16"/>
                <w:szCs w:val="16"/>
                <w:color w:val="auto"/>
              </w:rPr>
              <w:t>Other Compensation Tables</w:t>
            </w: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43"/>
        </w:trPr>
        <w:tc>
          <w:tcPr>
            <w:tcW w:w="3800" w:type="dxa"/>
            <w:vAlign w:val="bottom"/>
          </w:tcPr>
          <w:p>
            <w:pPr>
              <w:spacing w:after="0"/>
              <w:rPr>
                <w:sz w:val="20"/>
                <w:szCs w:val="20"/>
                <w:color w:val="auto"/>
              </w:rPr>
            </w:pPr>
            <w:r>
              <w:rPr>
                <w:rFonts w:ascii="Arial" w:cs="Arial" w:eastAsia="Arial" w:hAnsi="Arial"/>
                <w:sz w:val="16"/>
                <w:szCs w:val="16"/>
                <w:color w:val="auto"/>
              </w:rPr>
              <w:t>CEO Pay Ratio</w:t>
            </w:r>
          </w:p>
        </w:tc>
        <w:tc>
          <w:tcPr>
            <w:tcW w:w="10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43"/>
        </w:trPr>
        <w:tc>
          <w:tcPr>
            <w:tcW w:w="3800" w:type="dxa"/>
            <w:vAlign w:val="bottom"/>
          </w:tcPr>
          <w:p>
            <w:pPr>
              <w:spacing w:after="0"/>
              <w:rPr>
                <w:sz w:val="20"/>
                <w:szCs w:val="20"/>
                <w:color w:val="auto"/>
              </w:rPr>
            </w:pPr>
            <w:r>
              <w:rPr>
                <w:rFonts w:ascii="Arial" w:cs="Arial" w:eastAsia="Arial" w:hAnsi="Arial"/>
                <w:sz w:val="16"/>
                <w:szCs w:val="16"/>
                <w:color w:val="auto"/>
              </w:rPr>
              <w:t>Pay Versus Performance</w:t>
            </w: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163830</wp:posOffset>
            </wp:positionV>
            <wp:extent cx="34029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05"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3540" w:type="dxa"/>
            <w:vAlign w:val="bottom"/>
          </w:tcPr>
          <w:p>
            <w:pPr>
              <w:spacing w:after="0"/>
              <w:rPr>
                <w:sz w:val="20"/>
                <w:szCs w:val="20"/>
                <w:color w:val="auto"/>
              </w:rPr>
            </w:pPr>
            <w:r>
              <w:rPr>
                <w:rFonts w:ascii="Arial" w:cs="Arial" w:eastAsia="Arial" w:hAnsi="Arial"/>
                <w:sz w:val="16"/>
                <w:szCs w:val="16"/>
                <w:b w:val="1"/>
                <w:bCs w:val="1"/>
                <w:color w:val="D7282F"/>
              </w:rPr>
              <w:t>PROPOSAL 3: APPROVAL OF</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D7282F"/>
              </w:rPr>
              <w:t>101</w:t>
            </w:r>
          </w:p>
        </w:tc>
      </w:tr>
      <w:tr>
        <w:trPr>
          <w:trHeight w:val="223"/>
        </w:trPr>
        <w:tc>
          <w:tcPr>
            <w:tcW w:w="3540" w:type="dxa"/>
            <w:vAlign w:val="bottom"/>
          </w:tcPr>
          <w:p>
            <w:pPr>
              <w:spacing w:after="0"/>
              <w:rPr>
                <w:sz w:val="20"/>
                <w:szCs w:val="20"/>
                <w:color w:val="auto"/>
              </w:rPr>
            </w:pPr>
            <w:r>
              <w:rPr>
                <w:rFonts w:ascii="Arial" w:cs="Arial" w:eastAsia="Arial" w:hAnsi="Arial"/>
                <w:sz w:val="16"/>
                <w:szCs w:val="16"/>
                <w:b w:val="1"/>
                <w:bCs w:val="1"/>
                <w:color w:val="D7282F"/>
              </w:rPr>
              <w:t>INDEPENDENT ACCOUNTANTS</w:t>
            </w:r>
          </w:p>
        </w:tc>
        <w:tc>
          <w:tcPr>
            <w:tcW w:w="1300" w:type="dxa"/>
            <w:vAlign w:val="bottom"/>
          </w:tcPr>
          <w:p>
            <w:pPr>
              <w:spacing w:after="0"/>
              <w:rPr>
                <w:sz w:val="19"/>
                <w:szCs w:val="19"/>
                <w:color w:val="auto"/>
              </w:rPr>
            </w:pPr>
          </w:p>
        </w:tc>
      </w:tr>
      <w:tr>
        <w:trPr>
          <w:trHeight w:val="235"/>
        </w:trPr>
        <w:tc>
          <w:tcPr>
            <w:tcW w:w="3540" w:type="dxa"/>
            <w:vAlign w:val="bottom"/>
          </w:tcPr>
          <w:p>
            <w:pPr>
              <w:spacing w:after="0"/>
              <w:rPr>
                <w:sz w:val="20"/>
                <w:szCs w:val="20"/>
                <w:color w:val="auto"/>
              </w:rPr>
            </w:pPr>
            <w:r>
              <w:rPr>
                <w:rFonts w:ascii="Arial" w:cs="Arial" w:eastAsia="Arial" w:hAnsi="Arial"/>
                <w:sz w:val="16"/>
                <w:szCs w:val="16"/>
                <w:color w:val="auto"/>
              </w:rPr>
              <w:t>Independent Accounting Firm Fees</w:t>
            </w:r>
          </w:p>
        </w:tc>
        <w:tc>
          <w:tcPr>
            <w:tcW w:w="13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Non-Audit Services</w:t>
            </w:r>
          </w:p>
        </w:tc>
        <w:tc>
          <w:tcPr>
            <w:tcW w:w="13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43"/>
        </w:trPr>
        <w:tc>
          <w:tcPr>
            <w:tcW w:w="3540" w:type="dxa"/>
            <w:vAlign w:val="bottom"/>
          </w:tcPr>
          <w:p>
            <w:pPr>
              <w:spacing w:after="0"/>
              <w:rPr>
                <w:sz w:val="20"/>
                <w:szCs w:val="20"/>
                <w:color w:val="auto"/>
              </w:rPr>
            </w:pPr>
            <w:r>
              <w:rPr>
                <w:rFonts w:ascii="Arial" w:cs="Arial" w:eastAsia="Arial" w:hAnsi="Arial"/>
                <w:sz w:val="16"/>
                <w:szCs w:val="16"/>
                <w:color w:val="auto"/>
              </w:rPr>
              <w:t>Audit Committee Report</w:t>
            </w:r>
          </w:p>
        </w:tc>
        <w:tc>
          <w:tcPr>
            <w:tcW w:w="1300" w:type="dxa"/>
            <w:vAlign w:val="bottom"/>
          </w:tcPr>
          <w:p>
            <w:pPr>
              <w:jc w:val="right"/>
              <w:spacing w:after="0"/>
              <w:rPr>
                <w:sz w:val="20"/>
                <w:szCs w:val="20"/>
                <w:color w:val="auto"/>
              </w:rPr>
            </w:pPr>
            <w:r>
              <w:rPr>
                <w:rFonts w:ascii="Arial" w:cs="Arial" w:eastAsia="Arial" w:hAnsi="Arial"/>
                <w:sz w:val="16"/>
                <w:szCs w:val="16"/>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34029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-718185</wp:posOffset>
            </wp:positionV>
            <wp:extent cx="111125"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ind w:left="500"/>
              <w:spacing w:after="0"/>
              <w:rPr>
                <w:sz w:val="20"/>
                <w:szCs w:val="20"/>
                <w:color w:val="auto"/>
              </w:rPr>
            </w:pPr>
            <w:r>
              <w:rPr>
                <w:rFonts w:ascii="Arial" w:cs="Arial" w:eastAsia="Arial" w:hAnsi="Arial"/>
                <w:sz w:val="16"/>
                <w:szCs w:val="16"/>
                <w:b w:val="1"/>
                <w:bCs w:val="1"/>
                <w:color w:val="6D6E71"/>
              </w:rPr>
              <w:t>PROPOSAL 4: SHAREOWNER PROPOSAL —</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D7282F"/>
              </w:rPr>
              <w:t>103</w:t>
            </w:r>
          </w:p>
        </w:tc>
      </w:tr>
      <w:tr>
        <w:trPr>
          <w:trHeight w:val="223"/>
        </w:trPr>
        <w:tc>
          <w:tcPr>
            <w:tcW w:w="4620" w:type="dxa"/>
            <w:vAlign w:val="bottom"/>
          </w:tcPr>
          <w:p>
            <w:pPr>
              <w:ind w:left="500"/>
              <w:spacing w:after="0"/>
              <w:rPr>
                <w:sz w:val="20"/>
                <w:szCs w:val="20"/>
                <w:color w:val="auto"/>
              </w:rPr>
            </w:pPr>
            <w:r>
              <w:rPr>
                <w:rFonts w:ascii="Arial" w:cs="Arial" w:eastAsia="Arial" w:hAnsi="Arial"/>
                <w:sz w:val="16"/>
                <w:szCs w:val="16"/>
                <w:b w:val="1"/>
                <w:bCs w:val="1"/>
                <w:color w:val="6D6E71"/>
              </w:rPr>
              <w:t>INDEPENDENT BOARD CHAIRMAN</w:t>
            </w:r>
          </w:p>
        </w:tc>
        <w:tc>
          <w:tcPr>
            <w:tcW w:w="740" w:type="dxa"/>
            <w:vAlign w:val="bottom"/>
          </w:tcPr>
          <w:p>
            <w:pPr>
              <w:spacing w:after="0"/>
              <w:rPr>
                <w:sz w:val="19"/>
                <w:szCs w:val="19"/>
                <w:color w:val="auto"/>
              </w:rPr>
            </w:pPr>
          </w:p>
        </w:tc>
      </w:tr>
      <w:tr>
        <w:trPr>
          <w:trHeight w:val="235"/>
        </w:trPr>
        <w:tc>
          <w:tcPr>
            <w:tcW w:w="4620" w:type="dxa"/>
            <w:vAlign w:val="bottom"/>
          </w:tcPr>
          <w:p>
            <w:pPr>
              <w:ind w:left="500"/>
              <w:spacing w:after="0"/>
              <w:rPr>
                <w:sz w:val="20"/>
                <w:szCs w:val="20"/>
                <w:color w:val="auto"/>
              </w:rPr>
            </w:pPr>
            <w:r>
              <w:rPr>
                <w:rFonts w:ascii="Arial" w:cs="Arial" w:eastAsia="Arial" w:hAnsi="Arial"/>
                <w:sz w:val="16"/>
                <w:szCs w:val="16"/>
                <w:color w:val="auto"/>
              </w:rPr>
              <w:t>Board Recommendation</w:t>
            </w:r>
          </w:p>
        </w:tc>
        <w:tc>
          <w:tcPr>
            <w:tcW w:w="7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124"/>
        </w:trPr>
        <w:tc>
          <w:tcPr>
            <w:tcW w:w="4620" w:type="dxa"/>
            <w:vAlign w:val="bottom"/>
            <w:tcBorders>
              <w:bottom w:val="single" w:sz="8" w:color="D7282F"/>
            </w:tcBorders>
          </w:tcPr>
          <w:p>
            <w:pPr>
              <w:spacing w:after="0"/>
              <w:rPr>
                <w:sz w:val="10"/>
                <w:szCs w:val="10"/>
                <w:color w:val="auto"/>
              </w:rPr>
            </w:pPr>
          </w:p>
        </w:tc>
        <w:tc>
          <w:tcPr>
            <w:tcW w:w="740" w:type="dxa"/>
            <w:vAlign w:val="bottom"/>
            <w:tcBorders>
              <w:bottom w:val="single" w:sz="8" w:color="D7282F"/>
            </w:tcBorders>
          </w:tcPr>
          <w:p>
            <w:pPr>
              <w:spacing w:after="0"/>
              <w:rPr>
                <w:sz w:val="10"/>
                <w:szCs w:val="10"/>
                <w:color w:val="auto"/>
              </w:rPr>
            </w:pPr>
          </w:p>
        </w:tc>
      </w:tr>
      <w:tr>
        <w:trPr>
          <w:trHeight w:val="269"/>
        </w:trPr>
        <w:tc>
          <w:tcPr>
            <w:tcW w:w="4620" w:type="dxa"/>
            <w:vAlign w:val="bottom"/>
          </w:tcPr>
          <w:p>
            <w:pPr>
              <w:ind w:left="500"/>
              <w:spacing w:after="0"/>
              <w:rPr>
                <w:sz w:val="20"/>
                <w:szCs w:val="20"/>
                <w:color w:val="auto"/>
              </w:rPr>
            </w:pPr>
            <w:r>
              <w:rPr>
                <w:rFonts w:ascii="Arial" w:cs="Arial" w:eastAsia="Arial" w:hAnsi="Arial"/>
                <w:sz w:val="16"/>
                <w:szCs w:val="16"/>
                <w:b w:val="1"/>
                <w:bCs w:val="1"/>
                <w:color w:val="D7282F"/>
              </w:rPr>
              <w:t>ADDITIONAL INFORMATION</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D7282F"/>
              </w:rPr>
              <w:t>106</w:t>
            </w:r>
          </w:p>
        </w:tc>
      </w:tr>
      <w:tr>
        <w:trPr>
          <w:trHeight w:val="235"/>
        </w:trPr>
        <w:tc>
          <w:tcPr>
            <w:tcW w:w="4620" w:type="dxa"/>
            <w:vAlign w:val="bottom"/>
          </w:tcPr>
          <w:p>
            <w:pPr>
              <w:ind w:left="500"/>
              <w:spacing w:after="0"/>
              <w:rPr>
                <w:sz w:val="20"/>
                <w:szCs w:val="20"/>
                <w:color w:val="auto"/>
              </w:rPr>
            </w:pPr>
            <w:r>
              <w:rPr>
                <w:rFonts w:ascii="Arial" w:cs="Arial" w:eastAsia="Arial" w:hAnsi="Arial"/>
                <w:sz w:val="16"/>
                <w:szCs w:val="16"/>
                <w:color w:val="auto"/>
              </w:rPr>
              <w:t>Other Business</w:t>
            </w: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Certain Relationships and Related Transactions</w:t>
            </w: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Stock Ownership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Virtual Annual Meeting</w:t>
            </w: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Notice and Access</w:t>
            </w:r>
          </w:p>
        </w:tc>
        <w:tc>
          <w:tcPr>
            <w:tcW w:w="7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Voting Procedures</w:t>
            </w:r>
          </w:p>
        </w:tc>
        <w:tc>
          <w:tcPr>
            <w:tcW w:w="74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Shareowner Proposals and Board Nominees</w:t>
            </w:r>
          </w:p>
        </w:tc>
        <w:tc>
          <w:tcPr>
            <w:tcW w:w="7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color w:val="auto"/>
              </w:rPr>
              <w:t>Where Shareowners Can Find More Information</w:t>
            </w:r>
          </w:p>
        </w:tc>
        <w:tc>
          <w:tcPr>
            <w:tcW w:w="7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31"/>
        </w:trPr>
        <w:tc>
          <w:tcPr>
            <w:tcW w:w="4620" w:type="dxa"/>
            <w:vAlign w:val="bottom"/>
          </w:tcPr>
          <w:p>
            <w:pPr>
              <w:ind w:left="500"/>
              <w:spacing w:after="0"/>
              <w:rPr>
                <w:sz w:val="20"/>
                <w:szCs w:val="20"/>
                <w:color w:val="auto"/>
              </w:rPr>
            </w:pPr>
            <w:r>
              <w:rPr>
                <w:rFonts w:ascii="Arial" w:cs="Arial" w:eastAsia="Arial" w:hAnsi="Arial"/>
                <w:sz w:val="16"/>
                <w:szCs w:val="16"/>
                <w:b w:val="1"/>
                <w:bCs w:val="1"/>
                <w:color w:val="D7282F"/>
              </w:rPr>
              <w:t>APPENDIX A: RECONCILIATION OF NON-GAAP</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D7282F"/>
              </w:rPr>
              <w:t>114</w:t>
            </w:r>
          </w:p>
        </w:tc>
      </w:tr>
      <w:tr>
        <w:trPr>
          <w:trHeight w:val="223"/>
        </w:trPr>
        <w:tc>
          <w:tcPr>
            <w:tcW w:w="4620" w:type="dxa"/>
            <w:vAlign w:val="bottom"/>
          </w:tcPr>
          <w:p>
            <w:pPr>
              <w:ind w:left="500"/>
              <w:spacing w:after="0"/>
              <w:rPr>
                <w:sz w:val="20"/>
                <w:szCs w:val="20"/>
                <w:color w:val="auto"/>
              </w:rPr>
            </w:pPr>
            <w:r>
              <w:rPr>
                <w:rFonts w:ascii="Arial" w:cs="Arial" w:eastAsia="Arial" w:hAnsi="Arial"/>
                <w:sz w:val="16"/>
                <w:szCs w:val="16"/>
                <w:b w:val="1"/>
                <w:bCs w:val="1"/>
                <w:color w:val="D7282F"/>
              </w:rPr>
              <w:t>FINANCIAL MEASURES</w:t>
            </w:r>
          </w:p>
        </w:tc>
        <w:tc>
          <w:tcPr>
            <w:tcW w:w="740" w:type="dxa"/>
            <w:vAlign w:val="bottom"/>
          </w:tcPr>
          <w:p>
            <w:pPr>
              <w:spacing w:after="0"/>
              <w:rPr>
                <w:sz w:val="19"/>
                <w:szCs w:val="19"/>
                <w:color w:val="auto"/>
              </w:rPr>
            </w:pPr>
          </w:p>
        </w:tc>
      </w:tr>
      <w:tr>
        <w:trPr>
          <w:trHeight w:val="243"/>
        </w:trPr>
        <w:tc>
          <w:tcPr>
            <w:tcW w:w="4620" w:type="dxa"/>
            <w:vAlign w:val="bottom"/>
          </w:tcPr>
          <w:p>
            <w:pPr>
              <w:ind w:left="500"/>
              <w:spacing w:after="0"/>
              <w:rPr>
                <w:sz w:val="20"/>
                <w:szCs w:val="20"/>
                <w:color w:val="auto"/>
              </w:rPr>
            </w:pPr>
            <w:r>
              <w:rPr>
                <w:rFonts w:ascii="Arial" w:cs="Arial" w:eastAsia="Arial" w:hAnsi="Arial"/>
                <w:sz w:val="16"/>
                <w:szCs w:val="16"/>
                <w:b w:val="1"/>
                <w:bCs w:val="1"/>
                <w:color w:val="D7282F"/>
              </w:rPr>
              <w:t>RECENT AWARDS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D7282F"/>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-2343785</wp:posOffset>
            </wp:positionV>
            <wp:extent cx="111125"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16" w:lineRule="exact"/>
        <w:rPr>
          <w:sz w:val="20"/>
          <w:szCs w:val="20"/>
          <w:color w:val="auto"/>
        </w:rPr>
      </w:pPr>
    </w:p>
    <w:p>
      <w:pPr>
        <w:ind w:left="20" w:right="420"/>
        <w:spacing w:after="0" w:line="265" w:lineRule="auto"/>
        <w:rPr>
          <w:sz w:val="20"/>
          <w:szCs w:val="20"/>
          <w:color w:val="auto"/>
        </w:rPr>
      </w:pPr>
      <w:r>
        <w:rPr>
          <w:rFonts w:ascii="Arial" w:cs="Arial" w:eastAsia="Arial" w:hAnsi="Arial"/>
          <w:sz w:val="16"/>
          <w:szCs w:val="16"/>
          <w:color w:val="auto"/>
        </w:rPr>
        <w:t>Reconciliation, notes, and definitions of non-GAAP financial measures used in the Compensation Discussion and Analysis section and elsewhere in this Proxy Statement, other than as part of disclosure of target levels, can be found on page 49 or in Appendix A.</w:t>
      </w:r>
    </w:p>
    <w:p>
      <w:pPr>
        <w:spacing w:after="0" w:line="186" w:lineRule="exact"/>
        <w:rPr>
          <w:sz w:val="20"/>
          <w:szCs w:val="20"/>
          <w:color w:val="auto"/>
        </w:rPr>
      </w:pPr>
    </w:p>
    <w:p>
      <w:pPr>
        <w:ind w:left="20" w:right="160"/>
        <w:spacing w:after="0" w:line="275" w:lineRule="auto"/>
        <w:rPr>
          <w:sz w:val="20"/>
          <w:szCs w:val="20"/>
          <w:color w:val="auto"/>
        </w:rPr>
      </w:pPr>
      <w:r>
        <w:rPr>
          <w:rFonts w:ascii="Arial" w:cs="Arial" w:eastAsia="Arial" w:hAnsi="Arial"/>
          <w:sz w:val="16"/>
          <w:szCs w:val="16"/>
          <w:color w:val="auto"/>
        </w:rPr>
        <w:t>Unless the context otherwise requires, the terms “Honeywell,” the “Company,” “we,” “our,” or “us” refer to Honeywell International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080" w:type="dxa"/>
        <w:tblCellMar>
          <w:top w:w="0" w:type="dxa"/>
          <w:left w:w="0" w:type="dxa"/>
          <w:bottom w:w="0" w:type="dxa"/>
          <w:right w:w="0" w:type="dxa"/>
        </w:tblCellMar>
      </w:tblPr>
      <w:tr>
        <w:trPr>
          <w:trHeight w:val="247"/>
        </w:trPr>
        <w:tc>
          <w:tcPr>
            <w:tcW w:w="3520" w:type="dxa"/>
            <w:vAlign w:val="bottom"/>
          </w:tcPr>
          <w:p>
            <w:pPr>
              <w:spacing w:after="0"/>
              <w:rPr>
                <w:sz w:val="20"/>
                <w:szCs w:val="20"/>
                <w:color w:val="auto"/>
              </w:rPr>
            </w:pPr>
            <w:r>
              <w:rPr>
                <w:rFonts w:ascii="Arial" w:cs="Arial" w:eastAsia="Arial" w:hAnsi="Arial"/>
                <w:sz w:val="13"/>
                <w:szCs w:val="13"/>
                <w:b w:val="1"/>
                <w:bCs w:val="1"/>
                <w:color w:val="6D6E71"/>
              </w:rPr>
              <w:t>2024 NOTICE AND PROXY STATEMENT   |</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211455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2613660</wp:posOffset>
            </wp:positionH>
            <wp:positionV relativeFrom="paragraph">
              <wp:posOffset>-127000</wp:posOffset>
            </wp:positionV>
            <wp:extent cx="54864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2">
            <w:col w:w="5360" w:space="400"/>
            <w:col w:w="5460"/>
          </w:cols>
          <w:pgMar w:left="320" w:top="1293" w:right="359" w:bottom="1440" w:gutter="0" w:footer="0" w:header="0"/>
        </w:sectPr>
      </w:pPr>
    </w:p>
    <w:bookmarkStart w:id="6" w:name="page7"/>
    <w:bookmarkEnd w:id="6"/>
    <w:p>
      <w:pPr>
        <w:spacing w:after="0"/>
        <w:rPr>
          <w:sz w:val="20"/>
          <w:szCs w:val="20"/>
          <w:color w:val="auto"/>
        </w:rPr>
      </w:pPr>
      <w:r>
        <w:rPr>
          <w:rFonts w:ascii="Arial" w:cs="Arial" w:eastAsia="Arial" w:hAnsi="Arial"/>
          <w:sz w:val="45"/>
          <w:szCs w:val="45"/>
          <w:b w:val="1"/>
          <w:bCs w:val="1"/>
          <w:color w:val="auto"/>
        </w:rPr>
        <w:t>HONEYWELL</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PERFORMANCE IN 2023</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HONEYWELL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5648960" cy="2049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2049145"/>
                    </a:xfrm>
                    <a:prstGeom prst="rect">
                      <a:avLst/>
                    </a:prstGeom>
                    <a:noFill/>
                  </pic:spPr>
                </pic:pic>
              </a:graphicData>
            </a:graphic>
          </wp:anchor>
        </w:drawing>
      </w:r>
    </w:p>
    <w:p>
      <w:pPr>
        <w:sectPr>
          <w:pgSz w:w="11900" w:h="16838" w:orient="portrait"/>
          <w:cols w:equalWidth="0" w:num="1">
            <w:col w:w="10980"/>
          </w:cols>
          <w:pgMar w:left="320" w:top="1293"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D6E71"/>
        </w:rPr>
        <w:t>AEROSPACE TECHNOLOGIES</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Solutions to make air travel safer, more efficient, and more environmentally responsible, including advanced aerial mobility solutions and flight efficiency 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INDUSTRIAL AUTOMATION</w:t>
      </w:r>
    </w:p>
    <w:p>
      <w:pPr>
        <w:spacing w:after="0" w:line="200" w:lineRule="exact"/>
        <w:rPr>
          <w:sz w:val="20"/>
          <w:szCs w:val="20"/>
          <w:color w:val="auto"/>
        </w:rPr>
      </w:pPr>
    </w:p>
    <w:p>
      <w:pPr>
        <w:spacing w:after="0" w:line="23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Processes and solutions that improve productivity, workplace safety, and asset performance, including a wide range of process automation solutions, warehouse and workflow solutions, gas detection technology, and custom-engineered sensors, switches, and controls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BUILDING AUTOMATION</w:t>
      </w:r>
    </w:p>
    <w:p>
      <w:pPr>
        <w:spacing w:after="0" w:line="200" w:lineRule="exact"/>
        <w:rPr>
          <w:sz w:val="20"/>
          <w:szCs w:val="20"/>
          <w:color w:val="auto"/>
        </w:rPr>
      </w:pP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Hardware, software, and analytics to help improve quality of life and create safer, more efficient, more sustainable, and more productive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643255</wp:posOffset>
            </wp:positionV>
            <wp:extent cx="7123430" cy="643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3430"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6D6E71"/>
        </w:rPr>
        <w:t>ENERGY AND SUSTAINABILITY SOLUTIONS</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Advanced materials and industrial software that are enabling a more sustainable world, including low-global-warming-potential (GWP) molecules and biofuels for aviation</w:t>
      </w:r>
    </w:p>
    <w:p>
      <w:pPr>
        <w:spacing w:after="0" w:line="910" w:lineRule="exact"/>
        <w:rPr>
          <w:sz w:val="20"/>
          <w:szCs w:val="20"/>
          <w:color w:val="auto"/>
        </w:rPr>
      </w:pPr>
    </w:p>
    <w:p>
      <w:pPr>
        <w:sectPr>
          <w:pgSz w:w="11900" w:h="16838" w:orient="portrait"/>
          <w:cols w:equalWidth="0" w:num="4">
            <w:col w:w="2440" w:space="480"/>
            <w:col w:w="2480" w:space="300"/>
            <w:col w:w="2440" w:space="360"/>
            <w:col w:w="2480"/>
          </w:cols>
          <w:pgMar w:left="320" w:top="1293" w:right="599" w:bottom="1440" w:gutter="0" w:footer="0" w:header="0"/>
          <w:type w:val="continuous"/>
        </w:sect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D7282F"/>
        </w:rPr>
        <w:t>HONEYWELL CONNECTED ENTERPRISE</w:t>
      </w:r>
    </w:p>
    <w:p>
      <w:pPr>
        <w:spacing w:after="0" w:line="45" w:lineRule="exact"/>
        <w:rPr>
          <w:sz w:val="20"/>
          <w:szCs w:val="20"/>
          <w:color w:val="auto"/>
        </w:rPr>
      </w:pPr>
    </w:p>
    <w:p>
      <w:pPr>
        <w:ind w:left="160" w:right="280"/>
        <w:spacing w:after="0" w:line="286" w:lineRule="auto"/>
        <w:rPr>
          <w:sz w:val="20"/>
          <w:szCs w:val="20"/>
          <w:color w:val="auto"/>
        </w:rPr>
      </w:pPr>
      <w:r>
        <w:rPr>
          <w:rFonts w:ascii="Arial" w:cs="Arial" w:eastAsia="Arial" w:hAnsi="Arial"/>
          <w:sz w:val="16"/>
          <w:szCs w:val="16"/>
          <w:color w:val="auto"/>
        </w:rPr>
        <w:t>Honeywell Forge includes a mix of software products and enabling services across our segments that help companies use operational data to drive insights that improve processes, enhance productivity, support sustainability initiatives, and empower workers.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THE PREMIER SOFTWARE-INDUSTRIAL MULTINATIONAL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30480</wp:posOffset>
            </wp:positionV>
            <wp:extent cx="5717540" cy="2682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175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WELL-DIVERSIFIED PORTFOLIO POSITIONED FOR SUSTAINABLE GROWTH</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Represents 2023 sales. Differences between segment sales figures and the sum of sales figures for the businesses within each segment are due to rounding.</w:t>
      </w:r>
    </w:p>
    <w:p>
      <w:pPr>
        <w:spacing w:after="0" w:line="157"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sz w:val="1"/>
          <w:szCs w:val="1"/>
          <w:color w:val="auto"/>
        </w:rPr>
        <w:drawing>
          <wp:inline distT="0" distB="0" distL="0" distR="0">
            <wp:extent cx="548640" cy="1028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93" w:right="59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3"/>
          <w:szCs w:val="13"/>
          <w:b w:val="1"/>
          <w:bCs w:val="1"/>
          <w:color w:val="6D6E71"/>
        </w:rPr>
        <w:t>HONEYWELL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2023 PERFORMANCE HIGHLIGHTS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SUMMARY</w:t>
      </w:r>
    </w:p>
    <w:p>
      <w:pPr>
        <w:spacing w:after="0" w:line="12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Honeywell again delivered on its financial commitments with growth in sales, segment margin, and adjusted earnings per share. Commercial excellence and disciplined execution of our rigorous operating principles through ongoing macroeconomic challenges enabled us to remain ahead of the inflation curve. As a result, three of our four segments grew sales in 2023, including double-digit organic growth in Aerospace Technologies, and all four segments expanded margins. Significant growth in our high margin Aerospace Technologies business, along with continued commercial excellence and improvement in our fixed cost base, enabled us to exceed the high end of our segment margin guidance for the year. Excluding the impact of settlements signed in the fourth quarter of 2022, we also saw free cash flow margin of 14.5% in 2023.</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STRONG PERFORMANCE ACROSS THE BOARD</w:t>
      </w:r>
    </w:p>
    <w:p>
      <w:pPr>
        <w:spacing w:after="0" w:line="132" w:lineRule="exact"/>
        <w:rPr>
          <w:sz w:val="20"/>
          <w:szCs w:val="20"/>
          <w:color w:val="auto"/>
        </w:rPr>
      </w:pPr>
    </w:p>
    <w:tbl>
      <w:tblPr>
        <w:tblLayout w:type="fixed"/>
        <w:tblInd w:w="1160" w:type="dxa"/>
        <w:tblCellMar>
          <w:top w:w="0" w:type="dxa"/>
          <w:left w:w="0" w:type="dxa"/>
          <w:bottom w:w="0" w:type="dxa"/>
          <w:right w:w="0" w:type="dxa"/>
        </w:tblCellMar>
      </w:tblPr>
      <w:tr>
        <w:trPr>
          <w:trHeight w:val="184"/>
        </w:trPr>
        <w:tc>
          <w:tcPr>
            <w:tcW w:w="1560" w:type="dxa"/>
            <w:vAlign w:val="bottom"/>
          </w:tcPr>
          <w:p>
            <w:pPr>
              <w:spacing w:after="0"/>
              <w:rPr>
                <w:sz w:val="20"/>
                <w:szCs w:val="20"/>
                <w:color w:val="auto"/>
              </w:rPr>
            </w:pPr>
            <w:r>
              <w:rPr>
                <w:rFonts w:ascii="Arial" w:cs="Arial" w:eastAsia="Arial" w:hAnsi="Arial"/>
                <w:sz w:val="16"/>
                <w:szCs w:val="16"/>
                <w:b w:val="1"/>
                <w:bCs w:val="1"/>
                <w:color w:val="6D6E71"/>
              </w:rPr>
              <w:t>SALES ($B)</w:t>
            </w:r>
          </w:p>
        </w:tc>
        <w:tc>
          <w:tcPr>
            <w:tcW w:w="2200" w:type="dxa"/>
            <w:vAlign w:val="bottom"/>
          </w:tcPr>
          <w:p>
            <w:pPr>
              <w:ind w:left="680"/>
              <w:spacing w:after="0"/>
              <w:rPr>
                <w:sz w:val="20"/>
                <w:szCs w:val="20"/>
                <w:color w:val="auto"/>
              </w:rPr>
            </w:pPr>
            <w:r>
              <w:rPr>
                <w:rFonts w:ascii="Arial" w:cs="Arial" w:eastAsia="Arial" w:hAnsi="Arial"/>
                <w:sz w:val="16"/>
                <w:szCs w:val="16"/>
                <w:b w:val="1"/>
                <w:bCs w:val="1"/>
                <w:color w:val="6D6E71"/>
              </w:rPr>
              <w:t>SEGMENT</w:t>
            </w:r>
          </w:p>
        </w:tc>
        <w:tc>
          <w:tcPr>
            <w:tcW w:w="2720" w:type="dxa"/>
            <w:vAlign w:val="bottom"/>
          </w:tcPr>
          <w:p>
            <w:pPr>
              <w:ind w:left="720"/>
              <w:spacing w:after="0"/>
              <w:rPr>
                <w:sz w:val="20"/>
                <w:szCs w:val="20"/>
                <w:color w:val="auto"/>
              </w:rPr>
            </w:pPr>
            <w:r>
              <w:rPr>
                <w:rFonts w:ascii="Arial" w:cs="Arial" w:eastAsia="Arial" w:hAnsi="Arial"/>
                <w:sz w:val="16"/>
                <w:szCs w:val="16"/>
                <w:b w:val="1"/>
                <w:bCs w:val="1"/>
                <w:color w:val="6D6E71"/>
              </w:rPr>
              <w:t>ADJUSTED EARNINGS</w:t>
            </w:r>
          </w:p>
        </w:tc>
        <w:tc>
          <w:tcPr>
            <w:tcW w:w="2100" w:type="dxa"/>
            <w:vAlign w:val="bottom"/>
          </w:tcPr>
          <w:p>
            <w:pPr>
              <w:ind w:left="240"/>
              <w:spacing w:after="0"/>
              <w:rPr>
                <w:sz w:val="20"/>
                <w:szCs w:val="20"/>
                <w:color w:val="auto"/>
              </w:rPr>
            </w:pPr>
            <w:r>
              <w:rPr>
                <w:rFonts w:ascii="Arial" w:cs="Arial" w:eastAsia="Arial" w:hAnsi="Arial"/>
                <w:sz w:val="16"/>
                <w:szCs w:val="16"/>
                <w:b w:val="1"/>
                <w:bCs w:val="1"/>
                <w:color w:val="6D6E71"/>
              </w:rPr>
              <w:t>ADJUSTED FREE CASH</w:t>
            </w:r>
          </w:p>
        </w:tc>
      </w:tr>
      <w:tr>
        <w:trPr>
          <w:trHeight w:val="289"/>
        </w:trPr>
        <w:tc>
          <w:tcPr>
            <w:tcW w:w="1560" w:type="dxa"/>
            <w:vAlign w:val="bottom"/>
          </w:tcPr>
          <w:p>
            <w:pPr>
              <w:spacing w:after="0"/>
              <w:rPr>
                <w:sz w:val="24"/>
                <w:szCs w:val="24"/>
                <w:color w:val="auto"/>
              </w:rPr>
            </w:pPr>
          </w:p>
        </w:tc>
        <w:tc>
          <w:tcPr>
            <w:tcW w:w="2200" w:type="dxa"/>
            <w:vAlign w:val="bottom"/>
          </w:tcPr>
          <w:p>
            <w:pPr>
              <w:ind w:left="680"/>
              <w:spacing w:after="0"/>
              <w:rPr>
                <w:sz w:val="20"/>
                <w:szCs w:val="20"/>
                <w:color w:val="auto"/>
              </w:rPr>
            </w:pPr>
            <w:r>
              <w:rPr>
                <w:rFonts w:ascii="Arial" w:cs="Arial" w:eastAsia="Arial" w:hAnsi="Arial"/>
                <w:sz w:val="16"/>
                <w:szCs w:val="16"/>
                <w:b w:val="1"/>
                <w:bCs w:val="1"/>
                <w:color w:val="6D6E71"/>
              </w:rPr>
              <w:t>MARGIN</w:t>
            </w:r>
          </w:p>
        </w:tc>
        <w:tc>
          <w:tcPr>
            <w:tcW w:w="2720" w:type="dxa"/>
            <w:vAlign w:val="bottom"/>
          </w:tcPr>
          <w:p>
            <w:pPr>
              <w:ind w:left="720"/>
              <w:spacing w:after="0"/>
              <w:rPr>
                <w:sz w:val="20"/>
                <w:szCs w:val="20"/>
                <w:color w:val="auto"/>
              </w:rPr>
            </w:pPr>
            <w:r>
              <w:rPr>
                <w:rFonts w:ascii="Arial" w:cs="Arial" w:eastAsia="Arial" w:hAnsi="Arial"/>
                <w:sz w:val="16"/>
                <w:szCs w:val="16"/>
                <w:b w:val="1"/>
                <w:bCs w:val="1"/>
                <w:color w:val="6D6E71"/>
              </w:rPr>
              <w:t>PER SHARE</w:t>
            </w:r>
            <w:r>
              <w:rPr>
                <w:rFonts w:ascii="Arial" w:cs="Arial" w:eastAsia="Arial" w:hAnsi="Arial"/>
                <w:sz w:val="21"/>
                <w:szCs w:val="21"/>
                <w:b w:val="1"/>
                <w:bCs w:val="1"/>
                <w:color w:val="6D6E71"/>
                <w:vertAlign w:val="superscript"/>
              </w:rPr>
              <w:t>(1)</w:t>
            </w:r>
          </w:p>
        </w:tc>
        <w:tc>
          <w:tcPr>
            <w:tcW w:w="2100" w:type="dxa"/>
            <w:vAlign w:val="bottom"/>
          </w:tcPr>
          <w:p>
            <w:pPr>
              <w:ind w:left="240"/>
              <w:spacing w:after="0"/>
              <w:rPr>
                <w:sz w:val="20"/>
                <w:szCs w:val="20"/>
                <w:color w:val="auto"/>
              </w:rPr>
            </w:pPr>
            <w:r>
              <w:rPr>
                <w:rFonts w:ascii="Arial" w:cs="Arial" w:eastAsia="Arial" w:hAnsi="Arial"/>
                <w:sz w:val="16"/>
                <w:szCs w:val="16"/>
                <w:b w:val="1"/>
                <w:bCs w:val="1"/>
                <w:color w:val="6D6E71"/>
              </w:rPr>
              <w:t>FLOW ($B)</w:t>
            </w:r>
            <w:r>
              <w:rPr>
                <w:rFonts w:ascii="Arial" w:cs="Arial" w:eastAsia="Arial" w:hAnsi="Arial"/>
                <w:sz w:val="21"/>
                <w:szCs w:val="21"/>
                <w:b w:val="1"/>
                <w:bCs w:val="1"/>
                <w:color w:val="6D6E71"/>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22225</wp:posOffset>
            </wp:positionV>
            <wp:extent cx="5503545" cy="1431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0354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0" w:right="180" w:hanging="192"/>
        <w:spacing w:after="0" w:line="230" w:lineRule="auto"/>
        <w:tabs>
          <w:tab w:leader="none" w:pos="20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Adjusted EPS and adjusted EPS V% excludes items identified in the non-GAAP reconciliation of adjusted EPS contained within Appendix A of this Proxy Statement. Reconciliation, notes, and definitions of non-GAAP financial measures used in the Compensation Discussion and Analysis section and elsewhere in this Proxy Statement, other than as part of disclosure of target levels, can be found on page 49 or in Appendix A.</w:t>
      </w:r>
    </w:p>
    <w:p>
      <w:pPr>
        <w:spacing w:after="0" w:line="63" w:lineRule="exact"/>
        <w:rPr>
          <w:rFonts w:ascii="Arial" w:cs="Arial" w:eastAsia="Arial" w:hAnsi="Arial"/>
          <w:sz w:val="16"/>
          <w:szCs w:val="16"/>
          <w:color w:val="auto"/>
          <w:vertAlign w:val="superscript"/>
        </w:rPr>
      </w:pPr>
    </w:p>
    <w:p>
      <w:pPr>
        <w:ind w:left="200" w:right="100" w:hanging="192"/>
        <w:spacing w:after="0" w:line="226" w:lineRule="auto"/>
        <w:tabs>
          <w:tab w:leader="none" w:pos="20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2022 free cash flow includes ~$300M in headwinds due to changes in R&amp;D tax legislation. 2023 free cash flow excludes the after-tax impact of settlements related to the NARCO Buyout, HWI Sale, and UOP Matters.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CUMULATIVE TOTAL SHAREOWNER RETURN</w:t>
      </w:r>
      <w:r>
        <w:rPr>
          <w:rFonts w:ascii="Arial" w:cs="Arial" w:eastAsia="Arial" w:hAnsi="Arial"/>
          <w:sz w:val="28"/>
          <w:szCs w:val="28"/>
          <w:b w:val="1"/>
          <w:bCs w:val="1"/>
          <w:color w:val="D7282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39370</wp:posOffset>
            </wp:positionV>
            <wp:extent cx="7123430" cy="254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343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Cumulative 10-year TSR </w:t>
      </w:r>
      <w:r>
        <w:rPr>
          <w:rFonts w:ascii="Arial" w:cs="Arial" w:eastAsia="Arial" w:hAnsi="Arial"/>
          <w:sz w:val="16"/>
          <w:szCs w:val="16"/>
          <w:b w:val="1"/>
          <w:bCs w:val="1"/>
          <w:color w:val="D7282F"/>
        </w:rPr>
        <w:t>exceeded the Compensation Peer Group</w:t>
      </w:r>
      <w:r>
        <w:rPr>
          <w:rFonts w:ascii="Arial" w:cs="Arial" w:eastAsia="Arial" w:hAnsi="Arial"/>
          <w:sz w:val="16"/>
          <w:szCs w:val="16"/>
          <w:color w:val="auto"/>
        </w:rPr>
        <w:t xml:space="preserve"> median by a multiple of 1.9x</w:t>
      </w:r>
    </w:p>
    <w:p>
      <w:pPr>
        <w:spacing w:after="0" w:line="312" w:lineRule="exact"/>
        <w:rPr>
          <w:sz w:val="20"/>
          <w:szCs w:val="20"/>
          <w:color w:val="auto"/>
        </w:rPr>
      </w:pPr>
    </w:p>
    <w:p>
      <w:pPr>
        <w:ind w:left="200" w:right="420" w:hanging="192"/>
        <w:spacing w:after="0" w:line="226" w:lineRule="auto"/>
        <w:tabs>
          <w:tab w:leader="none" w:pos="200" w:val="left"/>
        </w:tabs>
        <w:numPr>
          <w:ilvl w:val="0"/>
          <w:numId w:val="6"/>
        </w:numPr>
        <w:rPr>
          <w:rFonts w:ascii="Arial" w:cs="Arial" w:eastAsia="Arial" w:hAnsi="Arial"/>
          <w:sz w:val="16"/>
          <w:szCs w:val="16"/>
          <w:color w:val="auto"/>
          <w:vertAlign w:val="superscript"/>
        </w:rPr>
      </w:pPr>
      <w:r>
        <w:rPr>
          <w:rFonts w:ascii="Arial" w:cs="Arial" w:eastAsia="Arial" w:hAnsi="Arial"/>
          <w:sz w:val="13"/>
          <w:szCs w:val="13"/>
          <w:color w:val="auto"/>
        </w:rPr>
        <w:t>Source: S&amp;P Capital IQ, as of December 31, 2023. TSR is calculated by the growth in capital from purchasing a share in the company and assuming dividends (regular and special) and share distributions received from any spins are reinvested in the applicable company at the time they are paid.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59"/>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6D6E71"/>
        </w:rPr>
        <w:t>HONEYWELL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LONG-TERM FINANCIAL GOALS</w:t>
      </w:r>
    </w:p>
    <w:p>
      <w:pPr>
        <w:spacing w:after="0" w:line="12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Our long-term growth framework is the culmination of the work we have done in the past six years to transform our supply chain, digitize our business, and enhance our breakthrough initiatives. These targets are the foundation of our initiatives and transformation going forward.</w:t>
      </w:r>
    </w:p>
    <w:p>
      <w:pPr>
        <w:spacing w:after="0" w:line="33" w:lineRule="exact"/>
        <w:rPr>
          <w:sz w:val="20"/>
          <w:szCs w:val="20"/>
          <w:color w:val="auto"/>
        </w:rPr>
      </w:pPr>
    </w:p>
    <w:p>
      <w:pPr>
        <w:ind w:left="200" w:right="540" w:hanging="192"/>
        <w:spacing w:after="0" w:line="275" w:lineRule="auto"/>
        <w:tabs>
          <w:tab w:leader="none" w:pos="197"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Organic growth of 4%–7%</w:t>
      </w:r>
      <w:r>
        <w:rPr>
          <w:rFonts w:ascii="Arial" w:cs="Arial" w:eastAsia="Arial" w:hAnsi="Arial"/>
          <w:sz w:val="16"/>
          <w:szCs w:val="16"/>
          <w:color w:val="auto"/>
        </w:rPr>
        <w:t>: 2023 organic growth of 4% landed within our target range despite significant headwinds in our warehouse automation</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Growth was supported by strength in our aerospace and long-cycle end markets, new product innovation, and commercial success in Honeywell Connected Enterprise and our high-growth regions.</w:t>
      </w:r>
    </w:p>
    <w:p>
      <w:pPr>
        <w:spacing w:after="0" w:line="29" w:lineRule="exact"/>
        <w:rPr>
          <w:rFonts w:ascii="Arial" w:cs="Arial" w:eastAsia="Arial" w:hAnsi="Arial"/>
          <w:sz w:val="16"/>
          <w:szCs w:val="16"/>
          <w:color w:val="D7282F"/>
        </w:rPr>
      </w:pPr>
    </w:p>
    <w:p>
      <w:pPr>
        <w:ind w:left="200" w:right="460" w:hanging="192"/>
        <w:spacing w:after="0" w:line="266" w:lineRule="auto"/>
        <w:tabs>
          <w:tab w:leader="none" w:pos="197"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Margin expansion of 40 bps–60 bps</w:t>
      </w:r>
      <w:r>
        <w:rPr>
          <w:rFonts w:ascii="Arial" w:cs="Arial" w:eastAsia="Arial" w:hAnsi="Arial"/>
          <w:sz w:val="16"/>
          <w:szCs w:val="16"/>
          <w:color w:val="auto"/>
        </w:rPr>
        <w:t>: 2023 margin expansion of 100 basis points exceeded the high end of our long-term target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productivity actions and commercial excellence in the face of macroeconomic challenges. The actions we took in 2023 will enable us to benefit from volume leverage in future years, eventually supporting our trajectory towards our 25%+ long-term segment margin target.</w:t>
      </w:r>
    </w:p>
    <w:p>
      <w:pPr>
        <w:spacing w:after="0" w:line="36" w:lineRule="exact"/>
        <w:rPr>
          <w:rFonts w:ascii="Arial" w:cs="Arial" w:eastAsia="Arial" w:hAnsi="Arial"/>
          <w:sz w:val="16"/>
          <w:szCs w:val="16"/>
          <w:color w:val="D7282F"/>
        </w:rPr>
      </w:pPr>
    </w:p>
    <w:p>
      <w:pPr>
        <w:ind w:left="200" w:hanging="192"/>
        <w:spacing w:after="0" w:line="265" w:lineRule="auto"/>
        <w:tabs>
          <w:tab w:leader="none" w:pos="197" w:val="left"/>
        </w:tabs>
        <w:numPr>
          <w:ilvl w:val="0"/>
          <w:numId w:val="7"/>
        </w:numPr>
        <w:rPr>
          <w:rFonts w:ascii="Arial" w:cs="Arial" w:eastAsia="Arial" w:hAnsi="Arial"/>
          <w:sz w:val="16"/>
          <w:szCs w:val="16"/>
          <w:b w:val="1"/>
          <w:bCs w:val="1"/>
          <w:color w:val="D7282F"/>
        </w:rPr>
      </w:pPr>
      <w:r>
        <w:rPr>
          <w:rFonts w:ascii="Arial" w:cs="Arial" w:eastAsia="Arial" w:hAnsi="Arial"/>
          <w:sz w:val="16"/>
          <w:szCs w:val="16"/>
          <w:b w:val="1"/>
          <w:bCs w:val="1"/>
          <w:color w:val="auto"/>
        </w:rPr>
        <w:t>Free cash flow margin of mid-teens+</w:t>
      </w:r>
      <w:r>
        <w:rPr>
          <w:rFonts w:ascii="Arial" w:cs="Arial" w:eastAsia="Arial" w:hAnsi="Arial"/>
          <w:sz w:val="16"/>
          <w:szCs w:val="16"/>
          <w:color w:val="auto"/>
        </w:rPr>
        <w:t>: 2023 free cash flow margin was 12%, or 14.5% when excluding the after-tax impact of one-time settlements</w:t>
      </w:r>
      <w:r>
        <w:rPr>
          <w:rFonts w:ascii="Arial" w:cs="Arial" w:eastAsia="Arial" w:hAnsi="Arial"/>
          <w:sz w:val="16"/>
          <w:szCs w:val="16"/>
          <w:b w:val="1"/>
          <w:bCs w:val="1"/>
          <w:color w:val="auto"/>
        </w:rPr>
        <w:t xml:space="preserve"> </w:t>
      </w:r>
      <w:r>
        <w:rPr>
          <w:rFonts w:ascii="Arial" w:cs="Arial" w:eastAsia="Arial" w:hAnsi="Arial"/>
          <w:sz w:val="16"/>
          <w:szCs w:val="16"/>
          <w:color w:val="auto"/>
        </w:rPr>
        <w:t>(signed in the fourth quarter of 2022). Cash flow was impacted by higher-than-normal inventory levels as we continue to address supply chain issues, particularly in Aerospace Technologies. We expect to improve our inventory performance going forward, supporting our cash flow acceleration in the years ahead.</w:t>
      </w:r>
    </w:p>
    <w:p>
      <w:pPr>
        <w:spacing w:after="0" w:line="37" w:lineRule="exact"/>
        <w:rPr>
          <w:rFonts w:ascii="Arial" w:cs="Arial" w:eastAsia="Arial" w:hAnsi="Arial"/>
          <w:sz w:val="16"/>
          <w:szCs w:val="16"/>
          <w:b w:val="1"/>
          <w:bCs w:val="1"/>
          <w:color w:val="D7282F"/>
        </w:rPr>
      </w:pPr>
    </w:p>
    <w:p>
      <w:pPr>
        <w:ind w:left="200" w:right="240" w:hanging="192"/>
        <w:spacing w:after="0" w:line="265" w:lineRule="auto"/>
        <w:tabs>
          <w:tab w:leader="none" w:pos="197" w:val="left"/>
        </w:tabs>
        <w:numPr>
          <w:ilvl w:val="0"/>
          <w:numId w:val="7"/>
        </w:numPr>
        <w:rPr>
          <w:rFonts w:ascii="Arial" w:cs="Arial" w:eastAsia="Arial" w:hAnsi="Arial"/>
          <w:sz w:val="16"/>
          <w:szCs w:val="16"/>
          <w:b w:val="1"/>
          <w:bCs w:val="1"/>
          <w:color w:val="D7282F"/>
        </w:rPr>
      </w:pPr>
      <w:r>
        <w:rPr>
          <w:rFonts w:ascii="Arial" w:cs="Arial" w:eastAsia="Arial" w:hAnsi="Arial"/>
          <w:sz w:val="16"/>
          <w:szCs w:val="16"/>
          <w:b w:val="1"/>
          <w:bCs w:val="1"/>
          <w:color w:val="auto"/>
        </w:rPr>
        <w:t>Capital deployment of at least $25 billion from 2023 to 2025</w:t>
      </w:r>
      <w:r>
        <w:rPr>
          <w:rFonts w:ascii="Arial" w:cs="Arial" w:eastAsia="Arial" w:hAnsi="Arial"/>
          <w:sz w:val="16"/>
          <w:szCs w:val="16"/>
          <w:color w:val="auto"/>
        </w:rPr>
        <w:t>: 2023 capital deployment of $8.3 billion is in line with our minimum target by 2025. The</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announcement of our agreement to acquire Carrier's Global Access Solutions business for nearly $5 billion (expected to close in 2024) points to our commitment to capital deployment. As discussed in the section below, we are committed to deploying capital to capital expenditures, dividends, share repurchases, and bolt-on M&amp;A activity that drive compelling shareowner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161925</wp:posOffset>
            </wp:positionV>
            <wp:extent cx="363474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34740" cy="222885"/>
                    </a:xfrm>
                    <a:prstGeom prst="rect">
                      <a:avLst/>
                    </a:prstGeom>
                    <a:noFill/>
                  </pic:spPr>
                </pic:pic>
              </a:graphicData>
            </a:graphic>
          </wp:anchor>
        </w:drawing>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TOTAL HONEYWELL - LONG TERM FINANCIAL GOALS</w:t>
      </w:r>
    </w:p>
    <w:p>
      <w:pPr>
        <w:spacing w:after="0" w:line="224" w:lineRule="exact"/>
        <w:rPr>
          <w:sz w:val="20"/>
          <w:szCs w:val="20"/>
          <w:color w:val="auto"/>
        </w:rPr>
      </w:pPr>
    </w:p>
    <w:tbl>
      <w:tblPr>
        <w:tblLayout w:type="fixed"/>
        <w:tblInd w:w="2980" w:type="dxa"/>
        <w:tblCellMar>
          <w:top w:w="0" w:type="dxa"/>
          <w:left w:w="0" w:type="dxa"/>
          <w:bottom w:w="0" w:type="dxa"/>
          <w:right w:w="0" w:type="dxa"/>
        </w:tblCellMar>
      </w:tblPr>
      <w:tr>
        <w:trPr>
          <w:trHeight w:val="429"/>
        </w:trPr>
        <w:tc>
          <w:tcPr>
            <w:tcW w:w="2700" w:type="dxa"/>
            <w:vAlign w:val="bottom"/>
          </w:tcPr>
          <w:p>
            <w:pPr>
              <w:jc w:val="center"/>
              <w:ind w:right="90"/>
              <w:spacing w:after="0"/>
              <w:rPr>
                <w:sz w:val="20"/>
                <w:szCs w:val="20"/>
                <w:color w:val="auto"/>
              </w:rPr>
            </w:pPr>
            <w:r>
              <w:rPr>
                <w:rFonts w:ascii="Arial" w:cs="Arial" w:eastAsia="Arial" w:hAnsi="Arial"/>
                <w:sz w:val="36"/>
                <w:szCs w:val="36"/>
                <w:b w:val="1"/>
                <w:bCs w:val="1"/>
                <w:color w:val="D7282F"/>
                <w:w w:val="99"/>
              </w:rPr>
              <w:t>4%–7%</w:t>
            </w:r>
          </w:p>
        </w:tc>
        <w:tc>
          <w:tcPr>
            <w:tcW w:w="2540" w:type="dxa"/>
            <w:vAlign w:val="bottom"/>
          </w:tcPr>
          <w:p>
            <w:pPr>
              <w:jc w:val="center"/>
              <w:ind w:left="130"/>
              <w:spacing w:after="0"/>
              <w:rPr>
                <w:sz w:val="20"/>
                <w:szCs w:val="20"/>
                <w:color w:val="auto"/>
              </w:rPr>
            </w:pPr>
            <w:r>
              <w:rPr>
                <w:rFonts w:ascii="Arial" w:cs="Arial" w:eastAsia="Arial" w:hAnsi="Arial"/>
                <w:sz w:val="36"/>
                <w:szCs w:val="36"/>
                <w:b w:val="1"/>
                <w:bCs w:val="1"/>
                <w:color w:val="D7282F"/>
                <w:w w:val="98"/>
              </w:rPr>
              <w:t>&gt;35%</w:t>
            </w:r>
          </w:p>
        </w:tc>
      </w:tr>
      <w:tr>
        <w:trPr>
          <w:trHeight w:val="215"/>
        </w:trPr>
        <w:tc>
          <w:tcPr>
            <w:tcW w:w="2700" w:type="dxa"/>
            <w:vAlign w:val="bottom"/>
          </w:tcPr>
          <w:p>
            <w:pPr>
              <w:jc w:val="center"/>
              <w:ind w:right="110"/>
              <w:spacing w:after="0"/>
              <w:rPr>
                <w:sz w:val="20"/>
                <w:szCs w:val="20"/>
                <w:color w:val="auto"/>
              </w:rPr>
            </w:pPr>
            <w:r>
              <w:rPr>
                <w:rFonts w:ascii="Arial" w:cs="Arial" w:eastAsia="Arial" w:hAnsi="Arial"/>
                <w:sz w:val="16"/>
                <w:szCs w:val="16"/>
                <w:color w:val="auto"/>
              </w:rPr>
              <w:t>Organic Sales Growth</w:t>
            </w:r>
          </w:p>
        </w:tc>
        <w:tc>
          <w:tcPr>
            <w:tcW w:w="2540" w:type="dxa"/>
            <w:vAlign w:val="bottom"/>
          </w:tcPr>
          <w:p>
            <w:pPr>
              <w:jc w:val="center"/>
              <w:ind w:left="130"/>
              <w:spacing w:after="0"/>
              <w:rPr>
                <w:sz w:val="20"/>
                <w:szCs w:val="20"/>
                <w:color w:val="auto"/>
              </w:rPr>
            </w:pPr>
            <w:r>
              <w:rPr>
                <w:rFonts w:ascii="Arial" w:cs="Arial" w:eastAsia="Arial" w:hAnsi="Arial"/>
                <w:sz w:val="16"/>
                <w:szCs w:val="16"/>
                <w:color w:val="auto"/>
              </w:rPr>
              <w:t>Recurring Revenue</w:t>
            </w:r>
          </w:p>
        </w:tc>
      </w:tr>
      <w:tr>
        <w:trPr>
          <w:trHeight w:val="636"/>
        </w:trPr>
        <w:tc>
          <w:tcPr>
            <w:tcW w:w="2700" w:type="dxa"/>
            <w:vAlign w:val="bottom"/>
          </w:tcPr>
          <w:p>
            <w:pPr>
              <w:jc w:val="right"/>
              <w:ind w:right="870"/>
              <w:spacing w:after="0"/>
              <w:rPr>
                <w:sz w:val="20"/>
                <w:szCs w:val="20"/>
                <w:color w:val="auto"/>
              </w:rPr>
            </w:pPr>
            <w:r>
              <w:rPr>
                <w:rFonts w:ascii="Arial" w:cs="Arial" w:eastAsia="Arial" w:hAnsi="Arial"/>
                <w:sz w:val="36"/>
                <w:szCs w:val="36"/>
                <w:b w:val="1"/>
                <w:bCs w:val="1"/>
                <w:color w:val="D7282F"/>
              </w:rPr>
              <w:t>&gt;40%</w:t>
            </w:r>
          </w:p>
        </w:tc>
        <w:tc>
          <w:tcPr>
            <w:tcW w:w="2540" w:type="dxa"/>
            <w:vAlign w:val="bottom"/>
          </w:tcPr>
          <w:p>
            <w:pPr>
              <w:jc w:val="center"/>
              <w:ind w:left="130"/>
              <w:spacing w:after="0"/>
              <w:rPr>
                <w:sz w:val="20"/>
                <w:szCs w:val="20"/>
                <w:color w:val="auto"/>
              </w:rPr>
            </w:pPr>
            <w:r>
              <w:rPr>
                <w:rFonts w:ascii="Arial" w:cs="Arial" w:eastAsia="Arial" w:hAnsi="Arial"/>
                <w:sz w:val="36"/>
                <w:szCs w:val="36"/>
                <w:b w:val="1"/>
                <w:bCs w:val="1"/>
                <w:color w:val="D7282F"/>
                <w:w w:val="98"/>
              </w:rPr>
              <w:t>&gt;25%</w:t>
            </w:r>
          </w:p>
        </w:tc>
      </w:tr>
      <w:tr>
        <w:trPr>
          <w:trHeight w:val="215"/>
        </w:trPr>
        <w:tc>
          <w:tcPr>
            <w:tcW w:w="2700" w:type="dxa"/>
            <w:vAlign w:val="bottom"/>
          </w:tcPr>
          <w:p>
            <w:pPr>
              <w:jc w:val="center"/>
              <w:ind w:right="110"/>
              <w:spacing w:after="0"/>
              <w:rPr>
                <w:sz w:val="20"/>
                <w:szCs w:val="20"/>
                <w:color w:val="auto"/>
              </w:rPr>
            </w:pPr>
            <w:r>
              <w:rPr>
                <w:rFonts w:ascii="Arial" w:cs="Arial" w:eastAsia="Arial" w:hAnsi="Arial"/>
                <w:sz w:val="16"/>
                <w:szCs w:val="16"/>
                <w:color w:val="auto"/>
              </w:rPr>
              <w:t>Gross Margin</w:t>
            </w:r>
          </w:p>
        </w:tc>
        <w:tc>
          <w:tcPr>
            <w:tcW w:w="2540" w:type="dxa"/>
            <w:vAlign w:val="bottom"/>
          </w:tcPr>
          <w:p>
            <w:pPr>
              <w:jc w:val="center"/>
              <w:ind w:left="110"/>
              <w:spacing w:after="0"/>
              <w:rPr>
                <w:sz w:val="20"/>
                <w:szCs w:val="20"/>
                <w:color w:val="auto"/>
              </w:rPr>
            </w:pPr>
            <w:r>
              <w:rPr>
                <w:rFonts w:ascii="Arial" w:cs="Arial" w:eastAsia="Arial" w:hAnsi="Arial"/>
                <w:sz w:val="16"/>
                <w:szCs w:val="16"/>
                <w:color w:val="auto"/>
              </w:rPr>
              <w:t>Segment Margin</w:t>
            </w:r>
          </w:p>
        </w:tc>
      </w:tr>
      <w:tr>
        <w:trPr>
          <w:trHeight w:val="636"/>
        </w:trPr>
        <w:tc>
          <w:tcPr>
            <w:tcW w:w="2700" w:type="dxa"/>
            <w:vAlign w:val="bottom"/>
          </w:tcPr>
          <w:p>
            <w:pPr>
              <w:jc w:val="center"/>
              <w:ind w:right="90"/>
              <w:spacing w:after="0"/>
              <w:rPr>
                <w:sz w:val="20"/>
                <w:szCs w:val="20"/>
                <w:color w:val="auto"/>
              </w:rPr>
            </w:pPr>
            <w:r>
              <w:rPr>
                <w:rFonts w:ascii="Arial" w:cs="Arial" w:eastAsia="Arial" w:hAnsi="Arial"/>
                <w:sz w:val="36"/>
                <w:szCs w:val="36"/>
                <w:b w:val="1"/>
                <w:bCs w:val="1"/>
                <w:color w:val="D7282F"/>
                <w:w w:val="99"/>
              </w:rPr>
              <w:t>40 bps–60 bps</w:t>
            </w:r>
          </w:p>
        </w:tc>
        <w:tc>
          <w:tcPr>
            <w:tcW w:w="2540" w:type="dxa"/>
            <w:vAlign w:val="bottom"/>
          </w:tcPr>
          <w:p>
            <w:pPr>
              <w:jc w:val="center"/>
              <w:ind w:left="130"/>
              <w:spacing w:after="0"/>
              <w:rPr>
                <w:sz w:val="20"/>
                <w:szCs w:val="20"/>
                <w:color w:val="auto"/>
              </w:rPr>
            </w:pPr>
            <w:r>
              <w:rPr>
                <w:rFonts w:ascii="Arial" w:cs="Arial" w:eastAsia="Arial" w:hAnsi="Arial"/>
                <w:sz w:val="36"/>
                <w:szCs w:val="36"/>
                <w:b w:val="1"/>
                <w:bCs w:val="1"/>
                <w:color w:val="D7282F"/>
                <w:w w:val="99"/>
              </w:rPr>
              <w:t>8%–12%</w:t>
            </w:r>
          </w:p>
        </w:tc>
      </w:tr>
      <w:tr>
        <w:trPr>
          <w:trHeight w:val="215"/>
        </w:trPr>
        <w:tc>
          <w:tcPr>
            <w:tcW w:w="2700" w:type="dxa"/>
            <w:vAlign w:val="bottom"/>
          </w:tcPr>
          <w:p>
            <w:pPr>
              <w:jc w:val="center"/>
              <w:ind w:right="110"/>
              <w:spacing w:after="0"/>
              <w:rPr>
                <w:sz w:val="20"/>
                <w:szCs w:val="20"/>
                <w:color w:val="auto"/>
              </w:rPr>
            </w:pPr>
            <w:r>
              <w:rPr>
                <w:rFonts w:ascii="Arial" w:cs="Arial" w:eastAsia="Arial" w:hAnsi="Arial"/>
                <w:sz w:val="16"/>
                <w:szCs w:val="16"/>
                <w:color w:val="auto"/>
              </w:rPr>
              <w:t>Segment Margin Expansion</w:t>
            </w:r>
          </w:p>
        </w:tc>
        <w:tc>
          <w:tcPr>
            <w:tcW w:w="2540" w:type="dxa"/>
            <w:vAlign w:val="bottom"/>
          </w:tcPr>
          <w:p>
            <w:pPr>
              <w:jc w:val="center"/>
              <w:ind w:left="110"/>
              <w:spacing w:after="0"/>
              <w:rPr>
                <w:sz w:val="20"/>
                <w:szCs w:val="20"/>
                <w:color w:val="auto"/>
              </w:rPr>
            </w:pPr>
            <w:r>
              <w:rPr>
                <w:rFonts w:ascii="Arial" w:cs="Arial" w:eastAsia="Arial" w:hAnsi="Arial"/>
                <w:sz w:val="16"/>
                <w:szCs w:val="16"/>
                <w:color w:val="auto"/>
              </w:rPr>
              <w:t>Adj. Earnings Per Share Growth</w:t>
            </w:r>
          </w:p>
        </w:tc>
      </w:tr>
      <w:tr>
        <w:trPr>
          <w:trHeight w:val="636"/>
        </w:trPr>
        <w:tc>
          <w:tcPr>
            <w:tcW w:w="2700" w:type="dxa"/>
            <w:vAlign w:val="bottom"/>
          </w:tcPr>
          <w:p>
            <w:pPr>
              <w:jc w:val="center"/>
              <w:ind w:right="90"/>
              <w:spacing w:after="0"/>
              <w:rPr>
                <w:sz w:val="20"/>
                <w:szCs w:val="20"/>
                <w:color w:val="auto"/>
              </w:rPr>
            </w:pPr>
            <w:r>
              <w:rPr>
                <w:rFonts w:ascii="Arial" w:cs="Arial" w:eastAsia="Arial" w:hAnsi="Arial"/>
                <w:sz w:val="36"/>
                <w:szCs w:val="36"/>
                <w:b w:val="1"/>
                <w:bCs w:val="1"/>
                <w:color w:val="D7282F"/>
                <w:w w:val="98"/>
              </w:rPr>
              <w:t>Mid-Teens+</w:t>
            </w:r>
          </w:p>
        </w:tc>
        <w:tc>
          <w:tcPr>
            <w:tcW w:w="2540" w:type="dxa"/>
            <w:vAlign w:val="bottom"/>
          </w:tcPr>
          <w:p>
            <w:pPr>
              <w:jc w:val="center"/>
              <w:ind w:left="130"/>
              <w:spacing w:after="0"/>
              <w:rPr>
                <w:sz w:val="20"/>
                <w:szCs w:val="20"/>
                <w:color w:val="auto"/>
              </w:rPr>
            </w:pPr>
            <w:r>
              <w:rPr>
                <w:rFonts w:ascii="Arial" w:cs="Arial" w:eastAsia="Arial" w:hAnsi="Arial"/>
                <w:sz w:val="36"/>
                <w:szCs w:val="36"/>
                <w:b w:val="1"/>
                <w:bCs w:val="1"/>
                <w:color w:val="D7282F"/>
              </w:rPr>
              <w:t>$25B+</w:t>
            </w:r>
          </w:p>
        </w:tc>
      </w:tr>
      <w:tr>
        <w:trPr>
          <w:trHeight w:val="215"/>
        </w:trPr>
        <w:tc>
          <w:tcPr>
            <w:tcW w:w="2700" w:type="dxa"/>
            <w:vAlign w:val="bottom"/>
          </w:tcPr>
          <w:p>
            <w:pPr>
              <w:jc w:val="center"/>
              <w:ind w:right="90"/>
              <w:spacing w:after="0"/>
              <w:rPr>
                <w:sz w:val="20"/>
                <w:szCs w:val="20"/>
                <w:color w:val="auto"/>
              </w:rPr>
            </w:pPr>
            <w:r>
              <w:rPr>
                <w:rFonts w:ascii="Arial" w:cs="Arial" w:eastAsia="Arial" w:hAnsi="Arial"/>
                <w:sz w:val="16"/>
                <w:szCs w:val="16"/>
                <w:color w:val="auto"/>
              </w:rPr>
              <w:t>Free Cash Flow Margin</w:t>
            </w:r>
          </w:p>
        </w:tc>
        <w:tc>
          <w:tcPr>
            <w:tcW w:w="2540" w:type="dxa"/>
            <w:vAlign w:val="bottom"/>
          </w:tcPr>
          <w:p>
            <w:pPr>
              <w:jc w:val="center"/>
              <w:ind w:left="110"/>
              <w:spacing w:after="0"/>
              <w:rPr>
                <w:sz w:val="20"/>
                <w:szCs w:val="20"/>
                <w:color w:val="auto"/>
              </w:rPr>
            </w:pPr>
            <w:r>
              <w:rPr>
                <w:rFonts w:ascii="Arial" w:cs="Arial" w:eastAsia="Arial" w:hAnsi="Arial"/>
                <w:sz w:val="16"/>
                <w:szCs w:val="16"/>
                <w:color w:val="auto"/>
              </w:rPr>
              <w:t>2023–2025 Capital Deployment</w:t>
            </w:r>
          </w:p>
        </w:tc>
      </w:tr>
    </w:tbl>
    <w:p>
      <w:pPr>
        <w:spacing w:after="0" w:line="340"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sz w:val="1"/>
          <w:szCs w:val="1"/>
          <w:color w:val="auto"/>
        </w:rPr>
        <w:drawing>
          <wp:inline distT="0" distB="0" distL="0" distR="0">
            <wp:extent cx="548640" cy="1028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3"/>
          <w:szCs w:val="13"/>
          <w:b w:val="1"/>
          <w:bCs w:val="1"/>
          <w:color w:val="6D6E71"/>
        </w:rPr>
        <w:t>HONEYWELL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ACCELERATING ORGANIC GROWTH</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When Vimal Kapur took over as CEO in 2023, two of his key priorities included simplifying the portfolio and enhancing organic growth. Honeywell is aligned to three megatrends — automation, the future of aviation, and the energy transition — that have compelling, long-term growth opportunities. By realigning our portfolio to these trends, we are able to invest more efficiently and accelerate our growth potential. We have already seen some results of this new focus:</w:t>
      </w:r>
    </w:p>
    <w:p>
      <w:pPr>
        <w:spacing w:after="0" w:line="70" w:lineRule="exact"/>
        <w:rPr>
          <w:sz w:val="20"/>
          <w:szCs w:val="20"/>
          <w:color w:val="auto"/>
        </w:rPr>
      </w:pPr>
    </w:p>
    <w:p>
      <w:pPr>
        <w:ind w:left="200" w:right="200" w:hanging="192"/>
        <w:spacing w:after="0" w:line="286" w:lineRule="auto"/>
        <w:tabs>
          <w:tab w:leader="none" w:pos="197" w:val="left"/>
        </w:tabs>
        <w:numPr>
          <w:ilvl w:val="0"/>
          <w:numId w:val="8"/>
        </w:numPr>
        <w:rPr>
          <w:rFonts w:ascii="Arial" w:cs="Arial" w:eastAsia="Arial" w:hAnsi="Arial"/>
          <w:sz w:val="16"/>
          <w:szCs w:val="16"/>
          <w:color w:val="D7282F"/>
        </w:rPr>
      </w:pPr>
      <w:r>
        <w:rPr>
          <w:rFonts w:ascii="Arial" w:cs="Arial" w:eastAsia="Arial" w:hAnsi="Arial"/>
          <w:sz w:val="16"/>
          <w:szCs w:val="16"/>
          <w:color w:val="auto"/>
        </w:rPr>
        <w:t>Sales for 2023 were within our organic growth target range of 4%–7% despite macroeconomic headwinds in our short cycle and warehouse automation businesses.</w:t>
      </w:r>
    </w:p>
    <w:p>
      <w:pPr>
        <w:spacing w:after="0" w:line="20" w:lineRule="exact"/>
        <w:rPr>
          <w:rFonts w:ascii="Arial" w:cs="Arial" w:eastAsia="Arial" w:hAnsi="Arial"/>
          <w:sz w:val="16"/>
          <w:szCs w:val="16"/>
          <w:color w:val="D7282F"/>
        </w:rPr>
      </w:pPr>
    </w:p>
    <w:p>
      <w:pPr>
        <w:ind w:left="200" w:right="140" w:hanging="192"/>
        <w:spacing w:after="0" w:line="286" w:lineRule="auto"/>
        <w:tabs>
          <w:tab w:leader="none" w:pos="197" w:val="left"/>
        </w:tabs>
        <w:numPr>
          <w:ilvl w:val="0"/>
          <w:numId w:val="8"/>
        </w:numPr>
        <w:rPr>
          <w:rFonts w:ascii="Arial" w:cs="Arial" w:eastAsia="Arial" w:hAnsi="Arial"/>
          <w:sz w:val="16"/>
          <w:szCs w:val="16"/>
          <w:b w:val="1"/>
          <w:bCs w:val="1"/>
          <w:color w:val="D7282F"/>
        </w:rPr>
      </w:pPr>
      <w:r>
        <w:rPr>
          <w:rFonts w:ascii="Arial" w:cs="Arial" w:eastAsia="Arial" w:hAnsi="Arial"/>
          <w:sz w:val="16"/>
          <w:szCs w:val="16"/>
          <w:color w:val="auto"/>
        </w:rPr>
        <w:t>We continued to grow our new product offerings across a broad range of markets. Our new product vitality approached 30% of total sales for the year as we incubate these new technologies.</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
        </w:numPr>
        <w:rPr>
          <w:rFonts w:ascii="Arial" w:cs="Arial" w:eastAsia="Arial" w:hAnsi="Arial"/>
          <w:sz w:val="16"/>
          <w:szCs w:val="16"/>
          <w:b w:val="1"/>
          <w:bCs w:val="1"/>
          <w:color w:val="D7282F"/>
        </w:rPr>
      </w:pPr>
      <w:r>
        <w:rPr>
          <w:rFonts w:ascii="Arial" w:cs="Arial" w:eastAsia="Arial" w:hAnsi="Arial"/>
          <w:sz w:val="16"/>
          <w:szCs w:val="16"/>
          <w:color w:val="auto"/>
        </w:rPr>
        <w:t>Our high growth regions continue to represent substantial opportunities for growth as our pipeline remains robust.</w:t>
      </w:r>
    </w:p>
    <w:p>
      <w:pPr>
        <w:spacing w:after="0" w:line="86" w:lineRule="exact"/>
        <w:rPr>
          <w:rFonts w:ascii="Arial" w:cs="Arial" w:eastAsia="Arial" w:hAnsi="Arial"/>
          <w:sz w:val="16"/>
          <w:szCs w:val="16"/>
          <w:b w:val="1"/>
          <w:bCs w:val="1"/>
          <w:color w:val="D7282F"/>
        </w:rPr>
      </w:pPr>
    </w:p>
    <w:p>
      <w:pPr>
        <w:ind w:left="200" w:right="100" w:hanging="192"/>
        <w:spacing w:after="0" w:line="286" w:lineRule="auto"/>
        <w:tabs>
          <w:tab w:leader="none" w:pos="197" w:val="left"/>
        </w:tabs>
        <w:numPr>
          <w:ilvl w:val="0"/>
          <w:numId w:val="8"/>
        </w:numPr>
        <w:rPr>
          <w:rFonts w:ascii="Arial" w:cs="Arial" w:eastAsia="Arial" w:hAnsi="Arial"/>
          <w:sz w:val="16"/>
          <w:szCs w:val="16"/>
          <w:b w:val="1"/>
          <w:bCs w:val="1"/>
          <w:color w:val="D7282F"/>
        </w:rPr>
      </w:pPr>
      <w:r>
        <w:rPr>
          <w:rFonts w:ascii="Arial" w:cs="Arial" w:eastAsia="Arial" w:hAnsi="Arial"/>
          <w:sz w:val="16"/>
          <w:szCs w:val="16"/>
          <w:color w:val="auto"/>
        </w:rPr>
        <w:t>We continue to grow Honeywell Connected Enterprise with new offerings enabled by the Honeywell Forge IoT platform. Honeywell Connected Enterprise offerings across our portfolio saw double-digit growth in 2023, and we expect this growth trend in our software portfolio to continue.</w:t>
      </w:r>
    </w:p>
    <w:p>
      <w:pPr>
        <w:spacing w:after="0" w:line="20" w:lineRule="exact"/>
        <w:rPr>
          <w:rFonts w:ascii="Arial" w:cs="Arial" w:eastAsia="Arial" w:hAnsi="Arial"/>
          <w:sz w:val="16"/>
          <w:szCs w:val="16"/>
          <w:b w:val="1"/>
          <w:bCs w:val="1"/>
          <w:color w:val="D7282F"/>
        </w:rPr>
      </w:pPr>
    </w:p>
    <w:p>
      <w:pPr>
        <w:ind w:left="200" w:right="600" w:hanging="192"/>
        <w:spacing w:after="0" w:line="286" w:lineRule="auto"/>
        <w:tabs>
          <w:tab w:leader="none" w:pos="197" w:val="left"/>
        </w:tabs>
        <w:numPr>
          <w:ilvl w:val="0"/>
          <w:numId w:val="8"/>
        </w:numPr>
        <w:rPr>
          <w:rFonts w:ascii="Arial" w:cs="Arial" w:eastAsia="Arial" w:hAnsi="Arial"/>
          <w:sz w:val="16"/>
          <w:szCs w:val="16"/>
          <w:color w:val="D7282F"/>
        </w:rPr>
      </w:pPr>
      <w:r>
        <w:rPr>
          <w:rFonts w:ascii="Arial" w:cs="Arial" w:eastAsia="Arial" w:hAnsi="Arial"/>
          <w:sz w:val="16"/>
          <w:szCs w:val="16"/>
          <w:color w:val="auto"/>
        </w:rPr>
        <w:t>Sustainability continues to be an area where we are well-positioned to grow — investing in solutions ranging from energy efficiency, to sustainable aviation fuel (SAF), to carbon capture and storage, to plastics circularity, and many others.</w:t>
      </w:r>
    </w:p>
    <w:p>
      <w:pPr>
        <w:spacing w:after="0" w:line="20" w:lineRule="exact"/>
        <w:rPr>
          <w:rFonts w:ascii="Arial" w:cs="Arial" w:eastAsia="Arial" w:hAnsi="Arial"/>
          <w:sz w:val="16"/>
          <w:szCs w:val="16"/>
          <w:color w:val="D7282F"/>
        </w:rPr>
      </w:pPr>
    </w:p>
    <w:p>
      <w:pPr>
        <w:ind w:left="200" w:right="640" w:hanging="192"/>
        <w:spacing w:after="0" w:line="286" w:lineRule="auto"/>
        <w:tabs>
          <w:tab w:leader="none" w:pos="197" w:val="left"/>
        </w:tabs>
        <w:numPr>
          <w:ilvl w:val="0"/>
          <w:numId w:val="8"/>
        </w:numPr>
        <w:rPr>
          <w:rFonts w:ascii="Arial" w:cs="Arial" w:eastAsia="Arial" w:hAnsi="Arial"/>
          <w:sz w:val="16"/>
          <w:szCs w:val="16"/>
          <w:b w:val="1"/>
          <w:bCs w:val="1"/>
          <w:color w:val="D7282F"/>
        </w:rPr>
      </w:pPr>
      <w:r>
        <w:rPr>
          <w:rFonts w:ascii="Arial" w:cs="Arial" w:eastAsia="Arial" w:hAnsi="Arial"/>
          <w:sz w:val="16"/>
          <w:szCs w:val="16"/>
          <w:color w:val="auto"/>
        </w:rPr>
        <w:t>Artificial Intelligence represents an exciting growth opportunity. We are providing offerings with AI capability specifically to enable autonomy in our customer base.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HONEYWELL ACCELERATOR — OUR OPERATING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99060</wp:posOffset>
            </wp:positionV>
            <wp:extent cx="3617595" cy="2700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759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Since 2021, we have been revitalizing our best-in-class operating system to further enhance the way we operate the business day-to-day. Honeywell Accelerator's tools and capabilities were designed to provide a centralized source of best practices and training materials, optimizing our performance, and accelerating our transformation into a software-industrial company. In 2022, we expanded Accelerator with the implementation of Global Design Models (GDMs), helping facilitate knowledge transfer through the businesses to ensure that we utilize best practices.</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2023, Honeywell introduced Accelerator 3.0, an opportunity to expand on our operating system and GDMs. The next phase of Accelerator includes standardizing our entire end-to-end processes across our four main business models: products, projects, aftermarket services, and software. As we implement these standardized processes across the organization, we will see benefits by deploying best practices more consistently across the portfolio. During 2023, we began with the projects GDM, and we are already seeing positive results. As we move into 2024 and beyond, we will continue implementing GDMs across the other business models, extracting benefits in the form of growth, margin expansion, and cash generation, as we create the capabilities our teams need to differentiate and win in the marketplace.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6D6E71"/>
        </w:rPr>
        <w:t>HONEYWELL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OPTIMIZATION AND STRATEGIC CAPITAL DEPLOYMENT</w:t>
      </w:r>
    </w:p>
    <w:p>
      <w:pPr>
        <w:spacing w:after="0" w:line="128"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Capital deployment remains a top priority, as evidenced by our commitment from our 2023 investor day to deploy over $25 billion in capital from 2023 to 2025. In line with our target, in 2023, we deployed a total of $8.3 billion to share repurchases, dividends, capital expenditures, and M&amp;A. Additionally, we continue to invest 4% to 5% of sales on research and development. These strategic, high-return investments will continue to benefit shareowners over the long term. We maintained a balanced capital deployment strategy consisting of the following actions:</w:t>
      </w:r>
    </w:p>
    <w:p>
      <w:pPr>
        <w:spacing w:after="0" w:line="60" w:lineRule="exact"/>
        <w:rPr>
          <w:sz w:val="20"/>
          <w:szCs w:val="20"/>
          <w:color w:val="auto"/>
        </w:rPr>
      </w:pPr>
    </w:p>
    <w:p>
      <w:pPr>
        <w:ind w:left="200" w:right="160" w:hanging="192"/>
        <w:spacing w:after="0" w:line="275" w:lineRule="auto"/>
        <w:tabs>
          <w:tab w:leader="none" w:pos="197"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Announced in October 2023 that we are realigning our organization to three powerful megatrends: automation, the future of aviation, and the energy transition, all underpinned by digitalization. Our portfolio is well leveraged to these megatrends, and we are confident that this realignment will enable us to better capitalize on these trends and achieve our long-term growth targets.</w:t>
      </w:r>
    </w:p>
    <w:p>
      <w:pPr>
        <w:spacing w:after="0" w:line="15" w:lineRule="exact"/>
        <w:rPr>
          <w:rFonts w:ascii="Arial" w:cs="Arial" w:eastAsia="Arial" w:hAnsi="Arial"/>
          <w:sz w:val="16"/>
          <w:szCs w:val="16"/>
          <w:b w:val="1"/>
          <w:bCs w:val="1"/>
          <w:color w:val="D7282F"/>
        </w:rPr>
      </w:pPr>
    </w:p>
    <w:p>
      <w:pPr>
        <w:ind w:left="200" w:hanging="192"/>
        <w:spacing w:after="0"/>
        <w:tabs>
          <w:tab w:leader="none" w:pos="2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Deployed approximately $1 billion to high-return capital expenditures.</w:t>
      </w:r>
    </w:p>
    <w:p>
      <w:pPr>
        <w:spacing w:after="0" w:line="86" w:lineRule="exact"/>
        <w:rPr>
          <w:rFonts w:ascii="Arial" w:cs="Arial" w:eastAsia="Arial" w:hAnsi="Arial"/>
          <w:sz w:val="16"/>
          <w:szCs w:val="16"/>
          <w:b w:val="1"/>
          <w:bCs w:val="1"/>
          <w:color w:val="D7282F"/>
        </w:rPr>
      </w:pPr>
    </w:p>
    <w:p>
      <w:pPr>
        <w:ind w:left="200" w:right="100" w:hanging="192"/>
        <w:spacing w:after="0" w:line="265" w:lineRule="auto"/>
        <w:tabs>
          <w:tab w:leader="none" w:pos="197"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Closed the acquisitions of Compressor Controls Corporation (CCC) and SCADAfence. CCC strengthens our process solutions portfolio with the addition of turbomachinery control and optimization expertise already recognized in liquified natural gas, gas processing, refining, and petrochemical segments, while SCADAfence complements Honeywell's existing operational technology (OT) cybersecurity business by providing best-in-class network monitoring, asset discovery, threat detection, and security governance.</w:t>
      </w:r>
    </w:p>
    <w:p>
      <w:pPr>
        <w:spacing w:after="0" w:line="37" w:lineRule="exact"/>
        <w:rPr>
          <w:rFonts w:ascii="Arial" w:cs="Arial" w:eastAsia="Arial" w:hAnsi="Arial"/>
          <w:sz w:val="16"/>
          <w:szCs w:val="16"/>
          <w:b w:val="1"/>
          <w:bCs w:val="1"/>
          <w:color w:val="D7282F"/>
        </w:rPr>
      </w:pPr>
    </w:p>
    <w:p>
      <w:pPr>
        <w:ind w:left="200" w:right="40" w:hanging="192"/>
        <w:spacing w:after="0" w:line="275" w:lineRule="auto"/>
        <w:tabs>
          <w:tab w:leader="none" w:pos="197"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Announced the agreement to acquire Carrier's Access Solutions business, which is expected to close in 2024. The security solutions portfolio is a software-led business that further enhances our portfolio realignment to the automation megatrend. It will be immediately accretive to Honeywell's growth, margins, and cash performance in the first full year of ownership.</w:t>
      </w:r>
    </w:p>
    <w:p>
      <w:pPr>
        <w:spacing w:after="0" w:line="29" w:lineRule="exact"/>
        <w:rPr>
          <w:rFonts w:ascii="Arial" w:cs="Arial" w:eastAsia="Arial" w:hAnsi="Arial"/>
          <w:sz w:val="16"/>
          <w:szCs w:val="16"/>
          <w:b w:val="1"/>
          <w:bCs w:val="1"/>
          <w:color w:val="D7282F"/>
        </w:rPr>
      </w:pPr>
    </w:p>
    <w:p>
      <w:pPr>
        <w:ind w:left="200" w:hanging="192"/>
        <w:spacing w:after="0"/>
        <w:tabs>
          <w:tab w:leader="none" w:pos="2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Raised our dividend for the 14th time over 13 consecutive years.</w:t>
      </w:r>
    </w:p>
    <w:p>
      <w:pPr>
        <w:spacing w:after="0" w:line="72" w:lineRule="exact"/>
        <w:rPr>
          <w:rFonts w:ascii="Arial" w:cs="Arial" w:eastAsia="Arial" w:hAnsi="Arial"/>
          <w:sz w:val="16"/>
          <w:szCs w:val="16"/>
          <w:b w:val="1"/>
          <w:bCs w:val="1"/>
          <w:color w:val="D7282F"/>
        </w:rPr>
      </w:pPr>
    </w:p>
    <w:p>
      <w:pPr>
        <w:ind w:left="200" w:right="380" w:hanging="192"/>
        <w:spacing w:after="0" w:line="299" w:lineRule="auto"/>
        <w:tabs>
          <w:tab w:leader="none" w:pos="197"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Repurchased $3.7 billion in Honeywell shares, reducing the weighted average share count by 2.2%. This was our sixth consecutive year of deploying more than $6.0 billion of cash back to shareowners in the form of dividends and share repurchases.</w:t>
      </w:r>
    </w:p>
    <w:p>
      <w:pPr>
        <w:ind w:left="200" w:hanging="192"/>
        <w:spacing w:after="0"/>
        <w:tabs>
          <w:tab w:leader="none" w:pos="200" w:val="left"/>
        </w:tabs>
        <w:numPr>
          <w:ilvl w:val="0"/>
          <w:numId w:val="9"/>
        </w:numPr>
        <w:rPr>
          <w:rFonts w:ascii="Arial" w:cs="Arial" w:eastAsia="Arial" w:hAnsi="Arial"/>
          <w:sz w:val="16"/>
          <w:szCs w:val="16"/>
          <w:b w:val="1"/>
          <w:bCs w:val="1"/>
          <w:color w:val="D7282F"/>
        </w:rPr>
      </w:pPr>
      <w:r>
        <w:rPr>
          <w:rFonts w:ascii="Arial" w:cs="Arial" w:eastAsia="Arial" w:hAnsi="Arial"/>
          <w:sz w:val="16"/>
          <w:szCs w:val="16"/>
          <w:color w:val="auto"/>
        </w:rPr>
        <w:t>Issued $3 billion of debt at attractive long-term interest rates to further strengthen our already strong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192405</wp:posOffset>
            </wp:positionV>
            <wp:extent cx="17145" cy="360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 cy="360045"/>
                    </a:xfrm>
                    <a:prstGeom prst="rect">
                      <a:avLst/>
                    </a:prstGeom>
                    <a:noFill/>
                  </pic:spPr>
                </pic:pic>
              </a:graphicData>
            </a:graphic>
          </wp:anchor>
        </w:drawing>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348"/>
        </w:trPr>
        <w:tc>
          <w:tcPr>
            <w:tcW w:w="880" w:type="dxa"/>
            <w:vAlign w:val="bottom"/>
          </w:tcPr>
          <w:p>
            <w:pPr>
              <w:jc w:val="right"/>
              <w:ind w:right="194"/>
              <w:spacing w:after="0"/>
              <w:rPr>
                <w:sz w:val="20"/>
                <w:szCs w:val="20"/>
                <w:color w:val="auto"/>
              </w:rPr>
            </w:pPr>
            <w:r>
              <w:rPr>
                <w:rFonts w:ascii="Arial" w:cs="Arial" w:eastAsia="Arial" w:hAnsi="Arial"/>
                <w:sz w:val="25"/>
                <w:szCs w:val="25"/>
                <w:b w:val="1"/>
                <w:bCs w:val="1"/>
                <w:color w:val="auto"/>
                <w:w w:val="97"/>
              </w:rPr>
              <w:t>2023</w:t>
            </w:r>
          </w:p>
        </w:tc>
        <w:tc>
          <w:tcPr>
            <w:tcW w:w="2400" w:type="dxa"/>
            <w:vAlign w:val="bottom"/>
            <w:vMerge w:val="restart"/>
          </w:tcPr>
          <w:p>
            <w:pPr>
              <w:ind w:left="300"/>
              <w:spacing w:after="0"/>
              <w:rPr>
                <w:sz w:val="20"/>
                <w:szCs w:val="20"/>
                <w:color w:val="auto"/>
              </w:rPr>
            </w:pPr>
            <w:r>
              <w:rPr>
                <w:rFonts w:ascii="Arial" w:cs="Arial" w:eastAsia="Arial" w:hAnsi="Arial"/>
                <w:sz w:val="25"/>
                <w:szCs w:val="25"/>
                <w:b w:val="1"/>
                <w:bCs w:val="1"/>
                <w:color w:val="D7282F"/>
              </w:rPr>
              <w:t>YEAR IN REVIEW</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2023, Honeywell continued to navigate a challenging external environment, including significant moves in interest rates, geopolitical tensions, global currencies, and supply chain constraints. Nonetheless, we delivered impactful, long-term shareowner value through operational excellence and strategic capital deployment in the form of dividends, share repurchases, and bolt-on acquisitions aimed at optimizing our portfolio. We further built out our world-class Board and management team, navigated a successful CEO transition, invested capital in the innovations and sustainable solutions that will drive growth in the coming decades, and continued to adapt to meet the needs of our customers, employees, shareowners, environment, and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203835</wp:posOffset>
            </wp:positionV>
            <wp:extent cx="5717540" cy="1808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75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460" w:val="left"/>
          <w:tab w:leader="none" w:pos="184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sz w:val="1"/>
          <w:szCs w:val="1"/>
          <w:color w:val="auto"/>
        </w:rPr>
        <w:drawing>
          <wp:inline distT="0" distB="0" distL="0" distR="0">
            <wp:extent cx="548640" cy="10287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3"/>
          <w:szCs w:val="13"/>
          <w:b w:val="1"/>
          <w:bCs w:val="1"/>
          <w:color w:val="6D6E71"/>
        </w:rPr>
        <w:t>HONEYWELL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234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323"/>
        </w:trPr>
        <w:tc>
          <w:tcPr>
            <w:tcW w:w="3680" w:type="dxa"/>
            <w:vAlign w:val="bottom"/>
            <w:tcBorders>
              <w:right w:val="single" w:sz="8" w:color="EA0029"/>
            </w:tcBorders>
            <w:gridSpan w:val="2"/>
          </w:tcPr>
          <w:p>
            <w:pPr>
              <w:ind w:left="1220"/>
              <w:spacing w:after="0"/>
              <w:rPr>
                <w:sz w:val="20"/>
                <w:szCs w:val="20"/>
                <w:color w:val="auto"/>
              </w:rPr>
            </w:pPr>
            <w:r>
              <w:rPr>
                <w:rFonts w:ascii="Arial" w:cs="Arial" w:eastAsia="Arial" w:hAnsi="Arial"/>
                <w:sz w:val="16"/>
                <w:szCs w:val="16"/>
                <w:color w:val="auto"/>
              </w:rPr>
              <w:t>Our people, our communities,</w:t>
            </w:r>
          </w:p>
        </w:tc>
        <w:tc>
          <w:tcPr>
            <w:tcW w:w="1400" w:type="dxa"/>
            <w:vAlign w:val="bottom"/>
          </w:tcPr>
          <w:p>
            <w:pPr>
              <w:spacing w:after="0"/>
              <w:rPr>
                <w:sz w:val="24"/>
                <w:szCs w:val="24"/>
                <w:color w:val="auto"/>
              </w:rPr>
            </w:pPr>
          </w:p>
        </w:tc>
        <w:tc>
          <w:tcPr>
            <w:tcW w:w="2460" w:type="dxa"/>
            <w:vAlign w:val="bottom"/>
            <w:tcBorders>
              <w:right w:val="single" w:sz="8" w:color="EA0029"/>
            </w:tcBorders>
          </w:tcPr>
          <w:p>
            <w:pPr>
              <w:ind w:left="60"/>
              <w:spacing w:after="0"/>
              <w:rPr>
                <w:sz w:val="20"/>
                <w:szCs w:val="20"/>
                <w:color w:val="auto"/>
              </w:rPr>
            </w:pPr>
            <w:r>
              <w:rPr>
                <w:rFonts w:ascii="Arial" w:cs="Arial" w:eastAsia="Arial" w:hAnsi="Arial"/>
                <w:sz w:val="16"/>
                <w:szCs w:val="16"/>
                <w:color w:val="auto"/>
              </w:rPr>
              <w:t>Sustainable growth and</w:t>
            </w:r>
          </w:p>
        </w:tc>
        <w:tc>
          <w:tcPr>
            <w:tcW w:w="200" w:type="dxa"/>
            <w:vAlign w:val="bottom"/>
          </w:tcPr>
          <w:p>
            <w:pPr>
              <w:spacing w:after="0"/>
              <w:rPr>
                <w:sz w:val="24"/>
                <w:szCs w:val="24"/>
                <w:color w:val="auto"/>
              </w:rPr>
            </w:pPr>
          </w:p>
        </w:tc>
        <w:tc>
          <w:tcPr>
            <w:tcW w:w="3480" w:type="dxa"/>
            <w:vAlign w:val="bottom"/>
          </w:tcPr>
          <w:p>
            <w:pPr>
              <w:ind w:left="1320"/>
              <w:spacing w:after="0"/>
              <w:rPr>
                <w:sz w:val="20"/>
                <w:szCs w:val="20"/>
                <w:color w:val="auto"/>
              </w:rPr>
            </w:pPr>
            <w:r>
              <w:rPr>
                <w:rFonts w:ascii="Arial" w:cs="Arial" w:eastAsia="Arial" w:hAnsi="Arial"/>
                <w:sz w:val="16"/>
                <w:szCs w:val="16"/>
                <w:color w:val="auto"/>
              </w:rPr>
              <w:t>Technologies that expand the</w:t>
            </w:r>
          </w:p>
        </w:tc>
        <w:tc>
          <w:tcPr>
            <w:tcW w:w="0" w:type="dxa"/>
            <w:vAlign w:val="bottom"/>
          </w:tcPr>
          <w:p>
            <w:pPr>
              <w:spacing w:after="0"/>
              <w:rPr>
                <w:sz w:val="1"/>
                <w:szCs w:val="1"/>
                <w:color w:val="auto"/>
              </w:rPr>
            </w:pPr>
          </w:p>
        </w:tc>
      </w:tr>
      <w:tr>
        <w:trPr>
          <w:trHeight w:val="189"/>
        </w:trPr>
        <w:tc>
          <w:tcPr>
            <w:tcW w:w="3680" w:type="dxa"/>
            <w:vAlign w:val="bottom"/>
            <w:tcBorders>
              <w:right w:val="single" w:sz="8" w:color="EA0029"/>
            </w:tcBorders>
            <w:gridSpan w:val="2"/>
          </w:tcPr>
          <w:p>
            <w:pPr>
              <w:ind w:left="1220"/>
              <w:spacing w:after="0"/>
              <w:rPr>
                <w:sz w:val="20"/>
                <w:szCs w:val="20"/>
                <w:color w:val="auto"/>
              </w:rPr>
            </w:pPr>
            <w:r>
              <w:rPr>
                <w:rFonts w:ascii="Arial" w:cs="Arial" w:eastAsia="Arial" w:hAnsi="Arial"/>
                <w:sz w:val="16"/>
                <w:szCs w:val="16"/>
                <w:color w:val="auto"/>
              </w:rPr>
              <w:t>and the environment</w:t>
            </w:r>
          </w:p>
        </w:tc>
        <w:tc>
          <w:tcPr>
            <w:tcW w:w="1400" w:type="dxa"/>
            <w:vAlign w:val="bottom"/>
          </w:tcPr>
          <w:p>
            <w:pPr>
              <w:spacing w:after="0"/>
              <w:rPr>
                <w:sz w:val="16"/>
                <w:szCs w:val="16"/>
                <w:color w:val="auto"/>
              </w:rPr>
            </w:pPr>
          </w:p>
        </w:tc>
        <w:tc>
          <w:tcPr>
            <w:tcW w:w="2460" w:type="dxa"/>
            <w:vAlign w:val="bottom"/>
            <w:tcBorders>
              <w:right w:val="single" w:sz="8" w:color="EA0029"/>
            </w:tcBorders>
          </w:tcPr>
          <w:p>
            <w:pPr>
              <w:ind w:left="60"/>
              <w:spacing w:after="0"/>
              <w:rPr>
                <w:sz w:val="20"/>
                <w:szCs w:val="20"/>
                <w:color w:val="auto"/>
              </w:rPr>
            </w:pPr>
            <w:r>
              <w:rPr>
                <w:rFonts w:ascii="Arial" w:cs="Arial" w:eastAsia="Arial" w:hAnsi="Arial"/>
                <w:sz w:val="16"/>
                <w:szCs w:val="16"/>
                <w:color w:val="auto"/>
              </w:rPr>
              <w:t>accelerated productivity</w:t>
            </w:r>
          </w:p>
        </w:tc>
        <w:tc>
          <w:tcPr>
            <w:tcW w:w="200" w:type="dxa"/>
            <w:vAlign w:val="bottom"/>
          </w:tcPr>
          <w:p>
            <w:pPr>
              <w:spacing w:after="0"/>
              <w:rPr>
                <w:sz w:val="16"/>
                <w:szCs w:val="16"/>
                <w:color w:val="auto"/>
              </w:rPr>
            </w:pPr>
          </w:p>
        </w:tc>
        <w:tc>
          <w:tcPr>
            <w:tcW w:w="3480" w:type="dxa"/>
            <w:vAlign w:val="bottom"/>
          </w:tcPr>
          <w:p>
            <w:pPr>
              <w:ind w:left="1320"/>
              <w:spacing w:after="0"/>
              <w:rPr>
                <w:sz w:val="20"/>
                <w:szCs w:val="20"/>
                <w:color w:val="auto"/>
              </w:rPr>
            </w:pPr>
            <w:r>
              <w:rPr>
                <w:rFonts w:ascii="Arial" w:cs="Arial" w:eastAsia="Arial" w:hAnsi="Arial"/>
                <w:sz w:val="16"/>
                <w:szCs w:val="16"/>
                <w:color w:val="auto"/>
              </w:rPr>
              <w:t>sustainable capacity of our</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1980" w:type="dxa"/>
            <w:vAlign w:val="bottom"/>
            <w:tcBorders>
              <w:right w:val="single" w:sz="8" w:color="EA0029"/>
            </w:tcBorders>
          </w:tcPr>
          <w:p>
            <w:pPr>
              <w:spacing w:after="0"/>
              <w:rPr>
                <w:sz w:val="18"/>
                <w:szCs w:val="18"/>
                <w:color w:val="auto"/>
              </w:rPr>
            </w:pPr>
          </w:p>
        </w:tc>
        <w:tc>
          <w:tcPr>
            <w:tcW w:w="1400" w:type="dxa"/>
            <w:vAlign w:val="bottom"/>
          </w:tcPr>
          <w:p>
            <w:pPr>
              <w:spacing w:after="0"/>
              <w:rPr>
                <w:sz w:val="18"/>
                <w:szCs w:val="18"/>
                <w:color w:val="auto"/>
              </w:rPr>
            </w:pPr>
          </w:p>
        </w:tc>
        <w:tc>
          <w:tcPr>
            <w:tcW w:w="2460" w:type="dxa"/>
            <w:vAlign w:val="bottom"/>
            <w:tcBorders>
              <w:right w:val="single" w:sz="8" w:color="EA0029"/>
            </w:tcBorders>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tcPr>
          <w:p>
            <w:pPr>
              <w:ind w:left="1320"/>
              <w:spacing w:after="0"/>
              <w:rPr>
                <w:sz w:val="20"/>
                <w:szCs w:val="20"/>
                <w:color w:val="auto"/>
              </w:rPr>
            </w:pPr>
            <w:r>
              <w:rPr>
                <w:rFonts w:ascii="Arial" w:cs="Arial" w:eastAsia="Arial" w:hAnsi="Arial"/>
                <w:sz w:val="16"/>
                <w:szCs w:val="16"/>
                <w:color w:val="auto"/>
              </w:rPr>
              <w:t>world</w:t>
            </w:r>
          </w:p>
        </w:tc>
        <w:tc>
          <w:tcPr>
            <w:tcW w:w="0" w:type="dxa"/>
            <w:vAlign w:val="bottom"/>
          </w:tcPr>
          <w:p>
            <w:pPr>
              <w:spacing w:after="0"/>
              <w:rPr>
                <w:sz w:val="1"/>
                <w:szCs w:val="1"/>
                <w:color w:val="auto"/>
              </w:rPr>
            </w:pPr>
          </w:p>
        </w:tc>
      </w:tr>
      <w:tr>
        <w:trPr>
          <w:trHeight w:val="582"/>
        </w:trPr>
        <w:tc>
          <w:tcPr>
            <w:tcW w:w="1700" w:type="dxa"/>
            <w:vAlign w:val="bottom"/>
          </w:tcPr>
          <w:p>
            <w:pPr>
              <w:ind w:left="100"/>
              <w:spacing w:after="0"/>
              <w:rPr>
                <w:sz w:val="20"/>
                <w:szCs w:val="20"/>
                <w:color w:val="auto"/>
              </w:rPr>
            </w:pPr>
            <w:r>
              <w:rPr>
                <w:rFonts w:ascii="Arial" w:cs="Arial" w:eastAsia="Arial" w:hAnsi="Arial"/>
                <w:sz w:val="16"/>
                <w:szCs w:val="16"/>
                <w:b w:val="1"/>
                <w:bCs w:val="1"/>
                <w:color w:val="D7282F"/>
              </w:rPr>
              <w:t>WE</w:t>
            </w:r>
          </w:p>
        </w:tc>
        <w:tc>
          <w:tcPr>
            <w:tcW w:w="1980" w:type="dxa"/>
            <w:vAlign w:val="bottom"/>
            <w:tcBorders>
              <w:right w:val="single" w:sz="8" w:color="EA0029"/>
            </w:tcBorders>
          </w:tcPr>
          <w:p>
            <w:pPr>
              <w:spacing w:after="0"/>
              <w:rPr>
                <w:sz w:val="24"/>
                <w:szCs w:val="24"/>
                <w:color w:val="auto"/>
              </w:rPr>
            </w:pPr>
          </w:p>
        </w:tc>
        <w:tc>
          <w:tcPr>
            <w:tcW w:w="1400" w:type="dxa"/>
            <w:vAlign w:val="bottom"/>
          </w:tcPr>
          <w:p>
            <w:pPr>
              <w:ind w:left="320"/>
              <w:spacing w:after="0"/>
              <w:rPr>
                <w:sz w:val="20"/>
                <w:szCs w:val="20"/>
                <w:color w:val="auto"/>
              </w:rPr>
            </w:pPr>
            <w:r>
              <w:rPr>
                <w:rFonts w:ascii="Arial" w:cs="Arial" w:eastAsia="Arial" w:hAnsi="Arial"/>
                <w:sz w:val="16"/>
                <w:szCs w:val="16"/>
                <w:b w:val="1"/>
                <w:bCs w:val="1"/>
                <w:color w:val="D7282F"/>
              </w:rPr>
              <w:t>WE ACHIEVE</w:t>
            </w:r>
          </w:p>
        </w:tc>
        <w:tc>
          <w:tcPr>
            <w:tcW w:w="2460" w:type="dxa"/>
            <w:vAlign w:val="bottom"/>
            <w:tcBorders>
              <w:right w:val="single" w:sz="8" w:color="EA0029"/>
            </w:tcBorders>
          </w:tcPr>
          <w:p>
            <w:pPr>
              <w:spacing w:after="0"/>
              <w:rPr>
                <w:sz w:val="24"/>
                <w:szCs w:val="24"/>
                <w:color w:val="auto"/>
              </w:rPr>
            </w:pPr>
          </w:p>
        </w:tc>
        <w:tc>
          <w:tcPr>
            <w:tcW w:w="200" w:type="dxa"/>
            <w:vAlign w:val="bottom"/>
          </w:tcPr>
          <w:p>
            <w:pPr>
              <w:spacing w:after="0"/>
              <w:rPr>
                <w:sz w:val="24"/>
                <w:szCs w:val="24"/>
                <w:color w:val="auto"/>
              </w:rPr>
            </w:pPr>
          </w:p>
        </w:tc>
        <w:tc>
          <w:tcPr>
            <w:tcW w:w="3480" w:type="dxa"/>
            <w:vAlign w:val="bottom"/>
          </w:tcPr>
          <w:p>
            <w:pPr>
              <w:ind w:left="120"/>
              <w:spacing w:after="0"/>
              <w:rPr>
                <w:sz w:val="20"/>
                <w:szCs w:val="20"/>
                <w:color w:val="auto"/>
              </w:rPr>
            </w:pPr>
            <w:r>
              <w:rPr>
                <w:rFonts w:ascii="Arial" w:cs="Arial" w:eastAsia="Arial" w:hAnsi="Arial"/>
                <w:sz w:val="16"/>
                <w:szCs w:val="16"/>
                <w:b w:val="1"/>
                <w:bCs w:val="1"/>
                <w:color w:val="D7282F"/>
              </w:rPr>
              <w:t>WE DEVELOP</w:t>
            </w:r>
          </w:p>
        </w:tc>
        <w:tc>
          <w:tcPr>
            <w:tcW w:w="0" w:type="dxa"/>
            <w:vAlign w:val="bottom"/>
          </w:tcPr>
          <w:p>
            <w:pPr>
              <w:spacing w:after="0"/>
              <w:rPr>
                <w:sz w:val="1"/>
                <w:szCs w:val="1"/>
                <w:color w:val="auto"/>
              </w:rPr>
            </w:pPr>
          </w:p>
        </w:tc>
      </w:tr>
      <w:tr>
        <w:trPr>
          <w:trHeight w:val="230"/>
        </w:trPr>
        <w:tc>
          <w:tcPr>
            <w:tcW w:w="1700" w:type="dxa"/>
            <w:vAlign w:val="bottom"/>
          </w:tcPr>
          <w:p>
            <w:pPr>
              <w:ind w:left="100"/>
              <w:spacing w:after="0"/>
              <w:rPr>
                <w:sz w:val="20"/>
                <w:szCs w:val="20"/>
                <w:color w:val="auto"/>
              </w:rPr>
            </w:pPr>
            <w:r>
              <w:rPr>
                <w:rFonts w:ascii="Arial" w:cs="Arial" w:eastAsia="Arial" w:hAnsi="Arial"/>
                <w:sz w:val="16"/>
                <w:szCs w:val="16"/>
                <w:b w:val="1"/>
                <w:bCs w:val="1"/>
                <w:color w:val="D7282F"/>
              </w:rPr>
              <w:t>PROTECT</w:t>
            </w:r>
          </w:p>
        </w:tc>
        <w:tc>
          <w:tcPr>
            <w:tcW w:w="1980" w:type="dxa"/>
            <w:vAlign w:val="bottom"/>
            <w:tcBorders>
              <w:right w:val="single" w:sz="8" w:color="EA0029"/>
            </w:tcBorders>
          </w:tcPr>
          <w:p>
            <w:pPr>
              <w:spacing w:after="0"/>
              <w:rPr>
                <w:sz w:val="20"/>
                <w:szCs w:val="20"/>
                <w:color w:val="auto"/>
              </w:rPr>
            </w:pPr>
          </w:p>
        </w:tc>
        <w:tc>
          <w:tcPr>
            <w:tcW w:w="1400" w:type="dxa"/>
            <w:vAlign w:val="bottom"/>
          </w:tcPr>
          <w:p>
            <w:pPr>
              <w:spacing w:after="0"/>
              <w:rPr>
                <w:sz w:val="20"/>
                <w:szCs w:val="20"/>
                <w:color w:val="auto"/>
              </w:rPr>
            </w:pPr>
          </w:p>
        </w:tc>
        <w:tc>
          <w:tcPr>
            <w:tcW w:w="2460" w:type="dxa"/>
            <w:vAlign w:val="bottom"/>
            <w:tcBorders>
              <w:right w:val="single" w:sz="8" w:color="EA0029"/>
            </w:tcBorders>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00" w:type="dxa"/>
            <w:vAlign w:val="bottom"/>
            <w:tcBorders>
              <w:bottom w:val="single" w:sz="8" w:color="D7282F"/>
            </w:tcBorders>
          </w:tcPr>
          <w:p>
            <w:pPr>
              <w:spacing w:after="0"/>
              <w:rPr>
                <w:sz w:val="19"/>
                <w:szCs w:val="19"/>
                <w:color w:val="auto"/>
              </w:rPr>
            </w:pPr>
          </w:p>
        </w:tc>
        <w:tc>
          <w:tcPr>
            <w:tcW w:w="9520" w:type="dxa"/>
            <w:vAlign w:val="bottom"/>
            <w:tcBorders>
              <w:bottom w:val="single" w:sz="8" w:color="D7282F"/>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700" w:type="dxa"/>
            <w:vAlign w:val="bottom"/>
          </w:tcPr>
          <w:p>
            <w:pPr>
              <w:spacing w:after="0"/>
              <w:rPr>
                <w:sz w:val="24"/>
                <w:szCs w:val="24"/>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Committed to be</w:t>
            </w:r>
            <w:r>
              <w:rPr>
                <w:rFonts w:ascii="Arial" w:cs="Arial" w:eastAsia="Arial" w:hAnsi="Arial"/>
                <w:sz w:val="16"/>
                <w:szCs w:val="16"/>
                <w:b w:val="1"/>
                <w:bCs w:val="1"/>
                <w:color w:val="D7282F"/>
              </w:rPr>
              <w:t xml:space="preserve"> carbon neutral </w:t>
            </w:r>
            <w:r>
              <w:rPr>
                <w:rFonts w:ascii="Arial" w:cs="Arial" w:eastAsia="Arial" w:hAnsi="Arial"/>
                <w:sz w:val="16"/>
                <w:szCs w:val="16"/>
                <w:color w:val="000000"/>
              </w:rPr>
              <w:t>in Honeywell's operations and facilities by 2035.</w:t>
            </w:r>
            <w:r>
              <w:rPr>
                <w:rFonts w:ascii="Arial" w:cs="Arial" w:eastAsia="Arial" w:hAnsi="Arial"/>
                <w:sz w:val="21"/>
                <w:szCs w:val="21"/>
                <w:color w:val="000000"/>
                <w:vertAlign w:val="superscript"/>
              </w:rPr>
              <w:t>(1)</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Committed to a 50% reduction in our U.S. Scope 1 and 2 emissions by 2030 from a 2018 baseline in partnership with the</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040" w:type="dxa"/>
            <w:vAlign w:val="bottom"/>
            <w:gridSpan w:val="4"/>
          </w:tcPr>
          <w:p>
            <w:pPr>
              <w:ind w:left="500"/>
              <w:spacing w:after="0"/>
              <w:rPr>
                <w:sz w:val="20"/>
                <w:szCs w:val="20"/>
                <w:color w:val="auto"/>
              </w:rPr>
            </w:pPr>
            <w:r>
              <w:rPr>
                <w:rFonts w:ascii="Arial" w:cs="Arial" w:eastAsia="Arial" w:hAnsi="Arial"/>
                <w:sz w:val="16"/>
                <w:szCs w:val="16"/>
                <w:color w:val="auto"/>
              </w:rPr>
              <w:t xml:space="preserve">U.S. Department of Energy's </w:t>
            </w:r>
            <w:r>
              <w:rPr>
                <w:rFonts w:ascii="Arial" w:cs="Arial" w:eastAsia="Arial" w:hAnsi="Arial"/>
                <w:sz w:val="16"/>
                <w:szCs w:val="16"/>
                <w:b w:val="1"/>
                <w:bCs w:val="1"/>
                <w:color w:val="D7282F"/>
              </w:rPr>
              <w:t>Better Climate Challenge</w:t>
            </w:r>
            <w:r>
              <w:rPr>
                <w:rFonts w:ascii="Arial" w:cs="Arial" w:eastAsia="Arial" w:hAnsi="Arial"/>
                <w:sz w:val="16"/>
                <w:szCs w:val="16"/>
                <w:color w:val="auto"/>
              </w:rPr>
              <w:t>.</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PATH TO</w:t>
            </w: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Science-based target approved by the</w:t>
            </w:r>
            <w:r>
              <w:rPr>
                <w:rFonts w:ascii="Arial" w:cs="Arial" w:eastAsia="Arial" w:hAnsi="Arial"/>
                <w:sz w:val="16"/>
                <w:szCs w:val="16"/>
                <w:b w:val="1"/>
                <w:bCs w:val="1"/>
                <w:color w:val="D7282F"/>
              </w:rPr>
              <w:t xml:space="preserve"> Science Based Targets initiative (SBTi) </w:t>
            </w:r>
            <w:r>
              <w:rPr>
                <w:rFonts w:ascii="Arial" w:cs="Arial" w:eastAsia="Arial" w:hAnsi="Arial"/>
                <w:sz w:val="16"/>
                <w:szCs w:val="16"/>
                <w:color w:val="000000"/>
              </w:rPr>
              <w:t>that includes Scope 3 emissions.</w:t>
            </w:r>
          </w:p>
        </w:tc>
        <w:tc>
          <w:tcPr>
            <w:tcW w:w="0" w:type="dxa"/>
            <w:vAlign w:val="bottom"/>
          </w:tcPr>
          <w:p>
            <w:pPr>
              <w:spacing w:after="0"/>
              <w:rPr>
                <w:sz w:val="1"/>
                <w:szCs w:val="1"/>
                <w:color w:val="auto"/>
              </w:rPr>
            </w:pPr>
          </w:p>
        </w:tc>
      </w:tr>
      <w:tr>
        <w:trPr>
          <w:trHeight w:val="61"/>
        </w:trPr>
        <w:tc>
          <w:tcPr>
            <w:tcW w:w="1700" w:type="dxa"/>
            <w:vAlign w:val="bottom"/>
            <w:vMerge w:val="continue"/>
          </w:tcPr>
          <w:p>
            <w:pPr>
              <w:spacing w:after="0"/>
              <w:rPr>
                <w:sz w:val="5"/>
                <w:szCs w:val="5"/>
                <w:color w:val="auto"/>
              </w:rPr>
            </w:pPr>
          </w:p>
        </w:tc>
        <w:tc>
          <w:tcPr>
            <w:tcW w:w="952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Committed to</w:t>
            </w:r>
            <w:r>
              <w:rPr>
                <w:rFonts w:ascii="Arial" w:cs="Arial" w:eastAsia="Arial" w:hAnsi="Arial"/>
                <w:sz w:val="16"/>
                <w:szCs w:val="16"/>
                <w:b w:val="1"/>
                <w:bCs w:val="1"/>
                <w:color w:val="D7282F"/>
              </w:rPr>
              <w:t xml:space="preserve"> address Scope 3 </w:t>
            </w:r>
            <w:r>
              <w:rPr>
                <w:rFonts w:ascii="Arial" w:cs="Arial" w:eastAsia="Arial" w:hAnsi="Arial"/>
                <w:sz w:val="16"/>
                <w:szCs w:val="16"/>
                <w:color w:val="000000"/>
              </w:rPr>
              <w:t>indirect emissions, including through partnerships with industry leaders to identify and</w:t>
            </w:r>
          </w:p>
        </w:tc>
        <w:tc>
          <w:tcPr>
            <w:tcW w:w="0" w:type="dxa"/>
            <w:vAlign w:val="bottom"/>
          </w:tcPr>
          <w:p>
            <w:pPr>
              <w:spacing w:after="0"/>
              <w:rPr>
                <w:sz w:val="1"/>
                <w:szCs w:val="1"/>
                <w:color w:val="auto"/>
              </w:rPr>
            </w:pPr>
          </w:p>
        </w:tc>
      </w:tr>
      <w:tr>
        <w:trPr>
          <w:trHeight w:val="176"/>
        </w:trPr>
        <w:tc>
          <w:tcPr>
            <w:tcW w:w="170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CARBON</w:t>
            </w:r>
          </w:p>
        </w:tc>
        <w:tc>
          <w:tcPr>
            <w:tcW w:w="95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NEUTRALITY</w:t>
            </w:r>
          </w:p>
        </w:tc>
        <w:tc>
          <w:tcPr>
            <w:tcW w:w="3380" w:type="dxa"/>
            <w:vAlign w:val="bottom"/>
            <w:gridSpan w:val="2"/>
          </w:tcPr>
          <w:p>
            <w:pPr>
              <w:ind w:left="500"/>
              <w:spacing w:after="0"/>
              <w:rPr>
                <w:sz w:val="20"/>
                <w:szCs w:val="20"/>
                <w:color w:val="auto"/>
              </w:rPr>
            </w:pPr>
            <w:r>
              <w:rPr>
                <w:rFonts w:ascii="Arial" w:cs="Arial" w:eastAsia="Arial" w:hAnsi="Arial"/>
                <w:sz w:val="16"/>
                <w:szCs w:val="16"/>
                <w:color w:val="auto"/>
              </w:rPr>
              <w:t>implement best practices.</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Robust plans in place to meet commitments with a multifaceted approach, including energy savings projects, conversion to</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9520" w:type="dxa"/>
            <w:vAlign w:val="bottom"/>
            <w:gridSpan w:val="5"/>
          </w:tcPr>
          <w:p>
            <w:pPr>
              <w:ind w:left="500"/>
              <w:spacing w:after="0"/>
              <w:rPr>
                <w:sz w:val="20"/>
                <w:szCs w:val="20"/>
                <w:color w:val="auto"/>
              </w:rPr>
            </w:pPr>
            <w:r>
              <w:rPr>
                <w:rFonts w:ascii="Arial" w:cs="Arial" w:eastAsia="Arial" w:hAnsi="Arial"/>
                <w:sz w:val="16"/>
                <w:szCs w:val="16"/>
                <w:color w:val="auto"/>
              </w:rPr>
              <w:t xml:space="preserve">renewable energy sources, capital improvement projects, and the deployment of our own innovative </w:t>
            </w:r>
            <w:r>
              <w:rPr>
                <w:rFonts w:ascii="Arial" w:cs="Arial" w:eastAsia="Arial" w:hAnsi="Arial"/>
                <w:sz w:val="16"/>
                <w:szCs w:val="16"/>
                <w:b w:val="1"/>
                <w:bCs w:val="1"/>
                <w:color w:val="D7282F"/>
              </w:rPr>
              <w:t>“ready now”</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380" w:type="dxa"/>
            <w:vAlign w:val="bottom"/>
            <w:gridSpan w:val="2"/>
          </w:tcPr>
          <w:p>
            <w:pPr>
              <w:ind w:left="500"/>
              <w:spacing w:after="0"/>
              <w:rPr>
                <w:sz w:val="20"/>
                <w:szCs w:val="20"/>
                <w:color w:val="auto"/>
              </w:rPr>
            </w:pPr>
            <w:r>
              <w:rPr>
                <w:rFonts w:ascii="Arial" w:cs="Arial" w:eastAsia="Arial" w:hAnsi="Arial"/>
                <w:sz w:val="16"/>
                <w:szCs w:val="16"/>
                <w:b w:val="1"/>
                <w:bCs w:val="1"/>
                <w:color w:val="D7282F"/>
              </w:rPr>
              <w:t>sustainable solutions</w:t>
            </w:r>
            <w:r>
              <w:rPr>
                <w:rFonts w:ascii="Arial" w:cs="Arial" w:eastAsia="Arial" w:hAnsi="Arial"/>
                <w:sz w:val="16"/>
                <w:szCs w:val="16"/>
                <w:color w:val="000000"/>
              </w:rPr>
              <w:t>.</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700" w:type="dxa"/>
            <w:vAlign w:val="bottom"/>
            <w:tcBorders>
              <w:bottom w:val="single" w:sz="8" w:color="939598"/>
            </w:tcBorders>
          </w:tcPr>
          <w:p>
            <w:pPr>
              <w:spacing w:after="0"/>
              <w:rPr>
                <w:sz w:val="6"/>
                <w:szCs w:val="6"/>
                <w:color w:val="auto"/>
              </w:rPr>
            </w:pPr>
          </w:p>
        </w:tc>
        <w:tc>
          <w:tcPr>
            <w:tcW w:w="9520" w:type="dxa"/>
            <w:vAlign w:val="bottom"/>
            <w:tcBorders>
              <w:bottom w:val="single" w:sz="8" w:color="939598"/>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Reduce global Scope 1 and 2 greenhouse gas emissions intensity by an additional</w:t>
            </w:r>
            <w:r>
              <w:rPr>
                <w:rFonts w:ascii="Arial" w:cs="Arial" w:eastAsia="Arial" w:hAnsi="Arial"/>
                <w:sz w:val="16"/>
                <w:szCs w:val="16"/>
                <w:b w:val="1"/>
                <w:bCs w:val="1"/>
                <w:color w:val="D7282F"/>
              </w:rPr>
              <w:t xml:space="preserve"> 10% </w:t>
            </w:r>
            <w:r>
              <w:rPr>
                <w:rFonts w:ascii="Arial" w:cs="Arial" w:eastAsia="Arial" w:hAnsi="Arial"/>
                <w:sz w:val="16"/>
                <w:szCs w:val="16"/>
                <w:color w:val="000000"/>
              </w:rPr>
              <w:t>per dollar of sales from 2018 levels.</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040" w:type="dxa"/>
            <w:vAlign w:val="bottom"/>
            <w:gridSpan w:val="4"/>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Deploy at least</w:t>
            </w:r>
            <w:r>
              <w:rPr>
                <w:rFonts w:ascii="Arial" w:cs="Arial" w:eastAsia="Arial" w:hAnsi="Arial"/>
                <w:sz w:val="16"/>
                <w:szCs w:val="16"/>
                <w:b w:val="1"/>
                <w:bCs w:val="1"/>
                <w:color w:val="D7282F"/>
              </w:rPr>
              <w:t xml:space="preserve"> 10 </w:t>
            </w:r>
            <w:r>
              <w:rPr>
                <w:rFonts w:ascii="Arial" w:cs="Arial" w:eastAsia="Arial" w:hAnsi="Arial"/>
                <w:sz w:val="16"/>
                <w:szCs w:val="16"/>
                <w:color w:val="000000"/>
              </w:rPr>
              <w:t>renewable energy opportunities.</w:t>
            </w: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Achieve certification to ISO 50001 Energy Management Standard at</w:t>
            </w:r>
            <w:r>
              <w:rPr>
                <w:rFonts w:ascii="Arial" w:cs="Arial" w:eastAsia="Arial" w:hAnsi="Arial"/>
                <w:sz w:val="16"/>
                <w:szCs w:val="16"/>
                <w:b w:val="1"/>
                <w:bCs w:val="1"/>
                <w:color w:val="D7282F"/>
              </w:rPr>
              <w:t xml:space="preserve"> 10 </w:t>
            </w:r>
            <w:r>
              <w:rPr>
                <w:rFonts w:ascii="Arial" w:cs="Arial" w:eastAsia="Arial" w:hAnsi="Arial"/>
                <w:sz w:val="16"/>
                <w:szCs w:val="16"/>
                <w:color w:val="000000"/>
              </w:rPr>
              <w:t>facilities.</w:t>
            </w:r>
          </w:p>
        </w:tc>
        <w:tc>
          <w:tcPr>
            <w:tcW w:w="0" w:type="dxa"/>
            <w:vAlign w:val="bottom"/>
          </w:tcPr>
          <w:p>
            <w:pPr>
              <w:spacing w:after="0"/>
              <w:rPr>
                <w:sz w:val="1"/>
                <w:szCs w:val="1"/>
                <w:color w:val="auto"/>
              </w:rPr>
            </w:pPr>
          </w:p>
        </w:tc>
      </w:tr>
      <w:tr>
        <w:trPr>
          <w:trHeight w:val="237"/>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10-10-10 GOALS</w:t>
            </w:r>
          </w:p>
        </w:tc>
        <w:tc>
          <w:tcPr>
            <w:tcW w:w="9520" w:type="dxa"/>
            <w:vAlign w:val="bottom"/>
            <w:gridSpan w:val="5"/>
          </w:tcPr>
          <w:p>
            <w:pPr>
              <w:ind w:left="320"/>
              <w:spacing w:after="0" w:line="237" w:lineRule="exact"/>
              <w:rPr>
                <w:sz w:val="20"/>
                <w:szCs w:val="20"/>
                <w:color w:val="auto"/>
              </w:rPr>
            </w:pPr>
            <w:r>
              <w:rPr>
                <w:rFonts w:ascii="Arial" w:cs="Arial" w:eastAsia="Arial" w:hAnsi="Arial"/>
                <w:sz w:val="16"/>
                <w:szCs w:val="16"/>
                <w:b w:val="1"/>
                <w:bCs w:val="1"/>
                <w:color w:val="D7282F"/>
              </w:rPr>
              <w:t xml:space="preserve">•  Exceeded </w:t>
            </w:r>
            <w:r>
              <w:rPr>
                <w:rFonts w:ascii="Arial" w:cs="Arial" w:eastAsia="Arial" w:hAnsi="Arial"/>
                <w:sz w:val="16"/>
                <w:szCs w:val="16"/>
                <w:color w:val="000000"/>
              </w:rPr>
              <w:t>10-10-10 commitments with &gt;20% reduction</w:t>
            </w:r>
            <w:r>
              <w:rPr>
                <w:rFonts w:ascii="Arial" w:cs="Arial" w:eastAsia="Arial" w:hAnsi="Arial"/>
                <w:sz w:val="21"/>
                <w:szCs w:val="21"/>
                <w:color w:val="000000"/>
                <w:vertAlign w:val="superscript"/>
              </w:rPr>
              <w:t>(2)</w:t>
            </w:r>
            <w:r>
              <w:rPr>
                <w:rFonts w:ascii="Arial" w:cs="Arial" w:eastAsia="Arial" w:hAnsi="Arial"/>
                <w:sz w:val="16"/>
                <w:szCs w:val="16"/>
                <w:b w:val="1"/>
                <w:bCs w:val="1"/>
                <w:color w:val="D7282F"/>
              </w:rPr>
              <w:t xml:space="preserve"> </w:t>
            </w:r>
            <w:r>
              <w:rPr>
                <w:rFonts w:ascii="Arial" w:cs="Arial" w:eastAsia="Arial" w:hAnsi="Arial"/>
                <w:sz w:val="16"/>
                <w:szCs w:val="16"/>
                <w:color w:val="000000"/>
              </w:rPr>
              <w:t>in Scope 1 and 2 greenhouse gas emissions intensity, 20</w:t>
            </w:r>
          </w:p>
        </w:tc>
        <w:tc>
          <w:tcPr>
            <w:tcW w:w="0" w:type="dxa"/>
            <w:vAlign w:val="bottom"/>
          </w:tcPr>
          <w:p>
            <w:pPr>
              <w:spacing w:after="0"/>
              <w:rPr>
                <w:sz w:val="1"/>
                <w:szCs w:val="1"/>
                <w:color w:val="auto"/>
              </w:rPr>
            </w:pPr>
          </w:p>
        </w:tc>
      </w:tr>
      <w:tr>
        <w:trPr>
          <w:trHeight w:val="249"/>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BY 2024</w:t>
            </w:r>
          </w:p>
        </w:tc>
        <w:tc>
          <w:tcPr>
            <w:tcW w:w="6040" w:type="dxa"/>
            <w:vAlign w:val="bottom"/>
            <w:gridSpan w:val="4"/>
          </w:tcPr>
          <w:p>
            <w:pPr>
              <w:ind w:left="500"/>
              <w:spacing w:after="0"/>
              <w:rPr>
                <w:sz w:val="20"/>
                <w:szCs w:val="20"/>
                <w:color w:val="auto"/>
              </w:rPr>
            </w:pPr>
            <w:r>
              <w:rPr>
                <w:rFonts w:ascii="Arial" w:cs="Arial" w:eastAsia="Arial" w:hAnsi="Arial"/>
                <w:sz w:val="16"/>
                <w:szCs w:val="16"/>
                <w:color w:val="auto"/>
              </w:rPr>
              <w:t>renewables, and 28 ISO 50001 certifications.</w:t>
            </w: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1700" w:type="dxa"/>
            <w:vAlign w:val="bottom"/>
            <w:tcBorders>
              <w:bottom w:val="single" w:sz="8" w:color="939598"/>
            </w:tcBorders>
          </w:tcPr>
          <w:p>
            <w:pPr>
              <w:spacing w:after="0"/>
              <w:rPr>
                <w:sz w:val="5"/>
                <w:szCs w:val="5"/>
                <w:color w:val="auto"/>
              </w:rPr>
            </w:pPr>
          </w:p>
        </w:tc>
        <w:tc>
          <w:tcPr>
            <w:tcW w:w="6040" w:type="dxa"/>
            <w:vAlign w:val="bottom"/>
            <w:tcBorders>
              <w:bottom w:val="single" w:sz="8" w:color="939598"/>
            </w:tcBorders>
            <w:gridSpan w:val="4"/>
          </w:tcPr>
          <w:p>
            <w:pPr>
              <w:spacing w:after="0"/>
              <w:rPr>
                <w:sz w:val="5"/>
                <w:szCs w:val="5"/>
                <w:color w:val="auto"/>
              </w:rPr>
            </w:pPr>
          </w:p>
        </w:tc>
        <w:tc>
          <w:tcPr>
            <w:tcW w:w="348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700" w:type="dxa"/>
            <w:vAlign w:val="bottom"/>
          </w:tcPr>
          <w:p>
            <w:pPr>
              <w:spacing w:after="0"/>
              <w:rPr>
                <w:sz w:val="23"/>
                <w:szCs w:val="23"/>
                <w:color w:val="auto"/>
              </w:rPr>
            </w:pPr>
          </w:p>
        </w:tc>
        <w:tc>
          <w:tcPr>
            <w:tcW w:w="6040" w:type="dxa"/>
            <w:vAlign w:val="bottom"/>
            <w:gridSpan w:val="4"/>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Over</w:t>
            </w:r>
            <w:r>
              <w:rPr>
                <w:rFonts w:ascii="Arial" w:cs="Arial" w:eastAsia="Arial" w:hAnsi="Arial"/>
                <w:sz w:val="16"/>
                <w:szCs w:val="16"/>
                <w:b w:val="1"/>
                <w:bCs w:val="1"/>
                <w:color w:val="D7282F"/>
              </w:rPr>
              <w:t xml:space="preserve"> 90% </w:t>
            </w:r>
            <w:r>
              <w:rPr>
                <w:rFonts w:ascii="Arial" w:cs="Arial" w:eastAsia="Arial" w:hAnsi="Arial"/>
                <w:sz w:val="16"/>
                <w:szCs w:val="16"/>
                <w:color w:val="000000"/>
              </w:rPr>
              <w:t>reduction in Scope 1 and 2 greenhouse gas intensity since 2004.</w:t>
            </w: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6040" w:type="dxa"/>
            <w:vAlign w:val="bottom"/>
            <w:gridSpan w:val="4"/>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Approximately</w:t>
            </w:r>
            <w:r>
              <w:rPr>
                <w:rFonts w:ascii="Arial" w:cs="Arial" w:eastAsia="Arial" w:hAnsi="Arial"/>
                <w:sz w:val="16"/>
                <w:szCs w:val="16"/>
                <w:b w:val="1"/>
                <w:bCs w:val="1"/>
                <w:color w:val="D7282F"/>
              </w:rPr>
              <w:t xml:space="preserve"> 70% </w:t>
            </w:r>
            <w:r>
              <w:rPr>
                <w:rFonts w:ascii="Arial" w:cs="Arial" w:eastAsia="Arial" w:hAnsi="Arial"/>
                <w:sz w:val="16"/>
                <w:szCs w:val="16"/>
                <w:color w:val="000000"/>
              </w:rPr>
              <w:t>energy efficiency improvement since 2004.</w:t>
            </w: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More than</w:t>
            </w:r>
            <w:r>
              <w:rPr>
                <w:rFonts w:ascii="Arial" w:cs="Arial" w:eastAsia="Arial" w:hAnsi="Arial"/>
                <w:sz w:val="16"/>
                <w:szCs w:val="16"/>
                <w:b w:val="1"/>
                <w:bCs w:val="1"/>
                <w:color w:val="D7282F"/>
              </w:rPr>
              <w:t xml:space="preserve"> 3,000 </w:t>
            </w:r>
            <w:r>
              <w:rPr>
                <w:rFonts w:ascii="Arial" w:cs="Arial" w:eastAsia="Arial" w:hAnsi="Arial"/>
                <w:sz w:val="16"/>
                <w:szCs w:val="16"/>
                <w:color w:val="000000"/>
              </w:rPr>
              <w:t>acres remediated and restored as valuable community assets.</w:t>
            </w:r>
          </w:p>
        </w:tc>
        <w:tc>
          <w:tcPr>
            <w:tcW w:w="0" w:type="dxa"/>
            <w:vAlign w:val="bottom"/>
          </w:tcPr>
          <w:p>
            <w:pPr>
              <w:spacing w:after="0"/>
              <w:rPr>
                <w:sz w:val="1"/>
                <w:szCs w:val="1"/>
                <w:color w:val="auto"/>
              </w:rPr>
            </w:pPr>
          </w:p>
        </w:tc>
      </w:tr>
      <w:tr>
        <w:trPr>
          <w:trHeight w:val="263"/>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SUSTAINABLE</w:t>
            </w: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170 million </w:t>
            </w:r>
            <w:r>
              <w:rPr>
                <w:rFonts w:ascii="Arial" w:cs="Arial" w:eastAsia="Arial" w:hAnsi="Arial"/>
                <w:sz w:val="16"/>
                <w:szCs w:val="16"/>
                <w:color w:val="000000"/>
              </w:rPr>
              <w:t>gallons of water saved in water-stressed regions since 2013 from</w:t>
            </w:r>
            <w:r>
              <w:rPr>
                <w:rFonts w:ascii="Arial" w:cs="Arial" w:eastAsia="Arial" w:hAnsi="Arial"/>
                <w:sz w:val="16"/>
                <w:szCs w:val="16"/>
                <w:b w:val="1"/>
                <w:bCs w:val="1"/>
                <w:color w:val="D7282F"/>
              </w:rPr>
              <w:t xml:space="preserve"> 195 </w:t>
            </w:r>
            <w:r>
              <w:rPr>
                <w:rFonts w:ascii="Arial" w:cs="Arial" w:eastAsia="Arial" w:hAnsi="Arial"/>
                <w:sz w:val="16"/>
                <w:szCs w:val="16"/>
                <w:color w:val="000000"/>
              </w:rPr>
              <w:t>projects.</w:t>
            </w:r>
          </w:p>
        </w:tc>
        <w:tc>
          <w:tcPr>
            <w:tcW w:w="0" w:type="dxa"/>
            <w:vAlign w:val="bottom"/>
          </w:tcPr>
          <w:p>
            <w:pPr>
              <w:spacing w:after="0"/>
              <w:rPr>
                <w:sz w:val="1"/>
                <w:szCs w:val="1"/>
                <w:color w:val="auto"/>
              </w:rPr>
            </w:pPr>
          </w:p>
        </w:tc>
      </w:tr>
      <w:tr>
        <w:trPr>
          <w:trHeight w:val="243"/>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OPERATIONS</w:t>
            </w: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Safety record</w:t>
            </w:r>
            <w:r>
              <w:rPr>
                <w:rFonts w:ascii="Arial" w:cs="Arial" w:eastAsia="Arial" w:hAnsi="Arial"/>
                <w:sz w:val="16"/>
                <w:szCs w:val="16"/>
                <w:b w:val="1"/>
                <w:bCs w:val="1"/>
                <w:color w:val="D7282F"/>
              </w:rPr>
              <w:t xml:space="preserve"> &gt;4x </w:t>
            </w:r>
            <w:r>
              <w:rPr>
                <w:rFonts w:ascii="Arial" w:cs="Arial" w:eastAsia="Arial" w:hAnsi="Arial"/>
                <w:sz w:val="16"/>
                <w:szCs w:val="16"/>
                <w:color w:val="000000"/>
              </w:rPr>
              <w:t>better than the weighted average total case incident rate (TCIR) of the industries in which Honeywell</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3380" w:type="dxa"/>
            <w:vAlign w:val="bottom"/>
            <w:gridSpan w:val="2"/>
          </w:tcPr>
          <w:p>
            <w:pPr>
              <w:ind w:left="500"/>
              <w:spacing w:after="0"/>
              <w:rPr>
                <w:sz w:val="20"/>
                <w:szCs w:val="20"/>
                <w:color w:val="auto"/>
              </w:rPr>
            </w:pPr>
            <w:r>
              <w:rPr>
                <w:rFonts w:ascii="Arial" w:cs="Arial" w:eastAsia="Arial" w:hAnsi="Arial"/>
                <w:sz w:val="16"/>
                <w:szCs w:val="16"/>
                <w:color w:val="auto"/>
              </w:rPr>
              <w:t>operates.</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1700" w:type="dxa"/>
            <w:vAlign w:val="bottom"/>
          </w:tcPr>
          <w:p>
            <w:pPr>
              <w:spacing w:after="0"/>
              <w:rPr>
                <w:sz w:val="24"/>
                <w:szCs w:val="24"/>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6,500 </w:t>
            </w:r>
            <w:r>
              <w:rPr>
                <w:rFonts w:ascii="Arial" w:cs="Arial" w:eastAsia="Arial" w:hAnsi="Arial"/>
                <w:sz w:val="16"/>
                <w:szCs w:val="16"/>
                <w:color w:val="000000"/>
              </w:rPr>
              <w:t>sustainability projects since 2010, with more than $100 million in annualized savings.</w:t>
            </w:r>
          </w:p>
        </w:tc>
        <w:tc>
          <w:tcPr>
            <w:tcW w:w="0" w:type="dxa"/>
            <w:vAlign w:val="bottom"/>
          </w:tcPr>
          <w:p>
            <w:pPr>
              <w:spacing w:after="0"/>
              <w:rPr>
                <w:sz w:val="1"/>
                <w:szCs w:val="1"/>
                <w:color w:val="auto"/>
              </w:rPr>
            </w:pPr>
          </w:p>
        </w:tc>
      </w:tr>
      <w:tr>
        <w:trPr>
          <w:trHeight w:val="62"/>
        </w:trPr>
        <w:tc>
          <w:tcPr>
            <w:tcW w:w="1700" w:type="dxa"/>
            <w:vAlign w:val="bottom"/>
            <w:tcBorders>
              <w:bottom w:val="single" w:sz="8" w:color="939598"/>
            </w:tcBorders>
          </w:tcPr>
          <w:p>
            <w:pPr>
              <w:spacing w:after="0"/>
              <w:rPr>
                <w:sz w:val="5"/>
                <w:szCs w:val="5"/>
                <w:color w:val="auto"/>
              </w:rPr>
            </w:pPr>
          </w:p>
        </w:tc>
        <w:tc>
          <w:tcPr>
            <w:tcW w:w="9520" w:type="dxa"/>
            <w:vAlign w:val="bottom"/>
            <w:tcBorders>
              <w:bottom w:val="single" w:sz="8" w:color="939598"/>
            </w:tcBorders>
            <w:gridSpan w:val="5"/>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Decades-long</w:t>
            </w:r>
            <w:r>
              <w:rPr>
                <w:rFonts w:ascii="Arial" w:cs="Arial" w:eastAsia="Arial" w:hAnsi="Arial"/>
                <w:sz w:val="16"/>
                <w:szCs w:val="16"/>
                <w:b w:val="1"/>
                <w:bCs w:val="1"/>
                <w:color w:val="D7282F"/>
              </w:rPr>
              <w:t xml:space="preserve"> history of innovation </w:t>
            </w:r>
            <w:r>
              <w:rPr>
                <w:rFonts w:ascii="Arial" w:cs="Arial" w:eastAsia="Arial" w:hAnsi="Arial"/>
                <w:sz w:val="16"/>
                <w:szCs w:val="16"/>
                <w:color w:val="000000"/>
              </w:rPr>
              <w:t>to help customers meet their ESG-oriented goals.</w:t>
            </w:r>
          </w:p>
        </w:tc>
        <w:tc>
          <w:tcPr>
            <w:tcW w:w="0" w:type="dxa"/>
            <w:vAlign w:val="bottom"/>
          </w:tcPr>
          <w:p>
            <w:pPr>
              <w:spacing w:after="0"/>
              <w:rPr>
                <w:sz w:val="1"/>
                <w:szCs w:val="1"/>
                <w:color w:val="auto"/>
              </w:rPr>
            </w:pPr>
          </w:p>
        </w:tc>
      </w:tr>
      <w:tr>
        <w:trPr>
          <w:trHeight w:val="304"/>
        </w:trPr>
        <w:tc>
          <w:tcPr>
            <w:tcW w:w="1700" w:type="dxa"/>
            <w:vAlign w:val="bottom"/>
          </w:tcPr>
          <w:p>
            <w:pPr>
              <w:spacing w:after="0"/>
              <w:rPr>
                <w:sz w:val="24"/>
                <w:szCs w:val="24"/>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~60% </w:t>
            </w:r>
            <w:r>
              <w:rPr>
                <w:rFonts w:ascii="Arial" w:cs="Arial" w:eastAsia="Arial" w:hAnsi="Arial"/>
                <w:sz w:val="16"/>
                <w:szCs w:val="16"/>
                <w:color w:val="000000"/>
              </w:rPr>
              <w:t>of 2023 new product research and development investment was directed toward ESG-oriented outcomes.</w:t>
            </w:r>
            <w:r>
              <w:rPr>
                <w:rFonts w:ascii="Arial" w:cs="Arial" w:eastAsia="Arial" w:hAnsi="Arial"/>
                <w:sz w:val="21"/>
                <w:szCs w:val="21"/>
                <w:color w:val="000000"/>
                <w:vertAlign w:val="superscript"/>
              </w:rPr>
              <w:t>(3)</w:t>
            </w: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&gt;60% </w:t>
            </w:r>
            <w:r>
              <w:rPr>
                <w:rFonts w:ascii="Arial" w:cs="Arial" w:eastAsia="Arial" w:hAnsi="Arial"/>
                <w:sz w:val="16"/>
                <w:szCs w:val="16"/>
                <w:color w:val="000000"/>
              </w:rPr>
              <w:t>of 2023 sales were from offerings that contribute to ESG-oriented outcomes.</w:t>
            </w:r>
            <w:r>
              <w:rPr>
                <w:rFonts w:ascii="Arial" w:cs="Arial" w:eastAsia="Arial" w:hAnsi="Arial"/>
                <w:sz w:val="21"/>
                <w:szCs w:val="21"/>
                <w:color w:val="000000"/>
                <w:vertAlign w:val="superscript"/>
              </w:rPr>
              <w:t>(3)</w:t>
            </w:r>
          </w:p>
        </w:tc>
        <w:tc>
          <w:tcPr>
            <w:tcW w:w="0" w:type="dxa"/>
            <w:vAlign w:val="bottom"/>
          </w:tcPr>
          <w:p>
            <w:pPr>
              <w:spacing w:after="0"/>
              <w:rPr>
                <w:sz w:val="1"/>
                <w:szCs w:val="1"/>
                <w:color w:val="auto"/>
              </w:rPr>
            </w:pPr>
          </w:p>
        </w:tc>
      </w:tr>
      <w:tr>
        <w:trPr>
          <w:trHeight w:val="216"/>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ESG-ORIENTED</w:t>
            </w:r>
          </w:p>
        </w:tc>
        <w:tc>
          <w:tcPr>
            <w:tcW w:w="9520" w:type="dxa"/>
            <w:vAlign w:val="bottom"/>
            <w:gridSpan w:val="5"/>
          </w:tcPr>
          <w:p>
            <w:pPr>
              <w:ind w:left="320"/>
              <w:spacing w:after="0"/>
              <w:rPr>
                <w:sz w:val="20"/>
                <w:szCs w:val="20"/>
                <w:color w:val="auto"/>
              </w:rPr>
            </w:pPr>
            <w:r>
              <w:rPr>
                <w:rFonts w:ascii="Arial" w:cs="Arial" w:eastAsia="Arial" w:hAnsi="Arial"/>
                <w:sz w:val="16"/>
                <w:szCs w:val="16"/>
                <w:b w:val="1"/>
                <w:bCs w:val="1"/>
                <w:color w:val="D7282F"/>
              </w:rPr>
              <w:t xml:space="preserve">•  Honeywell Environmental Sustainability Index </w:t>
            </w:r>
            <w:r>
              <w:rPr>
                <w:rFonts w:ascii="Arial" w:cs="Arial" w:eastAsia="Arial" w:hAnsi="Arial"/>
                <w:sz w:val="16"/>
                <w:szCs w:val="16"/>
                <w:color w:val="000000"/>
              </w:rPr>
              <w:t>(ESI) providing market insights and thought leadership.</w:t>
            </w:r>
          </w:p>
        </w:tc>
        <w:tc>
          <w:tcPr>
            <w:tcW w:w="0" w:type="dxa"/>
            <w:vAlign w:val="bottom"/>
          </w:tcPr>
          <w:p>
            <w:pPr>
              <w:spacing w:after="0"/>
              <w:rPr>
                <w:sz w:val="1"/>
                <w:szCs w:val="1"/>
                <w:color w:val="auto"/>
              </w:rPr>
            </w:pPr>
          </w:p>
        </w:tc>
      </w:tr>
      <w:tr>
        <w:trPr>
          <w:trHeight w:val="223"/>
        </w:trPr>
        <w:tc>
          <w:tcPr>
            <w:tcW w:w="1700" w:type="dxa"/>
            <w:vAlign w:val="bottom"/>
          </w:tcPr>
          <w:p>
            <w:pPr>
              <w:ind w:left="100"/>
              <w:spacing w:after="0"/>
              <w:rPr>
                <w:sz w:val="20"/>
                <w:szCs w:val="20"/>
                <w:color w:val="auto"/>
              </w:rPr>
            </w:pPr>
            <w:r>
              <w:rPr>
                <w:rFonts w:ascii="Arial" w:cs="Arial" w:eastAsia="Arial" w:hAnsi="Arial"/>
                <w:sz w:val="16"/>
                <w:szCs w:val="16"/>
                <w:b w:val="1"/>
                <w:bCs w:val="1"/>
                <w:color w:val="auto"/>
              </w:rPr>
              <w:t>OFFERINGS</w:t>
            </w:r>
          </w:p>
        </w:tc>
        <w:tc>
          <w:tcPr>
            <w:tcW w:w="19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-5335270</wp:posOffset>
            </wp:positionV>
            <wp:extent cx="334010" cy="394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4010" cy="39433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-5335270</wp:posOffset>
            </wp:positionV>
            <wp:extent cx="394335" cy="394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-5335270</wp:posOffset>
            </wp:positionV>
            <wp:extent cx="394335" cy="394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94335"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23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-4161155</wp:posOffset>
            </wp:positionV>
            <wp:extent cx="325755"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-2763520</wp:posOffset>
            </wp:positionV>
            <wp:extent cx="34290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3257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-1898015</wp:posOffset>
            </wp:positionV>
            <wp:extent cx="32575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-706120</wp:posOffset>
            </wp:positionV>
            <wp:extent cx="325755"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89"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Scope 1 and Scope 2.</w:t>
      </w:r>
    </w:p>
    <w:p>
      <w:pPr>
        <w:spacing w:after="0" w:line="56"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Subject to assurance.</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Methodology for identifying ESG-oriented solutions is available at investor.honeywell.com (see “ESG/ESG Information/Identification of ESG-Oriented Offerings”).</w:t>
      </w:r>
    </w:p>
    <w:p>
      <w:pPr>
        <w:spacing w:after="0" w:line="20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For more information about Honeywell's commitment to sustainability and community initiatives, please see our 2023 ESG Report at investor.honeywell.com (see “ESG/ESG Information”).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73"/>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color w:val="6D6E71"/>
        </w:rPr>
        <w:t>HONEYWELL PERFORMANCE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ESG-ORIENTED OFFERINGS</w:t>
      </w:r>
    </w:p>
    <w:p>
      <w:pPr>
        <w:spacing w:after="0" w:line="12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Honeywell is uniquely positioned to shape a safer and more sustainable future for both the Company and its customers. The Company continues to invent and develop technologies that provide customers with adaptable and efficient solutions for their ESG-oriented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30480</wp:posOffset>
            </wp:positionV>
            <wp:extent cx="5717540" cy="4380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7540"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HONEYWELL’S NET ZERO ENABLERS SUPPORT A LOW-CARBON FUTURE</w:t>
      </w:r>
    </w:p>
    <w:p>
      <w:pPr>
        <w:spacing w:after="0" w:line="112" w:lineRule="exact"/>
        <w:rPr>
          <w:sz w:val="20"/>
          <w:szCs w:val="20"/>
          <w:color w:val="auto"/>
        </w:rPr>
      </w:pPr>
    </w:p>
    <w:p>
      <w:pPr>
        <w:ind w:left="200" w:hanging="192"/>
        <w:spacing w:after="0" w:line="205" w:lineRule="auto"/>
        <w:tabs>
          <w:tab w:leader="none" w:pos="197"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Low global warming potential molecules: Use of Honeywell Solstice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has helped avoid the potential release of the equivalent of more than 395 million metric tons of CO</w:t>
      </w:r>
      <w:r>
        <w:rPr>
          <w:rFonts w:ascii="Arial" w:cs="Arial" w:eastAsia="Arial" w:hAnsi="Arial"/>
          <w:sz w:val="21"/>
          <w:szCs w:val="21"/>
          <w:color w:val="auto"/>
          <w:vertAlign w:val="subscript"/>
        </w:rPr>
        <w:t>2</w:t>
      </w:r>
      <w:r>
        <w:rPr>
          <w:rFonts w:ascii="Arial" w:cs="Arial" w:eastAsia="Arial" w:hAnsi="Arial"/>
          <w:sz w:val="16"/>
          <w:szCs w:val="16"/>
          <w:color w:val="auto"/>
        </w:rPr>
        <w:t>e into the atmosphere.</w:t>
      </w:r>
    </w:p>
    <w:p>
      <w:pPr>
        <w:spacing w:after="0" w:line="46" w:lineRule="exact"/>
        <w:rPr>
          <w:rFonts w:ascii="Arial" w:cs="Arial" w:eastAsia="Arial" w:hAnsi="Arial"/>
          <w:sz w:val="16"/>
          <w:szCs w:val="16"/>
          <w:b w:val="1"/>
          <w:bCs w:val="1"/>
          <w:color w:val="D7282F"/>
        </w:rPr>
      </w:pPr>
    </w:p>
    <w:p>
      <w:pPr>
        <w:ind w:left="200" w:right="340" w:hanging="192"/>
        <w:spacing w:after="0" w:line="272" w:lineRule="auto"/>
        <w:tabs>
          <w:tab w:leader="none" w:pos="197" w:val="left"/>
        </w:tabs>
        <w:numPr>
          <w:ilvl w:val="0"/>
          <w:numId w:val="11"/>
        </w:numPr>
        <w:rPr>
          <w:rFonts w:ascii="Arial" w:cs="Arial" w:eastAsia="Arial" w:hAnsi="Arial"/>
          <w:sz w:val="16"/>
          <w:szCs w:val="16"/>
          <w:b w:val="1"/>
          <w:bCs w:val="1"/>
          <w:color w:val="D7282F"/>
        </w:rPr>
      </w:pPr>
      <w:r>
        <w:rPr>
          <w:rFonts w:ascii="Arial" w:cs="Arial" w:eastAsia="Arial" w:hAnsi="Arial"/>
          <w:sz w:val="16"/>
          <w:szCs w:val="16"/>
          <w:color w:val="auto"/>
        </w:rPr>
        <w:t>Renewable fuels: Depending on the type of ethanol feedstock used, jet fuel produced from Honeywell's Ethanol to Jet Fuel (ETJ) process can reduce greenhouse gas (GHG) emissions by 80 percent on a total lifecycle basis, compared to petroleum-based jet fuel.</w:t>
      </w:r>
    </w:p>
    <w:p>
      <w:pPr>
        <w:ind w:left="200" w:right="120" w:hanging="192"/>
        <w:spacing w:after="0" w:line="273" w:lineRule="auto"/>
        <w:tabs>
          <w:tab w:leader="none" w:pos="197" w:val="left"/>
        </w:tabs>
        <w:numPr>
          <w:ilvl w:val="0"/>
          <w:numId w:val="11"/>
        </w:numPr>
        <w:rPr>
          <w:rFonts w:ascii="Arial" w:cs="Arial" w:eastAsia="Arial" w:hAnsi="Arial"/>
          <w:sz w:val="16"/>
          <w:szCs w:val="16"/>
          <w:color w:val="D7282F"/>
        </w:rPr>
      </w:pPr>
      <w:r>
        <w:rPr>
          <w:rFonts w:ascii="Arial" w:cs="Arial" w:eastAsia="Arial" w:hAnsi="Arial"/>
          <w:sz w:val="16"/>
          <w:szCs w:val="16"/>
          <w:color w:val="auto"/>
        </w:rPr>
        <w:t>Carbon capture and storage: Current Honeywell customers have the capacity to capture 40 million metric tons of CO</w:t>
      </w:r>
      <w:r>
        <w:rPr>
          <w:rFonts w:ascii="Arial" w:cs="Arial" w:eastAsia="Arial" w:hAnsi="Arial"/>
          <w:sz w:val="21"/>
          <w:szCs w:val="21"/>
          <w:color w:val="auto"/>
          <w:vertAlign w:val="subscript"/>
        </w:rPr>
        <w:t>2</w:t>
      </w:r>
      <w:r>
        <w:rPr>
          <w:rFonts w:ascii="Arial" w:cs="Arial" w:eastAsia="Arial" w:hAnsi="Arial"/>
          <w:sz w:val="16"/>
          <w:szCs w:val="16"/>
          <w:color w:val="auto"/>
        </w:rPr>
        <w:t xml:space="preserve"> per year through installed projects worldwide that utilize Honeywell CO</w:t>
      </w:r>
      <w:r>
        <w:rPr>
          <w:rFonts w:ascii="Arial" w:cs="Arial" w:eastAsia="Arial" w:hAnsi="Arial"/>
          <w:sz w:val="10"/>
          <w:szCs w:val="10"/>
          <w:color w:val="auto"/>
        </w:rPr>
        <w:t>2</w:t>
      </w:r>
      <w:r>
        <w:rPr>
          <w:rFonts w:ascii="Arial" w:cs="Arial" w:eastAsia="Arial" w:hAnsi="Arial"/>
          <w:sz w:val="16"/>
          <w:szCs w:val="16"/>
          <w:color w:val="auto"/>
        </w:rPr>
        <w:t xml:space="preserve"> technology.</w:t>
      </w:r>
      <w:r>
        <w:rPr>
          <w:rFonts w:ascii="Arial" w:cs="Arial" w:eastAsia="Arial" w:hAnsi="Arial"/>
          <w:sz w:val="21"/>
          <w:szCs w:val="21"/>
          <w:color w:val="auto"/>
          <w:vertAlign w:val="superscript"/>
        </w:rPr>
        <w:t>(2)</w:t>
      </w:r>
    </w:p>
    <w:p>
      <w:pPr>
        <w:spacing w:after="0" w:line="78"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Methodology for identifying ESG-oriented solutions is available at investor.honeywell.com (see “ESG/ESG Information/Identification of ESG-Oriented Offerings”).</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Includes capacity of deployed Honeywell technology (membranes and chemical and physical solvents) in installed projects enabling CO</w:t>
      </w:r>
      <w:r>
        <w:rPr>
          <w:rFonts w:ascii="Arial" w:cs="Arial" w:eastAsia="Arial" w:hAnsi="Arial"/>
          <w:sz w:val="8"/>
          <w:szCs w:val="8"/>
          <w:color w:val="auto"/>
        </w:rPr>
        <w:t>2</w:t>
      </w:r>
      <w:r>
        <w:rPr>
          <w:rFonts w:ascii="Arial" w:cs="Arial" w:eastAsia="Arial" w:hAnsi="Arial"/>
          <w:sz w:val="13"/>
          <w:szCs w:val="13"/>
          <w:color w:val="auto"/>
        </w:rPr>
        <w:t xml:space="preserve"> capture from gas streams.</w:t>
      </w:r>
    </w:p>
    <w:p>
      <w:pPr>
        <w:spacing w:after="0" w:line="23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sz w:val="1"/>
          <w:szCs w:val="1"/>
          <w:color w:val="auto"/>
        </w:rPr>
        <w:drawing>
          <wp:inline distT="0" distB="0" distL="0" distR="0">
            <wp:extent cx="548640" cy="10287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sectPr>
      </w:pPr>
    </w:p>
    <w:bookmarkStart w:id="13" w:name="page14"/>
    <w:bookmarkEnd w:id="13"/>
    <w:p>
      <w:pPr>
        <w:spacing w:after="0"/>
        <w:rPr>
          <w:sz w:val="20"/>
          <w:szCs w:val="20"/>
          <w:color w:val="auto"/>
        </w:rPr>
      </w:pPr>
      <w:r>
        <w:rPr>
          <w:rFonts w:ascii="Arial" w:cs="Arial" w:eastAsia="Arial" w:hAnsi="Arial"/>
          <w:sz w:val="45"/>
          <w:szCs w:val="45"/>
          <w:b w:val="1"/>
          <w:bCs w:val="1"/>
          <w:color w:val="auto"/>
        </w:rPr>
        <w:t>PROXY</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SUMMARY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ANNUAL MEETING OF SHAREOWNERS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90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280" w:type="dxa"/>
            <w:vAlign w:val="bottom"/>
          </w:tcPr>
          <w:p>
            <w:pPr>
              <w:ind w:left="500"/>
              <w:spacing w:after="0"/>
              <w:rPr>
                <w:sz w:val="20"/>
                <w:szCs w:val="20"/>
                <w:color w:val="auto"/>
              </w:rPr>
            </w:pPr>
            <w:r>
              <w:rPr>
                <w:rFonts w:ascii="Arial" w:cs="Arial" w:eastAsia="Arial" w:hAnsi="Arial"/>
                <w:sz w:val="16"/>
                <w:szCs w:val="16"/>
                <w:color w:val="auto"/>
              </w:rPr>
              <w:t>May 14, 2024, 10:30 a.m. EDT</w:t>
            </w:r>
          </w:p>
        </w:tc>
      </w:tr>
      <w:tr>
        <w:trPr>
          <w:trHeight w:val="378"/>
        </w:trPr>
        <w:tc>
          <w:tcPr>
            <w:tcW w:w="19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280" w:type="dxa"/>
            <w:vAlign w:val="bottom"/>
          </w:tcPr>
          <w:p>
            <w:pPr>
              <w:ind w:left="500"/>
              <w:spacing w:after="0"/>
              <w:rPr>
                <w:sz w:val="20"/>
                <w:szCs w:val="20"/>
                <w:color w:val="auto"/>
              </w:rPr>
            </w:pPr>
            <w:r>
              <w:rPr>
                <w:rFonts w:ascii="Arial" w:cs="Arial" w:eastAsia="Arial" w:hAnsi="Arial"/>
                <w:sz w:val="16"/>
                <w:szCs w:val="16"/>
                <w:color w:val="auto"/>
              </w:rPr>
              <w:t>The meeting will be held in virtual format only.</w:t>
            </w:r>
          </w:p>
        </w:tc>
      </w:tr>
      <w:tr>
        <w:trPr>
          <w:trHeight w:val="291"/>
        </w:trPr>
        <w:tc>
          <w:tcPr>
            <w:tcW w:w="1900" w:type="dxa"/>
            <w:vAlign w:val="bottom"/>
          </w:tcPr>
          <w:p>
            <w:pPr>
              <w:spacing w:after="0"/>
              <w:rPr>
                <w:sz w:val="24"/>
                <w:szCs w:val="24"/>
                <w:color w:val="auto"/>
              </w:rPr>
            </w:pPr>
          </w:p>
        </w:tc>
        <w:tc>
          <w:tcPr>
            <w:tcW w:w="9280" w:type="dxa"/>
            <w:vAlign w:val="bottom"/>
          </w:tcPr>
          <w:p>
            <w:pPr>
              <w:ind w:left="500"/>
              <w:spacing w:after="0"/>
              <w:rPr>
                <w:sz w:val="20"/>
                <w:szCs w:val="20"/>
                <w:color w:val="auto"/>
              </w:rPr>
            </w:pPr>
            <w:r>
              <w:rPr>
                <w:rFonts w:ascii="Arial" w:cs="Arial" w:eastAsia="Arial" w:hAnsi="Arial"/>
                <w:sz w:val="16"/>
                <w:szCs w:val="16"/>
                <w:color w:val="auto"/>
              </w:rPr>
              <w:t xml:space="preserve">Please visit </w:t>
            </w:r>
            <w:r>
              <w:rPr>
                <w:rFonts w:ascii="Arial" w:cs="Arial" w:eastAsia="Arial" w:hAnsi="Arial"/>
                <w:sz w:val="16"/>
                <w:szCs w:val="16"/>
                <w:b w:val="1"/>
                <w:bCs w:val="1"/>
                <w:color w:val="D7282F"/>
              </w:rPr>
              <w:t>www.virtualshareholdermeeting.com/HON2024</w:t>
            </w:r>
          </w:p>
        </w:tc>
      </w:tr>
      <w:tr>
        <w:trPr>
          <w:trHeight w:val="371"/>
        </w:trPr>
        <w:tc>
          <w:tcPr>
            <w:tcW w:w="19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280" w:type="dxa"/>
            <w:vAlign w:val="bottom"/>
          </w:tcPr>
          <w:p>
            <w:pPr>
              <w:ind w:left="500"/>
              <w:spacing w:after="0"/>
              <w:rPr>
                <w:sz w:val="20"/>
                <w:szCs w:val="20"/>
                <w:color w:val="auto"/>
              </w:rPr>
            </w:pPr>
            <w:r>
              <w:rPr>
                <w:rFonts w:ascii="Arial" w:cs="Arial" w:eastAsia="Arial" w:hAnsi="Arial"/>
                <w:sz w:val="16"/>
                <w:szCs w:val="16"/>
                <w:color w:val="auto"/>
              </w:rPr>
              <w:t>Shareowners as of March 22, 2024, are entitled to vote.</w:t>
            </w:r>
          </w:p>
        </w:tc>
      </w:tr>
      <w:tr>
        <w:trPr>
          <w:trHeight w:val="338"/>
        </w:trPr>
        <w:tc>
          <w:tcPr>
            <w:tcW w:w="1900" w:type="dxa"/>
            <w:vAlign w:val="bottom"/>
          </w:tcPr>
          <w:p>
            <w:pPr>
              <w:spacing w:after="0"/>
              <w:rPr>
                <w:sz w:val="20"/>
                <w:szCs w:val="20"/>
                <w:color w:val="auto"/>
              </w:rPr>
            </w:pPr>
            <w:r>
              <w:rPr>
                <w:rFonts w:ascii="Arial" w:cs="Arial" w:eastAsia="Arial" w:hAnsi="Arial"/>
                <w:sz w:val="18"/>
                <w:szCs w:val="18"/>
                <w:b w:val="1"/>
                <w:bCs w:val="1"/>
                <w:color w:val="auto"/>
              </w:rPr>
              <w:t>ADMISSION</w:t>
            </w:r>
          </w:p>
        </w:tc>
        <w:tc>
          <w:tcPr>
            <w:tcW w:w="9280" w:type="dxa"/>
            <w:vAlign w:val="bottom"/>
          </w:tcPr>
          <w:p>
            <w:pPr>
              <w:ind w:left="500"/>
              <w:spacing w:after="0"/>
              <w:rPr>
                <w:sz w:val="20"/>
                <w:szCs w:val="20"/>
                <w:color w:val="auto"/>
              </w:rPr>
            </w:pPr>
            <w:r>
              <w:rPr>
                <w:rFonts w:ascii="Arial" w:cs="Arial" w:eastAsia="Arial" w:hAnsi="Arial"/>
                <w:sz w:val="16"/>
                <w:szCs w:val="16"/>
                <w:color w:val="auto"/>
              </w:rPr>
              <w:t>To attend the virtual Annual Meeting of Shareowners (the Annual Meeting) online, vote, and submit questions during the</w:t>
            </w:r>
          </w:p>
        </w:tc>
      </w:tr>
      <w:tr>
        <w:trPr>
          <w:trHeight w:val="189"/>
        </w:trPr>
        <w:tc>
          <w:tcPr>
            <w:tcW w:w="1900" w:type="dxa"/>
            <w:vAlign w:val="bottom"/>
          </w:tcPr>
          <w:p>
            <w:pPr>
              <w:spacing w:after="0"/>
              <w:rPr>
                <w:sz w:val="16"/>
                <w:szCs w:val="16"/>
                <w:color w:val="auto"/>
              </w:rPr>
            </w:pPr>
          </w:p>
        </w:tc>
        <w:tc>
          <w:tcPr>
            <w:tcW w:w="9280" w:type="dxa"/>
            <w:vAlign w:val="bottom"/>
          </w:tcPr>
          <w:p>
            <w:pPr>
              <w:ind w:left="500"/>
              <w:spacing w:after="0"/>
              <w:rPr>
                <w:sz w:val="20"/>
                <w:szCs w:val="20"/>
                <w:color w:val="auto"/>
              </w:rPr>
            </w:pPr>
            <w:r>
              <w:rPr>
                <w:rFonts w:ascii="Arial" w:cs="Arial" w:eastAsia="Arial" w:hAnsi="Arial"/>
                <w:sz w:val="16"/>
                <w:szCs w:val="16"/>
                <w:color w:val="auto"/>
              </w:rPr>
              <w:t>meeting, you will need the 16-digit control number included on the Notice of Internet Availability of Proxy Materials, on your</w:t>
            </w:r>
          </w:p>
        </w:tc>
      </w:tr>
      <w:tr>
        <w:trPr>
          <w:trHeight w:val="215"/>
        </w:trPr>
        <w:tc>
          <w:tcPr>
            <w:tcW w:w="1900" w:type="dxa"/>
            <w:vAlign w:val="bottom"/>
          </w:tcPr>
          <w:p>
            <w:pPr>
              <w:spacing w:after="0"/>
              <w:rPr>
                <w:sz w:val="18"/>
                <w:szCs w:val="18"/>
                <w:color w:val="auto"/>
              </w:rPr>
            </w:pPr>
          </w:p>
        </w:tc>
        <w:tc>
          <w:tcPr>
            <w:tcW w:w="9280" w:type="dxa"/>
            <w:vAlign w:val="bottom"/>
          </w:tcPr>
          <w:p>
            <w:pPr>
              <w:ind w:left="500"/>
              <w:spacing w:after="0"/>
              <w:rPr>
                <w:sz w:val="20"/>
                <w:szCs w:val="20"/>
                <w:color w:val="auto"/>
              </w:rPr>
            </w:pPr>
            <w:r>
              <w:rPr>
                <w:rFonts w:ascii="Arial" w:cs="Arial" w:eastAsia="Arial" w:hAnsi="Arial"/>
                <w:sz w:val="16"/>
                <w:szCs w:val="16"/>
                <w:color w:val="auto"/>
              </w:rPr>
              <w:t>proxy card (if you requested printed materials), or on the instructions that accompanied your Proxy Materials.</w:t>
            </w:r>
          </w:p>
        </w:tc>
      </w:tr>
    </w:tbl>
    <w:p>
      <w:pPr>
        <w:spacing w:after="0" w:line="395"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VOTING MATTERS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Proposals</w:t>
            </w:r>
          </w:p>
        </w:tc>
        <w:tc>
          <w:tcPr>
            <w:tcW w:w="47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Recommended Vote</w:t>
            </w:r>
          </w:p>
        </w:tc>
        <w:tc>
          <w:tcPr>
            <w:tcW w:w="1220" w:type="dxa"/>
            <w:vAlign w:val="bottom"/>
            <w:gridSpan w:val="2"/>
          </w:tcPr>
          <w:p>
            <w:pPr>
              <w:ind w:left="840"/>
              <w:spacing w:after="0"/>
              <w:rPr>
                <w:sz w:val="20"/>
                <w:szCs w:val="20"/>
                <w:color w:val="auto"/>
              </w:rPr>
            </w:pPr>
            <w:r>
              <w:rPr>
                <w:rFonts w:ascii="Arial" w:cs="Arial" w:eastAsia="Arial" w:hAnsi="Arial"/>
                <w:sz w:val="14"/>
                <w:szCs w:val="14"/>
                <w:b w:val="1"/>
                <w:bCs w:val="1"/>
                <w:color w:val="auto"/>
              </w:rPr>
              <w:t>Page</w:t>
            </w:r>
          </w:p>
        </w:tc>
      </w:tr>
      <w:tr>
        <w:trPr>
          <w:trHeight w:val="214"/>
        </w:trPr>
        <w:tc>
          <w:tcPr>
            <w:tcW w:w="84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D7282F"/>
              </w:rPr>
              <w:t>No. 1</w:t>
            </w:r>
          </w:p>
        </w:tc>
        <w:tc>
          <w:tcPr>
            <w:tcW w:w="4780" w:type="dxa"/>
            <w:vAlign w:val="bottom"/>
            <w:tcBorders>
              <w:top w:val="single" w:sz="8" w:color="D7282F"/>
            </w:tcBorders>
          </w:tcPr>
          <w:p>
            <w:pPr>
              <w:ind w:left="100"/>
              <w:spacing w:after="0"/>
              <w:rPr>
                <w:sz w:val="20"/>
                <w:szCs w:val="20"/>
                <w:color w:val="auto"/>
              </w:rPr>
            </w:pPr>
            <w:r>
              <w:rPr>
                <w:rFonts w:ascii="Arial" w:cs="Arial" w:eastAsia="Arial" w:hAnsi="Arial"/>
                <w:sz w:val="14"/>
                <w:szCs w:val="14"/>
                <w:color w:val="auto"/>
              </w:rPr>
              <w:t>Election of Directors</w:t>
            </w:r>
          </w:p>
        </w:tc>
        <w:tc>
          <w:tcPr>
            <w:tcW w:w="2200" w:type="dxa"/>
            <w:vAlign w:val="bottom"/>
            <w:tcBorders>
              <w:top w:val="single" w:sz="8" w:color="D7282F"/>
            </w:tcBorders>
          </w:tcPr>
          <w:p>
            <w:pPr>
              <w:spacing w:after="0"/>
              <w:rPr>
                <w:sz w:val="18"/>
                <w:szCs w:val="18"/>
                <w:color w:val="auto"/>
              </w:rPr>
            </w:pPr>
          </w:p>
        </w:tc>
        <w:tc>
          <w:tcPr>
            <w:tcW w:w="2200" w:type="dxa"/>
            <w:vAlign w:val="bottom"/>
            <w:tcBorders>
              <w:top w:val="single" w:sz="8" w:color="EE2724"/>
            </w:tcBorders>
          </w:tcPr>
          <w:p>
            <w:pPr>
              <w:ind w:left="20"/>
              <w:spacing w:after="0"/>
              <w:rPr>
                <w:sz w:val="20"/>
                <w:szCs w:val="20"/>
                <w:color w:val="auto"/>
              </w:rPr>
            </w:pPr>
            <w:r>
              <w:rPr>
                <w:rFonts w:ascii="Arial" w:cs="Arial" w:eastAsia="Arial" w:hAnsi="Arial"/>
                <w:sz w:val="14"/>
                <w:szCs w:val="14"/>
                <w:b w:val="1"/>
                <w:bCs w:val="1"/>
                <w:color w:val="D7282F"/>
              </w:rPr>
              <w:t>FOR each nominee</w:t>
            </w:r>
          </w:p>
        </w:tc>
        <w:tc>
          <w:tcPr>
            <w:tcW w:w="120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8"/>
                <w:szCs w:val="18"/>
                <w:color w:val="auto"/>
              </w:rPr>
            </w:pPr>
          </w:p>
        </w:tc>
      </w:tr>
      <w:tr>
        <w:trPr>
          <w:trHeight w:val="29"/>
        </w:trPr>
        <w:tc>
          <w:tcPr>
            <w:tcW w:w="840" w:type="dxa"/>
            <w:vAlign w:val="bottom"/>
            <w:tcBorders>
              <w:bottom w:val="single" w:sz="8" w:color="939598"/>
            </w:tcBorders>
          </w:tcPr>
          <w:p>
            <w:pPr>
              <w:spacing w:after="0"/>
              <w:rPr>
                <w:sz w:val="2"/>
                <w:szCs w:val="2"/>
                <w:color w:val="auto"/>
              </w:rPr>
            </w:pPr>
          </w:p>
        </w:tc>
        <w:tc>
          <w:tcPr>
            <w:tcW w:w="4780" w:type="dxa"/>
            <w:vAlign w:val="bottom"/>
            <w:tcBorders>
              <w:bottom w:val="single" w:sz="8" w:color="939598"/>
            </w:tcBorders>
          </w:tcPr>
          <w:p>
            <w:pPr>
              <w:spacing w:after="0"/>
              <w:rPr>
                <w:sz w:val="2"/>
                <w:szCs w:val="2"/>
                <w:color w:val="auto"/>
              </w:rPr>
            </w:pPr>
          </w:p>
        </w:tc>
        <w:tc>
          <w:tcPr>
            <w:tcW w:w="2200" w:type="dxa"/>
            <w:vAlign w:val="bottom"/>
            <w:tcBorders>
              <w:bottom w:val="single" w:sz="8" w:color="939598"/>
            </w:tcBorders>
          </w:tcPr>
          <w:p>
            <w:pPr>
              <w:spacing w:after="0"/>
              <w:rPr>
                <w:sz w:val="2"/>
                <w:szCs w:val="2"/>
                <w:color w:val="auto"/>
              </w:rPr>
            </w:pPr>
          </w:p>
        </w:tc>
        <w:tc>
          <w:tcPr>
            <w:tcW w:w="2200" w:type="dxa"/>
            <w:vAlign w:val="bottom"/>
            <w:tcBorders>
              <w:bottom w:val="single" w:sz="8" w:color="939598"/>
            </w:tcBorders>
          </w:tcPr>
          <w:p>
            <w:pPr>
              <w:spacing w:after="0"/>
              <w:rPr>
                <w:sz w:val="2"/>
                <w:szCs w:val="2"/>
                <w:color w:val="auto"/>
              </w:rPr>
            </w:pPr>
          </w:p>
        </w:tc>
        <w:tc>
          <w:tcPr>
            <w:tcW w:w="12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8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D7282F"/>
              </w:rPr>
              <w:t>No. 2</w:t>
            </w:r>
          </w:p>
        </w:tc>
        <w:tc>
          <w:tcPr>
            <w:tcW w:w="4780" w:type="dxa"/>
            <w:vAlign w:val="bottom"/>
            <w:tcBorders>
              <w:bottom w:val="single" w:sz="8" w:color="939598"/>
            </w:tcBorders>
          </w:tcPr>
          <w:p>
            <w:pPr>
              <w:ind w:left="100"/>
              <w:spacing w:after="0"/>
              <w:rPr>
                <w:sz w:val="20"/>
                <w:szCs w:val="20"/>
                <w:color w:val="auto"/>
              </w:rPr>
            </w:pPr>
            <w:r>
              <w:rPr>
                <w:rFonts w:ascii="Arial" w:cs="Arial" w:eastAsia="Arial" w:hAnsi="Arial"/>
                <w:sz w:val="14"/>
                <w:szCs w:val="14"/>
                <w:color w:val="auto"/>
              </w:rPr>
              <w:t>Advisory Vote to Approve Executive Compensation</w:t>
            </w:r>
          </w:p>
        </w:tc>
        <w:tc>
          <w:tcPr>
            <w:tcW w:w="2200" w:type="dxa"/>
            <w:vAlign w:val="bottom"/>
            <w:tcBorders>
              <w:bottom w:val="single" w:sz="8" w:color="939598"/>
            </w:tcBorders>
          </w:tcPr>
          <w:p>
            <w:pPr>
              <w:spacing w:after="0"/>
              <w:rPr>
                <w:sz w:val="18"/>
                <w:szCs w:val="18"/>
                <w:color w:val="auto"/>
              </w:rPr>
            </w:pPr>
          </w:p>
        </w:tc>
        <w:tc>
          <w:tcPr>
            <w:tcW w:w="22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D7282F"/>
              </w:rPr>
              <w:t>FOR</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8"/>
                <w:szCs w:val="18"/>
                <w:color w:val="auto"/>
              </w:rPr>
            </w:pPr>
          </w:p>
        </w:tc>
      </w:tr>
      <w:tr>
        <w:trPr>
          <w:trHeight w:val="223"/>
        </w:trPr>
        <w:tc>
          <w:tcPr>
            <w:tcW w:w="8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D7282F"/>
              </w:rPr>
              <w:t>No. 3</w:t>
            </w:r>
          </w:p>
        </w:tc>
        <w:tc>
          <w:tcPr>
            <w:tcW w:w="4780" w:type="dxa"/>
            <w:vAlign w:val="bottom"/>
            <w:tcBorders>
              <w:bottom w:val="single" w:sz="8" w:color="939598"/>
            </w:tcBorders>
          </w:tcPr>
          <w:p>
            <w:pPr>
              <w:ind w:left="100"/>
              <w:spacing w:after="0"/>
              <w:rPr>
                <w:sz w:val="20"/>
                <w:szCs w:val="20"/>
                <w:color w:val="auto"/>
              </w:rPr>
            </w:pPr>
            <w:r>
              <w:rPr>
                <w:rFonts w:ascii="Arial" w:cs="Arial" w:eastAsia="Arial" w:hAnsi="Arial"/>
                <w:sz w:val="14"/>
                <w:szCs w:val="14"/>
                <w:color w:val="auto"/>
              </w:rPr>
              <w:t>Approval of Independent Accountants</w:t>
            </w:r>
          </w:p>
        </w:tc>
        <w:tc>
          <w:tcPr>
            <w:tcW w:w="2200" w:type="dxa"/>
            <w:vAlign w:val="bottom"/>
            <w:tcBorders>
              <w:bottom w:val="single" w:sz="8" w:color="939598"/>
            </w:tcBorders>
          </w:tcPr>
          <w:p>
            <w:pPr>
              <w:spacing w:after="0"/>
              <w:rPr>
                <w:sz w:val="19"/>
                <w:szCs w:val="19"/>
                <w:color w:val="auto"/>
              </w:rPr>
            </w:pPr>
          </w:p>
        </w:tc>
        <w:tc>
          <w:tcPr>
            <w:tcW w:w="22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D7282F"/>
              </w:rPr>
              <w:t>FOR</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9"/>
                <w:szCs w:val="19"/>
                <w:color w:val="auto"/>
              </w:rPr>
            </w:pPr>
          </w:p>
        </w:tc>
      </w:tr>
      <w:tr>
        <w:trPr>
          <w:trHeight w:val="241"/>
        </w:trPr>
        <w:tc>
          <w:tcPr>
            <w:tcW w:w="840" w:type="dxa"/>
            <w:vAlign w:val="bottom"/>
          </w:tcPr>
          <w:p>
            <w:pPr>
              <w:ind w:left="20"/>
              <w:spacing w:after="0"/>
              <w:rPr>
                <w:sz w:val="20"/>
                <w:szCs w:val="20"/>
                <w:color w:val="auto"/>
              </w:rPr>
            </w:pPr>
            <w:r>
              <w:rPr>
                <w:rFonts w:ascii="Arial" w:cs="Arial" w:eastAsia="Arial" w:hAnsi="Arial"/>
                <w:sz w:val="14"/>
                <w:szCs w:val="14"/>
                <w:b w:val="1"/>
                <w:bCs w:val="1"/>
                <w:color w:val="D7282F"/>
              </w:rPr>
              <w:t>No. 4</w:t>
            </w:r>
          </w:p>
        </w:tc>
        <w:tc>
          <w:tcPr>
            <w:tcW w:w="4780" w:type="dxa"/>
            <w:vAlign w:val="bottom"/>
          </w:tcPr>
          <w:p>
            <w:pPr>
              <w:ind w:left="100"/>
              <w:spacing w:after="0"/>
              <w:rPr>
                <w:sz w:val="20"/>
                <w:szCs w:val="20"/>
                <w:color w:val="auto"/>
              </w:rPr>
            </w:pPr>
            <w:r>
              <w:rPr>
                <w:rFonts w:ascii="Arial" w:cs="Arial" w:eastAsia="Arial" w:hAnsi="Arial"/>
                <w:sz w:val="14"/>
                <w:szCs w:val="14"/>
                <w:color w:val="auto"/>
              </w:rPr>
              <w:t xml:space="preserve">Shareowner Proposal </w:t>
            </w:r>
            <w:r>
              <w:rPr>
                <w:rFonts w:ascii="Calibri" w:cs="Calibri" w:eastAsia="Calibri" w:hAnsi="Calibri"/>
                <w:sz w:val="19"/>
                <w:szCs w:val="19"/>
                <w:b w:val="1"/>
                <w:bCs w:val="1"/>
                <w:color w:val="auto"/>
              </w:rPr>
              <w:t>–</w:t>
            </w:r>
            <w:r>
              <w:rPr>
                <w:rFonts w:ascii="Arial" w:cs="Arial" w:eastAsia="Arial" w:hAnsi="Arial"/>
                <w:sz w:val="14"/>
                <w:szCs w:val="14"/>
                <w:color w:val="auto"/>
              </w:rPr>
              <w:t xml:space="preserve"> Independent Board Chairman</w:t>
            </w:r>
          </w:p>
        </w:tc>
        <w:tc>
          <w:tcPr>
            <w:tcW w:w="220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AGAINST</w:t>
            </w:r>
          </w:p>
        </w:tc>
        <w:tc>
          <w:tcPr>
            <w:tcW w:w="1200" w:type="dxa"/>
            <w:vAlign w:val="bottom"/>
          </w:tcPr>
          <w:p>
            <w:pPr>
              <w:jc w:val="right"/>
              <w:spacing w:after="0"/>
              <w:rPr>
                <w:sz w:val="20"/>
                <w:szCs w:val="20"/>
                <w:color w:val="auto"/>
              </w:rPr>
            </w:pPr>
            <w:r>
              <w:rPr>
                <w:rFonts w:ascii="Arial" w:cs="Arial" w:eastAsia="Arial" w:hAnsi="Arial"/>
                <w:sz w:val="14"/>
                <w:szCs w:val="14"/>
                <w:color w:val="auto"/>
              </w:rPr>
              <w:t>103</w:t>
            </w:r>
          </w:p>
        </w:tc>
        <w:tc>
          <w:tcPr>
            <w:tcW w:w="20" w:type="dxa"/>
            <w:vAlign w:val="bottom"/>
          </w:tcPr>
          <w:p>
            <w:pPr>
              <w:spacing w:after="0"/>
              <w:rPr>
                <w:sz w:val="20"/>
                <w:szCs w:val="20"/>
                <w:color w:val="auto"/>
              </w:rPr>
            </w:pPr>
          </w:p>
        </w:tc>
      </w:tr>
      <w:tr>
        <w:trPr>
          <w:trHeight w:val="56"/>
        </w:trPr>
        <w:tc>
          <w:tcPr>
            <w:tcW w:w="840" w:type="dxa"/>
            <w:vAlign w:val="bottom"/>
            <w:tcBorders>
              <w:bottom w:val="single" w:sz="8" w:color="D7282F"/>
            </w:tcBorders>
          </w:tcPr>
          <w:p>
            <w:pPr>
              <w:spacing w:after="0"/>
              <w:rPr>
                <w:sz w:val="4"/>
                <w:szCs w:val="4"/>
                <w:color w:val="auto"/>
              </w:rPr>
            </w:pPr>
          </w:p>
        </w:tc>
        <w:tc>
          <w:tcPr>
            <w:tcW w:w="4780" w:type="dxa"/>
            <w:vAlign w:val="bottom"/>
            <w:tcBorders>
              <w:bottom w:val="single" w:sz="8" w:color="D7282F"/>
            </w:tcBorders>
          </w:tcPr>
          <w:p>
            <w:pPr>
              <w:spacing w:after="0"/>
              <w:rPr>
                <w:sz w:val="4"/>
                <w:szCs w:val="4"/>
                <w:color w:val="auto"/>
              </w:rPr>
            </w:pPr>
          </w:p>
        </w:tc>
        <w:tc>
          <w:tcPr>
            <w:tcW w:w="2200" w:type="dxa"/>
            <w:vAlign w:val="bottom"/>
            <w:tcBorders>
              <w:bottom w:val="single" w:sz="8" w:color="D7282F"/>
            </w:tcBorders>
          </w:tcPr>
          <w:p>
            <w:pPr>
              <w:spacing w:after="0"/>
              <w:rPr>
                <w:sz w:val="4"/>
                <w:szCs w:val="4"/>
                <w:color w:val="auto"/>
              </w:rPr>
            </w:pPr>
          </w:p>
        </w:tc>
        <w:tc>
          <w:tcPr>
            <w:tcW w:w="2200" w:type="dxa"/>
            <w:vAlign w:val="bottom"/>
            <w:tcBorders>
              <w:bottom w:val="single" w:sz="8" w:color="D7282F"/>
            </w:tcBorders>
          </w:tcPr>
          <w:p>
            <w:pPr>
              <w:spacing w:after="0"/>
              <w:rPr>
                <w:sz w:val="4"/>
                <w:szCs w:val="4"/>
                <w:color w:val="auto"/>
              </w:rPr>
            </w:pPr>
          </w:p>
        </w:tc>
        <w:tc>
          <w:tcPr>
            <w:tcW w:w="1200" w:type="dxa"/>
            <w:vAlign w:val="bottom"/>
            <w:tcBorders>
              <w:bottom w:val="single" w:sz="8" w:color="D7282F"/>
            </w:tcBorders>
          </w:tcPr>
          <w:p>
            <w:pPr>
              <w:spacing w:after="0"/>
              <w:rPr>
                <w:sz w:val="4"/>
                <w:szCs w:val="4"/>
                <w:color w:val="auto"/>
              </w:rPr>
            </w:pPr>
          </w:p>
        </w:tc>
        <w:tc>
          <w:tcPr>
            <w:tcW w:w="20" w:type="dxa"/>
            <w:vAlign w:val="bottom"/>
          </w:tcPr>
          <w:p>
            <w:pPr>
              <w:spacing w:after="0"/>
              <w:rPr>
                <w:sz w:val="4"/>
                <w:szCs w:val="4"/>
                <w:color w:val="auto"/>
              </w:rPr>
            </w:pPr>
          </w:p>
        </w:tc>
      </w:tr>
      <w:tr>
        <w:trPr>
          <w:trHeight w:val="478"/>
        </w:trPr>
        <w:tc>
          <w:tcPr>
            <w:tcW w:w="8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400" w:type="dxa"/>
            <w:vAlign w:val="bottom"/>
            <w:gridSpan w:val="2"/>
          </w:tcPr>
          <w:p>
            <w:pPr>
              <w:ind w:left="1220"/>
              <w:spacing w:after="0"/>
              <w:rPr>
                <w:sz w:val="20"/>
                <w:szCs w:val="20"/>
                <w:color w:val="auto"/>
              </w:rPr>
            </w:pPr>
            <w:r>
              <w:rPr>
                <w:rFonts w:ascii="Arial" w:cs="Arial" w:eastAsia="Arial" w:hAnsi="Arial"/>
                <w:sz w:val="13"/>
                <w:szCs w:val="13"/>
                <w:b w:val="1"/>
                <w:bCs w:val="1"/>
                <w:color w:val="6D6E71"/>
              </w:rPr>
              <w:t>2024 NOTICE AND PROXY STATEMENT   |</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24"/>
                <w:szCs w:val="24"/>
                <w:color w:val="auto"/>
              </w:rPr>
            </w:pPr>
          </w:p>
        </w:tc>
      </w:tr>
      <w:tr>
        <w:trPr>
          <w:trHeight w:val="373"/>
        </w:trPr>
        <w:tc>
          <w:tcPr>
            <w:tcW w:w="8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6D6E71"/>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40" w:type="dxa"/>
            <w:vAlign w:val="bottom"/>
            <w:tcBorders>
              <w:top w:val="single" w:sz="8" w:color="D7282F"/>
            </w:tcBorders>
            <w:shd w:val="clear" w:color="auto" w:fill="D7282F"/>
          </w:tcPr>
          <w:p>
            <w:pPr>
              <w:jc w:val="center"/>
              <w:spacing w:after="0"/>
              <w:rPr>
                <w:sz w:val="20"/>
                <w:szCs w:val="20"/>
                <w:color w:val="auto"/>
              </w:rPr>
            </w:pPr>
            <w:r>
              <w:rPr>
                <w:rFonts w:ascii="Arial" w:cs="Arial" w:eastAsia="Arial" w:hAnsi="Arial"/>
                <w:sz w:val="17"/>
                <w:szCs w:val="17"/>
                <w:b w:val="1"/>
                <w:bCs w:val="1"/>
                <w:color w:val="FFFFFF"/>
              </w:rPr>
              <w:t>PROPOSAL</w:t>
            </w:r>
          </w:p>
        </w:tc>
        <w:tc>
          <w:tcPr>
            <w:tcW w:w="6800" w:type="dxa"/>
            <w:vAlign w:val="bottom"/>
            <w:tcBorders>
              <w:top w:val="single" w:sz="8" w:color="D7282F"/>
              <w:right w:val="single" w:sz="8" w:color="D7282F"/>
            </w:tcBorders>
          </w:tcPr>
          <w:p>
            <w:pPr>
              <w:ind w:left="140"/>
              <w:spacing w:after="0"/>
              <w:rPr>
                <w:sz w:val="20"/>
                <w:szCs w:val="20"/>
                <w:color w:val="auto"/>
              </w:rPr>
            </w:pPr>
            <w:r>
              <w:rPr>
                <w:rFonts w:ascii="Arial" w:cs="Arial" w:eastAsia="Arial" w:hAnsi="Arial"/>
                <w:sz w:val="25"/>
                <w:szCs w:val="25"/>
                <w:b w:val="1"/>
                <w:bCs w:val="1"/>
                <w:color w:val="auto"/>
              </w:rPr>
              <w:t>ELECTION OF DIRECTORS</w:t>
            </w:r>
          </w:p>
        </w:tc>
        <w:tc>
          <w:tcPr>
            <w:tcW w:w="2180" w:type="dxa"/>
            <w:vAlign w:val="bottom"/>
            <w:tcBorders>
              <w:top w:val="single" w:sz="8" w:color="D7282F"/>
            </w:tcBorders>
          </w:tcPr>
          <w:p>
            <w:pPr>
              <w:ind w:left="140"/>
              <w:spacing w:after="0"/>
              <w:rPr>
                <w:sz w:val="20"/>
                <w:szCs w:val="20"/>
                <w:color w:val="auto"/>
              </w:rPr>
            </w:pPr>
            <w:r>
              <w:rPr>
                <w:rFonts w:ascii="Arial" w:cs="Arial" w:eastAsia="Arial" w:hAnsi="Arial"/>
                <w:sz w:val="25"/>
                <w:szCs w:val="25"/>
                <w:b w:val="1"/>
                <w:bCs w:val="1"/>
                <w:color w:val="D7282F"/>
              </w:rPr>
              <w:t>FOR</w:t>
            </w:r>
          </w:p>
        </w:tc>
        <w:tc>
          <w:tcPr>
            <w:tcW w:w="0" w:type="dxa"/>
            <w:vAlign w:val="bottom"/>
          </w:tcPr>
          <w:p>
            <w:pPr>
              <w:spacing w:after="0"/>
              <w:rPr>
                <w:sz w:val="1"/>
                <w:szCs w:val="1"/>
                <w:color w:val="auto"/>
              </w:rPr>
            </w:pPr>
          </w:p>
        </w:tc>
      </w:tr>
      <w:tr>
        <w:trPr>
          <w:trHeight w:val="354"/>
        </w:trPr>
        <w:tc>
          <w:tcPr>
            <w:tcW w:w="2240" w:type="dxa"/>
            <w:vAlign w:val="bottom"/>
            <w:vMerge w:val="restart"/>
            <w:shd w:val="clear" w:color="auto" w:fill="D7282F"/>
          </w:tcPr>
          <w:p>
            <w:pPr>
              <w:jc w:val="right"/>
              <w:ind w:right="773"/>
              <w:spacing w:after="0"/>
              <w:rPr>
                <w:sz w:val="20"/>
                <w:szCs w:val="20"/>
                <w:color w:val="auto"/>
              </w:rPr>
            </w:pPr>
            <w:r>
              <w:rPr>
                <w:rFonts w:ascii="Arial" w:cs="Arial" w:eastAsia="Arial" w:hAnsi="Arial"/>
                <w:sz w:val="58"/>
                <w:szCs w:val="58"/>
                <w:b w:val="1"/>
                <w:bCs w:val="1"/>
                <w:color w:val="FFFFFF"/>
              </w:rPr>
              <w:t>1</w:t>
            </w:r>
          </w:p>
        </w:tc>
        <w:tc>
          <w:tcPr>
            <w:tcW w:w="6800" w:type="dxa"/>
            <w:vAlign w:val="bottom"/>
            <w:tcBorders>
              <w:right w:val="single" w:sz="8" w:color="D7282F"/>
            </w:tcBorders>
          </w:tcPr>
          <w:p>
            <w:pPr>
              <w:spacing w:after="0"/>
              <w:rPr>
                <w:sz w:val="24"/>
                <w:szCs w:val="24"/>
                <w:color w:val="auto"/>
              </w:rPr>
            </w:pPr>
          </w:p>
        </w:tc>
        <w:tc>
          <w:tcPr>
            <w:tcW w:w="2180" w:type="dxa"/>
            <w:vAlign w:val="bottom"/>
          </w:tcPr>
          <w:p>
            <w:pPr>
              <w:ind w:left="140"/>
              <w:spacing w:after="0"/>
              <w:rPr>
                <w:sz w:val="20"/>
                <w:szCs w:val="20"/>
                <w:color w:val="auto"/>
              </w:rPr>
            </w:pPr>
            <w:r>
              <w:rPr>
                <w:rFonts w:ascii="Arial" w:cs="Arial" w:eastAsia="Arial" w:hAnsi="Arial"/>
                <w:sz w:val="25"/>
                <w:szCs w:val="25"/>
                <w:b w:val="1"/>
                <w:bCs w:val="1"/>
                <w:color w:val="D7282F"/>
              </w:rPr>
              <w:t>each</w:t>
            </w:r>
          </w:p>
        </w:tc>
        <w:tc>
          <w:tcPr>
            <w:tcW w:w="0" w:type="dxa"/>
            <w:vAlign w:val="bottom"/>
          </w:tcPr>
          <w:p>
            <w:pPr>
              <w:spacing w:after="0"/>
              <w:rPr>
                <w:sz w:val="1"/>
                <w:szCs w:val="1"/>
                <w:color w:val="auto"/>
              </w:rPr>
            </w:pPr>
          </w:p>
        </w:tc>
      </w:tr>
      <w:tr>
        <w:trPr>
          <w:trHeight w:val="375"/>
        </w:trPr>
        <w:tc>
          <w:tcPr>
            <w:tcW w:w="2240" w:type="dxa"/>
            <w:vAlign w:val="bottom"/>
            <w:vMerge w:val="continue"/>
            <w:shd w:val="clear" w:color="auto" w:fill="D7282F"/>
          </w:tcPr>
          <w:p>
            <w:pPr>
              <w:spacing w:after="0"/>
              <w:rPr>
                <w:sz w:val="24"/>
                <w:szCs w:val="24"/>
                <w:color w:val="auto"/>
              </w:rPr>
            </w:pPr>
          </w:p>
        </w:tc>
        <w:tc>
          <w:tcPr>
            <w:tcW w:w="6800" w:type="dxa"/>
            <w:vAlign w:val="bottom"/>
            <w:tcBorders>
              <w:right w:val="single" w:sz="8" w:color="D7282F"/>
            </w:tcBorders>
          </w:tcPr>
          <w:p>
            <w:pPr>
              <w:spacing w:after="0"/>
              <w:rPr>
                <w:sz w:val="24"/>
                <w:szCs w:val="24"/>
                <w:color w:val="auto"/>
              </w:rPr>
            </w:pPr>
          </w:p>
        </w:tc>
        <w:tc>
          <w:tcPr>
            <w:tcW w:w="2180" w:type="dxa"/>
            <w:vAlign w:val="bottom"/>
          </w:tcPr>
          <w:p>
            <w:pPr>
              <w:ind w:left="140"/>
              <w:spacing w:after="0"/>
              <w:rPr>
                <w:sz w:val="20"/>
                <w:szCs w:val="20"/>
                <w:color w:val="auto"/>
              </w:rPr>
            </w:pPr>
            <w:r>
              <w:rPr>
                <w:rFonts w:ascii="Arial" w:cs="Arial" w:eastAsia="Arial" w:hAnsi="Arial"/>
                <w:sz w:val="25"/>
                <w:szCs w:val="25"/>
                <w:b w:val="1"/>
                <w:bCs w:val="1"/>
                <w:color w:val="D7282F"/>
              </w:rPr>
              <w:t>nominee</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340" w:hanging="184"/>
        <w:spacing w:after="0"/>
        <w:tabs>
          <w:tab w:leader="none" w:pos="340" w:val="left"/>
        </w:tabs>
        <w:numPr>
          <w:ilvl w:val="0"/>
          <w:numId w:val="13"/>
        </w:numPr>
        <w:rPr>
          <w:rFonts w:ascii="Arial" w:cs="Arial" w:eastAsia="Arial" w:hAnsi="Arial"/>
          <w:sz w:val="16"/>
          <w:szCs w:val="16"/>
          <w:b w:val="1"/>
          <w:bCs w:val="1"/>
          <w:color w:val="D7282F"/>
        </w:rPr>
      </w:pPr>
      <w:r>
        <w:rPr>
          <w:rFonts w:ascii="Arial" w:cs="Arial" w:eastAsia="Arial" w:hAnsi="Arial"/>
          <w:sz w:val="16"/>
          <w:szCs w:val="16"/>
          <w:color w:val="auto"/>
        </w:rPr>
        <w:t>Elect the 12 director nominees identified below, each for a term of one year.</w:t>
      </w:r>
    </w:p>
    <w:p>
      <w:pPr>
        <w:spacing w:after="0" w:line="72" w:lineRule="exact"/>
        <w:rPr>
          <w:rFonts w:ascii="Arial" w:cs="Arial" w:eastAsia="Arial" w:hAnsi="Arial"/>
          <w:sz w:val="16"/>
          <w:szCs w:val="16"/>
          <w:b w:val="1"/>
          <w:bCs w:val="1"/>
          <w:color w:val="D7282F"/>
        </w:rPr>
      </w:pPr>
    </w:p>
    <w:p>
      <w:pPr>
        <w:ind w:left="360" w:right="500" w:hanging="204"/>
        <w:spacing w:after="0" w:line="248" w:lineRule="auto"/>
        <w:tabs>
          <w:tab w:leader="none" w:pos="357" w:val="left"/>
        </w:tabs>
        <w:numPr>
          <w:ilvl w:val="0"/>
          <w:numId w:val="13"/>
        </w:numPr>
        <w:rPr>
          <w:rFonts w:ascii="Arial" w:cs="Arial" w:eastAsia="Arial" w:hAnsi="Arial"/>
          <w:sz w:val="16"/>
          <w:szCs w:val="16"/>
          <w:b w:val="1"/>
          <w:bCs w:val="1"/>
          <w:color w:val="D7282F"/>
        </w:rPr>
      </w:pPr>
      <w:r>
        <w:rPr>
          <w:rFonts w:ascii="Arial" w:cs="Arial" w:eastAsia="Arial" w:hAnsi="Arial"/>
          <w:sz w:val="16"/>
          <w:szCs w:val="16"/>
          <w:color w:val="auto"/>
        </w:rPr>
        <w:t>Nominees were individually and collectively assessed against a Board Skillset Matrix that identifies the key strategic skills and core competencies deemed necessary to oversee the Company's current strategy. Director slate reflects highly independent and diverse Board, with the range of perspectives and values needed to enable effective oversight.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b w:val="1"/>
                <w:bCs w:val="1"/>
                <w:color w:val="auto"/>
              </w:rPr>
              <w:t>No. of Current Public</w:t>
            </w:r>
          </w:p>
        </w:tc>
        <w:tc>
          <w:tcPr>
            <w:tcW w:w="2580" w:type="dxa"/>
            <w:vAlign w:val="bottom"/>
            <w:tcBorders>
              <w:right w:val="single" w:sz="8" w:color="D7282F"/>
            </w:tcBorders>
            <w:gridSpan w:val="3"/>
          </w:tcPr>
          <w:p>
            <w:pPr>
              <w:jc w:val="center"/>
              <w:spacing w:after="0"/>
              <w:rPr>
                <w:sz w:val="20"/>
                <w:szCs w:val="20"/>
                <w:color w:val="auto"/>
              </w:rPr>
            </w:pPr>
            <w:r>
              <w:rPr>
                <w:rFonts w:ascii="Arial" w:cs="Arial" w:eastAsia="Arial" w:hAnsi="Arial"/>
                <w:sz w:val="14"/>
                <w:szCs w:val="14"/>
                <w:b w:val="1"/>
                <w:bCs w:val="1"/>
                <w:color w:val="auto"/>
              </w:rPr>
              <w:t>Committee Memberships</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3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160" w:type="dxa"/>
            <w:vAlign w:val="bottom"/>
            <w:tcBorders>
              <w:right w:val="single" w:sz="8" w:color="D7282F"/>
            </w:tcBorders>
            <w:vMerge w:val="continue"/>
          </w:tcPr>
          <w:p>
            <w:pPr>
              <w:spacing w:after="0"/>
              <w:rPr>
                <w:sz w:val="7"/>
                <w:szCs w:val="7"/>
                <w:color w:val="auto"/>
              </w:rPr>
            </w:pPr>
          </w:p>
        </w:tc>
        <w:tc>
          <w:tcPr>
            <w:tcW w:w="2580" w:type="dxa"/>
            <w:vAlign w:val="bottom"/>
            <w:tcBorders>
              <w:right w:val="single" w:sz="8" w:color="D7282F"/>
            </w:tcBorders>
            <w:gridSpan w:val="3"/>
            <w:vMerge w:val="restart"/>
          </w:tcPr>
          <w:p>
            <w:pPr>
              <w:jc w:val="center"/>
              <w:spacing w:after="0"/>
              <w:rPr>
                <w:sz w:val="20"/>
                <w:szCs w:val="20"/>
                <w:color w:val="auto"/>
              </w:rPr>
            </w:pPr>
            <w:r>
              <w:rPr>
                <w:rFonts w:ascii="Arial" w:cs="Arial" w:eastAsia="Arial" w:hAnsi="Arial"/>
                <w:sz w:val="14"/>
                <w:szCs w:val="14"/>
                <w:b w:val="1"/>
                <w:bCs w:val="1"/>
                <w:color w:val="auto"/>
              </w:rPr>
              <w:t>(As of May 14, 2024)</w:t>
            </w:r>
          </w:p>
        </w:tc>
        <w:tc>
          <w:tcPr>
            <w:tcW w:w="0" w:type="dxa"/>
            <w:vAlign w:val="bottom"/>
          </w:tcPr>
          <w:p>
            <w:pPr>
              <w:spacing w:after="0"/>
              <w:rPr>
                <w:sz w:val="1"/>
                <w:szCs w:val="1"/>
                <w:color w:val="auto"/>
              </w:rPr>
            </w:pPr>
          </w:p>
        </w:tc>
      </w:tr>
      <w:tr>
        <w:trPr>
          <w:trHeight w:val="129"/>
        </w:trPr>
        <w:tc>
          <w:tcPr>
            <w:tcW w:w="10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Years of</w:t>
            </w:r>
          </w:p>
        </w:tc>
        <w:tc>
          <w:tcPr>
            <w:tcW w:w="1300" w:type="dxa"/>
            <w:vAlign w:val="bottom"/>
          </w:tcPr>
          <w:p>
            <w:pPr>
              <w:spacing w:after="0"/>
              <w:rPr>
                <w:sz w:val="10"/>
                <w:szCs w:val="10"/>
                <w:color w:val="auto"/>
              </w:rPr>
            </w:pPr>
          </w:p>
        </w:tc>
        <w:tc>
          <w:tcPr>
            <w:tcW w:w="2160" w:type="dxa"/>
            <w:vAlign w:val="bottom"/>
            <w:tcBorders>
              <w:right w:val="single" w:sz="8" w:color="D7282F"/>
            </w:tcBorders>
          </w:tcPr>
          <w:p>
            <w:pPr>
              <w:jc w:val="center"/>
              <w:spacing w:after="0" w:line="125" w:lineRule="exact"/>
              <w:rPr>
                <w:sz w:val="20"/>
                <w:szCs w:val="20"/>
                <w:color w:val="auto"/>
              </w:rPr>
            </w:pPr>
            <w:r>
              <w:rPr>
                <w:rFonts w:ascii="Arial" w:cs="Arial" w:eastAsia="Arial" w:hAnsi="Arial"/>
                <w:sz w:val="14"/>
                <w:szCs w:val="14"/>
                <w:b w:val="1"/>
                <w:bCs w:val="1"/>
                <w:color w:val="auto"/>
              </w:rPr>
              <w:t>Company Boards</w:t>
            </w:r>
          </w:p>
        </w:tc>
        <w:tc>
          <w:tcPr>
            <w:tcW w:w="2580" w:type="dxa"/>
            <w:vAlign w:val="bottom"/>
            <w:tcBorders>
              <w:bottom w:val="single" w:sz="8" w:color="D7282F"/>
              <w:right w:val="single" w:sz="8" w:color="D7282F"/>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D7282F"/>
            </w:tcBorders>
            <w:gridSpan w:val="2"/>
          </w:tcPr>
          <w:p>
            <w:pPr>
              <w:ind w:left="20"/>
              <w:spacing w:after="0"/>
              <w:rPr>
                <w:sz w:val="20"/>
                <w:szCs w:val="20"/>
                <w:color w:val="auto"/>
              </w:rPr>
            </w:pPr>
            <w:r>
              <w:rPr>
                <w:rFonts w:ascii="Arial" w:cs="Arial" w:eastAsia="Arial" w:hAnsi="Arial"/>
                <w:sz w:val="14"/>
                <w:szCs w:val="14"/>
                <w:b w:val="1"/>
                <w:bCs w:val="1"/>
                <w:color w:val="auto"/>
              </w:rPr>
              <w:t>Director Nominee</w:t>
            </w:r>
          </w:p>
        </w:tc>
        <w:tc>
          <w:tcPr>
            <w:tcW w:w="9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Service</w:t>
            </w:r>
          </w:p>
        </w:tc>
        <w:tc>
          <w:tcPr>
            <w:tcW w:w="13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Independent</w:t>
            </w:r>
          </w:p>
        </w:tc>
        <w:tc>
          <w:tcPr>
            <w:tcW w:w="2160" w:type="dxa"/>
            <w:vAlign w:val="bottom"/>
            <w:tcBorders>
              <w:bottom w:val="single" w:sz="8" w:color="D7282F"/>
              <w:right w:val="single" w:sz="8" w:color="D7282F"/>
            </w:tcBorders>
          </w:tcPr>
          <w:p>
            <w:pPr>
              <w:jc w:val="center"/>
              <w:spacing w:after="0"/>
              <w:rPr>
                <w:sz w:val="20"/>
                <w:szCs w:val="20"/>
                <w:color w:val="auto"/>
              </w:rPr>
            </w:pPr>
            <w:r>
              <w:rPr>
                <w:rFonts w:ascii="Arial" w:cs="Arial" w:eastAsia="Arial" w:hAnsi="Arial"/>
                <w:sz w:val="14"/>
                <w:szCs w:val="14"/>
                <w:b w:val="1"/>
                <w:bCs w:val="1"/>
                <w:color w:val="auto"/>
              </w:rPr>
              <w:t>(Including Honeywell)</w:t>
            </w:r>
          </w:p>
        </w:tc>
        <w:tc>
          <w:tcPr>
            <w:tcW w:w="860" w:type="dxa"/>
            <w:vAlign w:val="bottom"/>
            <w:tcBorders>
              <w:bottom w:val="single" w:sz="8" w:color="D7282F"/>
              <w:right w:val="single" w:sz="8" w:color="939598"/>
            </w:tcBorders>
          </w:tcPr>
          <w:p>
            <w:pPr>
              <w:jc w:val="center"/>
              <w:spacing w:after="0"/>
              <w:rPr>
                <w:sz w:val="20"/>
                <w:szCs w:val="20"/>
                <w:color w:val="auto"/>
              </w:rPr>
            </w:pPr>
            <w:r>
              <w:rPr>
                <w:rFonts w:ascii="Arial" w:cs="Arial" w:eastAsia="Arial" w:hAnsi="Arial"/>
                <w:sz w:val="14"/>
                <w:szCs w:val="14"/>
                <w:b w:val="1"/>
                <w:bCs w:val="1"/>
                <w:color w:val="auto"/>
              </w:rPr>
              <w:t>Audit</w:t>
            </w:r>
          </w:p>
        </w:tc>
        <w:tc>
          <w:tcPr>
            <w:tcW w:w="860" w:type="dxa"/>
            <w:vAlign w:val="bottom"/>
            <w:tcBorders>
              <w:bottom w:val="single" w:sz="8" w:color="D7282F"/>
              <w:right w:val="single" w:sz="8" w:color="939598"/>
            </w:tcBorders>
          </w:tcPr>
          <w:p>
            <w:pPr>
              <w:jc w:val="center"/>
              <w:spacing w:after="0"/>
              <w:rPr>
                <w:sz w:val="20"/>
                <w:szCs w:val="20"/>
                <w:color w:val="auto"/>
              </w:rPr>
            </w:pPr>
            <w:r>
              <w:rPr>
                <w:rFonts w:ascii="Arial" w:cs="Arial" w:eastAsia="Arial" w:hAnsi="Arial"/>
                <w:sz w:val="14"/>
                <w:szCs w:val="14"/>
                <w:b w:val="1"/>
                <w:bCs w:val="1"/>
                <w:color w:val="auto"/>
              </w:rPr>
              <w:t>CGRC</w:t>
            </w:r>
          </w:p>
        </w:tc>
        <w:tc>
          <w:tcPr>
            <w:tcW w:w="860" w:type="dxa"/>
            <w:vAlign w:val="bottom"/>
            <w:tcBorders>
              <w:bottom w:val="single" w:sz="8" w:color="D7282F"/>
              <w:right w:val="single" w:sz="8" w:color="D7282F"/>
            </w:tcBorders>
          </w:tcPr>
          <w:p>
            <w:pPr>
              <w:jc w:val="center"/>
              <w:spacing w:after="0"/>
              <w:rPr>
                <w:sz w:val="20"/>
                <w:szCs w:val="20"/>
                <w:color w:val="auto"/>
              </w:rPr>
            </w:pPr>
            <w:r>
              <w:rPr>
                <w:rFonts w:ascii="Arial" w:cs="Arial" w:eastAsia="Arial" w:hAnsi="Arial"/>
                <w:sz w:val="14"/>
                <w:szCs w:val="14"/>
                <w:b w:val="1"/>
                <w:bCs w:val="1"/>
                <w:color w:val="auto"/>
              </w:rPr>
              <w:t>MDCC</w:t>
            </w:r>
          </w:p>
        </w:tc>
        <w:tc>
          <w:tcPr>
            <w:tcW w:w="0" w:type="dxa"/>
            <w:vAlign w:val="bottom"/>
          </w:tcPr>
          <w:p>
            <w:pPr>
              <w:spacing w:after="0"/>
              <w:rPr>
                <w:sz w:val="1"/>
                <w:szCs w:val="1"/>
                <w:color w:val="auto"/>
              </w:rPr>
            </w:pPr>
          </w:p>
        </w:tc>
      </w:tr>
      <w:tr>
        <w:trPr>
          <w:trHeight w:val="355"/>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Darius Adamczyk</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Executive Chairman</w:t>
            </w:r>
            <w:r>
              <w:rPr>
                <w:rFonts w:ascii="Arial" w:cs="Arial" w:eastAsia="Arial" w:hAnsi="Arial"/>
                <w:sz w:val="9"/>
                <w:szCs w:val="9"/>
                <w:color w:val="auto"/>
              </w:rPr>
              <w:t>(1)</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7</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No</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2</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Honeywell International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60" w:type="dxa"/>
            <w:vAlign w:val="bottom"/>
            <w:tcBorders>
              <w:bottom w:val="single" w:sz="8" w:color="939598"/>
              <w:right w:val="single" w:sz="8" w:color="939598"/>
            </w:tcBorders>
          </w:tcPr>
          <w:p>
            <w:pPr>
              <w:spacing w:after="0"/>
              <w:rPr>
                <w:sz w:val="18"/>
                <w:szCs w:val="18"/>
                <w:color w:val="auto"/>
              </w:rPr>
            </w:pPr>
          </w:p>
        </w:tc>
        <w:tc>
          <w:tcPr>
            <w:tcW w:w="3160" w:type="dxa"/>
            <w:vAlign w:val="bottom"/>
            <w:tcBorders>
              <w:bottom w:val="single" w:sz="8" w:color="939598"/>
              <w:right w:val="single" w:sz="8" w:color="939598"/>
            </w:tcBorders>
          </w:tcPr>
          <w:p>
            <w:pPr>
              <w:spacing w:after="0"/>
              <w:rPr>
                <w:sz w:val="18"/>
                <w:szCs w:val="18"/>
                <w:color w:val="auto"/>
              </w:rPr>
            </w:pPr>
          </w:p>
        </w:tc>
        <w:tc>
          <w:tcPr>
            <w:tcW w:w="980" w:type="dxa"/>
            <w:vAlign w:val="bottom"/>
            <w:tcBorders>
              <w:bottom w:val="single" w:sz="8" w:color="939598"/>
              <w:right w:val="single" w:sz="8" w:color="939598"/>
            </w:tcBorders>
          </w:tcPr>
          <w:p>
            <w:pPr>
              <w:spacing w:after="0"/>
              <w:rPr>
                <w:sz w:val="18"/>
                <w:szCs w:val="18"/>
                <w:color w:val="auto"/>
              </w:rPr>
            </w:pPr>
          </w:p>
        </w:tc>
        <w:tc>
          <w:tcPr>
            <w:tcW w:w="1300" w:type="dxa"/>
            <w:vAlign w:val="bottom"/>
            <w:tcBorders>
              <w:bottom w:val="single" w:sz="8" w:color="939598"/>
              <w:right w:val="single" w:sz="8" w:color="939598"/>
            </w:tcBorders>
          </w:tcPr>
          <w:p>
            <w:pPr>
              <w:spacing w:after="0"/>
              <w:rPr>
                <w:sz w:val="18"/>
                <w:szCs w:val="18"/>
                <w:color w:val="auto"/>
              </w:rPr>
            </w:pPr>
          </w:p>
        </w:tc>
        <w:tc>
          <w:tcPr>
            <w:tcW w:w="2160" w:type="dxa"/>
            <w:vAlign w:val="bottom"/>
            <w:tcBorders>
              <w:bottom w:val="single" w:sz="8" w:color="939598"/>
              <w:right w:val="single" w:sz="8" w:color="D7282F"/>
            </w:tcBorders>
          </w:tcPr>
          <w:p>
            <w:pPr>
              <w:spacing w:after="0"/>
              <w:rPr>
                <w:sz w:val="18"/>
                <w:szCs w:val="18"/>
                <w:color w:val="auto"/>
              </w:rPr>
            </w:pPr>
          </w:p>
        </w:tc>
        <w:tc>
          <w:tcPr>
            <w:tcW w:w="860" w:type="dxa"/>
            <w:vAlign w:val="bottom"/>
            <w:tcBorders>
              <w:bottom w:val="single" w:sz="8" w:color="939598"/>
              <w:right w:val="single" w:sz="8" w:color="939598"/>
            </w:tcBorders>
          </w:tcPr>
          <w:p>
            <w:pPr>
              <w:spacing w:after="0"/>
              <w:rPr>
                <w:sz w:val="18"/>
                <w:szCs w:val="18"/>
                <w:color w:val="auto"/>
              </w:rPr>
            </w:pPr>
          </w:p>
        </w:tc>
        <w:tc>
          <w:tcPr>
            <w:tcW w:w="860" w:type="dxa"/>
            <w:vAlign w:val="bottom"/>
            <w:tcBorders>
              <w:bottom w:val="single" w:sz="8" w:color="939598"/>
              <w:right w:val="single" w:sz="8" w:color="939598"/>
            </w:tcBorders>
          </w:tcPr>
          <w:p>
            <w:pPr>
              <w:spacing w:after="0"/>
              <w:rPr>
                <w:sz w:val="18"/>
                <w:szCs w:val="18"/>
                <w:color w:val="auto"/>
              </w:rPr>
            </w:pPr>
          </w:p>
        </w:tc>
        <w:tc>
          <w:tcPr>
            <w:tcW w:w="860" w:type="dxa"/>
            <w:vAlign w:val="bottom"/>
            <w:tcBorders>
              <w:bottom w:val="single" w:sz="8" w:color="939598"/>
              <w:right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Duncan B. Angove</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0" w:type="dxa"/>
            <w:vAlign w:val="bottom"/>
          </w:tcPr>
          <w:p>
            <w:pPr>
              <w:spacing w:after="0"/>
              <w:rPr>
                <w:sz w:val="1"/>
                <w:szCs w:val="1"/>
                <w:color w:val="auto"/>
              </w:rPr>
            </w:pPr>
          </w:p>
        </w:tc>
      </w:tr>
      <w:tr>
        <w:trPr>
          <w:trHeight w:val="185"/>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CEO</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6</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vMerge w:val="continue"/>
          </w:tcPr>
          <w:p>
            <w:pPr>
              <w:spacing w:after="0"/>
              <w:rPr>
                <w:sz w:val="16"/>
                <w:szCs w:val="16"/>
                <w:color w:val="auto"/>
              </w:rPr>
            </w:pPr>
          </w:p>
        </w:tc>
        <w:tc>
          <w:tcPr>
            <w:tcW w:w="860" w:type="dxa"/>
            <w:vAlign w:val="bottom"/>
            <w:tcBorders>
              <w:right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Blue Yonder Group,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60" w:type="dxa"/>
            <w:vAlign w:val="bottom"/>
            <w:tcBorders>
              <w:bottom w:val="single" w:sz="8" w:color="939598"/>
              <w:right w:val="single" w:sz="8" w:color="939598"/>
            </w:tcBorders>
          </w:tcPr>
          <w:p>
            <w:pPr>
              <w:spacing w:after="0"/>
              <w:rPr>
                <w:sz w:val="17"/>
                <w:szCs w:val="17"/>
                <w:color w:val="auto"/>
              </w:rPr>
            </w:pPr>
          </w:p>
        </w:tc>
        <w:tc>
          <w:tcPr>
            <w:tcW w:w="3160" w:type="dxa"/>
            <w:vAlign w:val="bottom"/>
            <w:tcBorders>
              <w:bottom w:val="single" w:sz="8" w:color="939598"/>
              <w:right w:val="single" w:sz="8" w:color="939598"/>
            </w:tcBorders>
          </w:tcPr>
          <w:p>
            <w:pPr>
              <w:spacing w:after="0"/>
              <w:rPr>
                <w:sz w:val="17"/>
                <w:szCs w:val="17"/>
                <w:color w:val="auto"/>
              </w:rPr>
            </w:pPr>
          </w:p>
        </w:tc>
        <w:tc>
          <w:tcPr>
            <w:tcW w:w="980" w:type="dxa"/>
            <w:vAlign w:val="bottom"/>
            <w:tcBorders>
              <w:bottom w:val="single" w:sz="8" w:color="939598"/>
              <w:right w:val="single" w:sz="8" w:color="939598"/>
            </w:tcBorders>
          </w:tcPr>
          <w:p>
            <w:pPr>
              <w:spacing w:after="0"/>
              <w:rPr>
                <w:sz w:val="17"/>
                <w:szCs w:val="17"/>
                <w:color w:val="auto"/>
              </w:rPr>
            </w:pPr>
          </w:p>
        </w:tc>
        <w:tc>
          <w:tcPr>
            <w:tcW w:w="1300" w:type="dxa"/>
            <w:vAlign w:val="bottom"/>
            <w:tcBorders>
              <w:bottom w:val="single" w:sz="8" w:color="939598"/>
              <w:right w:val="single" w:sz="8" w:color="939598"/>
            </w:tcBorders>
          </w:tcPr>
          <w:p>
            <w:pPr>
              <w:spacing w:after="0"/>
              <w:rPr>
                <w:sz w:val="17"/>
                <w:szCs w:val="17"/>
                <w:color w:val="auto"/>
              </w:rPr>
            </w:pPr>
          </w:p>
        </w:tc>
        <w:tc>
          <w:tcPr>
            <w:tcW w:w="2160" w:type="dxa"/>
            <w:vAlign w:val="bottom"/>
            <w:tcBorders>
              <w:bottom w:val="single" w:sz="8" w:color="939598"/>
              <w:right w:val="single" w:sz="8" w:color="D7282F"/>
            </w:tcBorders>
          </w:tcPr>
          <w:p>
            <w:pPr>
              <w:spacing w:after="0"/>
              <w:rPr>
                <w:sz w:val="17"/>
                <w:szCs w:val="17"/>
                <w:color w:val="auto"/>
              </w:rPr>
            </w:pPr>
          </w:p>
        </w:tc>
        <w:tc>
          <w:tcPr>
            <w:tcW w:w="860" w:type="dxa"/>
            <w:vAlign w:val="bottom"/>
            <w:tcBorders>
              <w:bottom w:val="single" w:sz="8" w:color="939598"/>
              <w:right w:val="single" w:sz="8" w:color="939598"/>
            </w:tcBorders>
          </w:tcPr>
          <w:p>
            <w:pPr>
              <w:spacing w:after="0"/>
              <w:rPr>
                <w:sz w:val="17"/>
                <w:szCs w:val="17"/>
                <w:color w:val="auto"/>
              </w:rPr>
            </w:pPr>
          </w:p>
        </w:tc>
        <w:tc>
          <w:tcPr>
            <w:tcW w:w="860" w:type="dxa"/>
            <w:vAlign w:val="bottom"/>
            <w:tcBorders>
              <w:bottom w:val="single" w:sz="8" w:color="939598"/>
              <w:right w:val="single" w:sz="8" w:color="939598"/>
            </w:tcBorders>
          </w:tcPr>
          <w:p>
            <w:pPr>
              <w:spacing w:after="0"/>
              <w:rPr>
                <w:sz w:val="17"/>
                <w:szCs w:val="17"/>
                <w:color w:val="auto"/>
              </w:rPr>
            </w:pPr>
          </w:p>
        </w:tc>
        <w:tc>
          <w:tcPr>
            <w:tcW w:w="860" w:type="dxa"/>
            <w:vAlign w:val="bottom"/>
            <w:tcBorders>
              <w:bottom w:val="single" w:sz="8" w:color="939598"/>
              <w:right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1060" w:type="dxa"/>
            <w:vAlign w:val="bottom"/>
            <w:tcBorders>
              <w:right w:val="single" w:sz="8" w:color="939598"/>
            </w:tcBorders>
          </w:tcPr>
          <w:p>
            <w:pPr>
              <w:spacing w:after="0"/>
              <w:rPr>
                <w:sz w:val="23"/>
                <w:szCs w:val="23"/>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William S. Ayer</w:t>
            </w:r>
          </w:p>
        </w:tc>
        <w:tc>
          <w:tcPr>
            <w:tcW w:w="980" w:type="dxa"/>
            <w:vAlign w:val="bottom"/>
            <w:tcBorders>
              <w:right w:val="single" w:sz="8" w:color="939598"/>
            </w:tcBorders>
          </w:tcPr>
          <w:p>
            <w:pPr>
              <w:spacing w:after="0"/>
              <w:rPr>
                <w:sz w:val="23"/>
                <w:szCs w:val="23"/>
                <w:color w:val="auto"/>
              </w:rPr>
            </w:pPr>
          </w:p>
        </w:tc>
        <w:tc>
          <w:tcPr>
            <w:tcW w:w="1300" w:type="dxa"/>
            <w:vAlign w:val="bottom"/>
            <w:tcBorders>
              <w:right w:val="single" w:sz="8" w:color="939598"/>
            </w:tcBorders>
          </w:tcPr>
          <w:p>
            <w:pPr>
              <w:spacing w:after="0"/>
              <w:rPr>
                <w:sz w:val="23"/>
                <w:szCs w:val="23"/>
                <w:color w:val="auto"/>
              </w:rPr>
            </w:pPr>
          </w:p>
        </w:tc>
        <w:tc>
          <w:tcPr>
            <w:tcW w:w="2160" w:type="dxa"/>
            <w:vAlign w:val="bottom"/>
            <w:tcBorders>
              <w:right w:val="single" w:sz="8" w:color="D7282F"/>
            </w:tcBorders>
          </w:tcPr>
          <w:p>
            <w:pPr>
              <w:spacing w:after="0"/>
              <w:rPr>
                <w:sz w:val="23"/>
                <w:szCs w:val="23"/>
                <w:color w:val="auto"/>
              </w:rPr>
            </w:pPr>
          </w:p>
        </w:tc>
        <w:tc>
          <w:tcPr>
            <w:tcW w:w="860" w:type="dxa"/>
            <w:vAlign w:val="bottom"/>
            <w:tcBorders>
              <w:right w:val="single" w:sz="8" w:color="939598"/>
            </w:tcBorders>
          </w:tcPr>
          <w:p>
            <w:pPr>
              <w:spacing w:after="0"/>
              <w:rPr>
                <w:sz w:val="23"/>
                <w:szCs w:val="23"/>
                <w:color w:val="auto"/>
              </w:rPr>
            </w:pPr>
          </w:p>
        </w:tc>
        <w:tc>
          <w:tcPr>
            <w:tcW w:w="860" w:type="dxa"/>
            <w:vAlign w:val="bottom"/>
            <w:tcBorders>
              <w:right w:val="single" w:sz="8" w:color="939598"/>
            </w:tcBorders>
          </w:tcPr>
          <w:p>
            <w:pPr>
              <w:spacing w:after="0"/>
              <w:rPr>
                <w:sz w:val="23"/>
                <w:szCs w:val="23"/>
                <w:color w:val="auto"/>
              </w:rPr>
            </w:pPr>
          </w:p>
        </w:tc>
        <w:tc>
          <w:tcPr>
            <w:tcW w:w="860" w:type="dxa"/>
            <w:vAlign w:val="bottom"/>
            <w:tcBorders>
              <w:right w:val="single" w:sz="8" w:color="D7282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(Incoming Lead Director)</w:t>
            </w:r>
          </w:p>
        </w:tc>
        <w:tc>
          <w:tcPr>
            <w:tcW w:w="98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rPr>
              <w:t>9</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jc w:val="center"/>
              <w:spacing w:after="0"/>
              <w:rPr>
                <w:sz w:val="20"/>
                <w:szCs w:val="20"/>
                <w:color w:val="auto"/>
              </w:rPr>
            </w:pPr>
            <w:r>
              <w:rPr>
                <w:rFonts w:ascii="Arial" w:cs="Arial" w:eastAsia="Arial" w:hAnsi="Arial"/>
                <w:sz w:val="14"/>
                <w:szCs w:val="14"/>
                <w:i w:val="1"/>
                <w:iCs w:val="1"/>
                <w:color w:val="auto"/>
                <w:w w:val="94"/>
              </w:rPr>
              <w:t>ex</w:t>
            </w: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D7282F"/>
              </w:rPr>
              <w:t>n</w:t>
            </w:r>
          </w:p>
        </w:tc>
        <w:tc>
          <w:tcPr>
            <w:tcW w:w="860" w:type="dxa"/>
            <w:vAlign w:val="bottom"/>
            <w:tcBorders>
              <w:right w:val="single" w:sz="8" w:color="D7282F"/>
            </w:tcBorders>
          </w:tcPr>
          <w:p>
            <w:pPr>
              <w:jc w:val="center"/>
              <w:spacing w:after="0"/>
              <w:rPr>
                <w:sz w:val="20"/>
                <w:szCs w:val="20"/>
                <w:color w:val="auto"/>
              </w:rPr>
            </w:pPr>
            <w:r>
              <w:rPr>
                <w:rFonts w:ascii="Arial" w:cs="Arial" w:eastAsia="Arial" w:hAnsi="Arial"/>
                <w:sz w:val="14"/>
                <w:szCs w:val="14"/>
                <w:i w:val="1"/>
                <w:iCs w:val="1"/>
                <w:color w:val="auto"/>
              </w:rPr>
              <w:t>ex</w:t>
            </w:r>
          </w:p>
        </w:tc>
        <w:tc>
          <w:tcPr>
            <w:tcW w:w="0" w:type="dxa"/>
            <w:vAlign w:val="bottom"/>
          </w:tcPr>
          <w:p>
            <w:pPr>
              <w:spacing w:after="0"/>
              <w:rPr>
                <w:sz w:val="1"/>
                <w:szCs w:val="1"/>
                <w:color w:val="auto"/>
              </w:rPr>
            </w:pPr>
          </w:p>
        </w:tc>
      </w:tr>
      <w:tr>
        <w:trPr>
          <w:trHeight w:val="176"/>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Retired Chairman and CEO</w:t>
            </w:r>
          </w:p>
        </w:tc>
        <w:tc>
          <w:tcPr>
            <w:tcW w:w="980" w:type="dxa"/>
            <w:vAlign w:val="bottom"/>
            <w:tcBorders>
              <w:right w:val="single" w:sz="8" w:color="939598"/>
            </w:tcBorders>
            <w:vMerge w:val="continue"/>
          </w:tcPr>
          <w:p>
            <w:pPr>
              <w:spacing w:after="0"/>
              <w:rPr>
                <w:sz w:val="15"/>
                <w:szCs w:val="15"/>
                <w:color w:val="auto"/>
              </w:rPr>
            </w:pPr>
          </w:p>
        </w:tc>
        <w:tc>
          <w:tcPr>
            <w:tcW w:w="1300" w:type="dxa"/>
            <w:vAlign w:val="bottom"/>
            <w:tcBorders>
              <w:right w:val="single" w:sz="8" w:color="939598"/>
            </w:tcBorders>
            <w:vMerge w:val="continue"/>
          </w:tcPr>
          <w:p>
            <w:pPr>
              <w:spacing w:after="0"/>
              <w:rPr>
                <w:sz w:val="15"/>
                <w:szCs w:val="15"/>
                <w:color w:val="auto"/>
              </w:rPr>
            </w:pPr>
          </w:p>
        </w:tc>
        <w:tc>
          <w:tcPr>
            <w:tcW w:w="2160" w:type="dxa"/>
            <w:vAlign w:val="bottom"/>
            <w:tcBorders>
              <w:right w:val="single" w:sz="8" w:color="D7282F"/>
            </w:tcBorders>
            <w:vMerge w:val="continue"/>
          </w:tcPr>
          <w:p>
            <w:pPr>
              <w:spacing w:after="0"/>
              <w:rPr>
                <w:sz w:val="15"/>
                <w:szCs w:val="15"/>
                <w:color w:val="auto"/>
              </w:rPr>
            </w:pPr>
          </w:p>
        </w:tc>
        <w:tc>
          <w:tcPr>
            <w:tcW w:w="860" w:type="dxa"/>
            <w:vAlign w:val="bottom"/>
            <w:tcBorders>
              <w:right w:val="single" w:sz="8" w:color="939598"/>
            </w:tcBorders>
          </w:tcPr>
          <w:p>
            <w:pPr>
              <w:jc w:val="center"/>
              <w:spacing w:after="0"/>
              <w:rPr>
                <w:sz w:val="20"/>
                <w:szCs w:val="20"/>
                <w:color w:val="auto"/>
              </w:rPr>
            </w:pPr>
            <w:r>
              <w:rPr>
                <w:rFonts w:ascii="Arial" w:cs="Arial" w:eastAsia="Arial" w:hAnsi="Arial"/>
                <w:sz w:val="14"/>
                <w:szCs w:val="14"/>
                <w:i w:val="1"/>
                <w:iCs w:val="1"/>
                <w:color w:val="auto"/>
              </w:rPr>
              <w:t>officio</w:t>
            </w: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D7282F"/>
            </w:tcBorders>
          </w:tcPr>
          <w:p>
            <w:pPr>
              <w:jc w:val="center"/>
              <w:spacing w:after="0"/>
              <w:rPr>
                <w:sz w:val="20"/>
                <w:szCs w:val="20"/>
                <w:color w:val="auto"/>
              </w:rPr>
            </w:pPr>
            <w:r>
              <w:rPr>
                <w:rFonts w:ascii="Arial" w:cs="Arial" w:eastAsia="Arial" w:hAnsi="Arial"/>
                <w:sz w:val="14"/>
                <w:szCs w:val="14"/>
                <w:i w:val="1"/>
                <w:iCs w:val="1"/>
                <w:color w:val="auto"/>
                <w:w w:val="98"/>
              </w:rPr>
              <w:t>officio</w:t>
            </w: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Alaska Air Group,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60" w:type="dxa"/>
            <w:vAlign w:val="bottom"/>
            <w:tcBorders>
              <w:bottom w:val="single" w:sz="8" w:color="939598"/>
              <w:right w:val="single" w:sz="8" w:color="939598"/>
            </w:tcBorders>
          </w:tcPr>
          <w:p>
            <w:pPr>
              <w:spacing w:after="0"/>
              <w:rPr>
                <w:sz w:val="11"/>
                <w:szCs w:val="11"/>
                <w:color w:val="auto"/>
              </w:rPr>
            </w:pPr>
          </w:p>
        </w:tc>
        <w:tc>
          <w:tcPr>
            <w:tcW w:w="3160" w:type="dxa"/>
            <w:vAlign w:val="bottom"/>
            <w:tcBorders>
              <w:bottom w:val="single" w:sz="8" w:color="939598"/>
              <w:right w:val="single" w:sz="8" w:color="939598"/>
            </w:tcBorders>
          </w:tcPr>
          <w:p>
            <w:pPr>
              <w:spacing w:after="0"/>
              <w:rPr>
                <w:sz w:val="11"/>
                <w:szCs w:val="11"/>
                <w:color w:val="auto"/>
              </w:rPr>
            </w:pPr>
          </w:p>
        </w:tc>
        <w:tc>
          <w:tcPr>
            <w:tcW w:w="980" w:type="dxa"/>
            <w:vAlign w:val="bottom"/>
            <w:tcBorders>
              <w:bottom w:val="single" w:sz="8" w:color="939598"/>
              <w:right w:val="single" w:sz="8" w:color="939598"/>
            </w:tcBorders>
          </w:tcPr>
          <w:p>
            <w:pPr>
              <w:spacing w:after="0"/>
              <w:rPr>
                <w:sz w:val="11"/>
                <w:szCs w:val="11"/>
                <w:color w:val="auto"/>
              </w:rPr>
            </w:pPr>
          </w:p>
        </w:tc>
        <w:tc>
          <w:tcPr>
            <w:tcW w:w="1300" w:type="dxa"/>
            <w:vAlign w:val="bottom"/>
            <w:tcBorders>
              <w:bottom w:val="single" w:sz="8" w:color="939598"/>
              <w:right w:val="single" w:sz="8" w:color="939598"/>
            </w:tcBorders>
          </w:tcPr>
          <w:p>
            <w:pPr>
              <w:spacing w:after="0"/>
              <w:rPr>
                <w:sz w:val="11"/>
                <w:szCs w:val="11"/>
                <w:color w:val="auto"/>
              </w:rPr>
            </w:pPr>
          </w:p>
        </w:tc>
        <w:tc>
          <w:tcPr>
            <w:tcW w:w="2160" w:type="dxa"/>
            <w:vAlign w:val="bottom"/>
            <w:tcBorders>
              <w:bottom w:val="single" w:sz="8" w:color="939598"/>
              <w:right w:val="single" w:sz="8" w:color="D7282F"/>
            </w:tcBorders>
          </w:tcPr>
          <w:p>
            <w:pPr>
              <w:spacing w:after="0"/>
              <w:rPr>
                <w:sz w:val="11"/>
                <w:szCs w:val="11"/>
                <w:color w:val="auto"/>
              </w:rPr>
            </w:pPr>
          </w:p>
        </w:tc>
        <w:tc>
          <w:tcPr>
            <w:tcW w:w="860" w:type="dxa"/>
            <w:vAlign w:val="bottom"/>
            <w:tcBorders>
              <w:bottom w:val="single" w:sz="8" w:color="939598"/>
              <w:right w:val="single" w:sz="8" w:color="939598"/>
            </w:tcBorders>
          </w:tcPr>
          <w:p>
            <w:pPr>
              <w:spacing w:after="0"/>
              <w:rPr>
                <w:sz w:val="11"/>
                <w:szCs w:val="11"/>
                <w:color w:val="auto"/>
              </w:rPr>
            </w:pPr>
          </w:p>
        </w:tc>
        <w:tc>
          <w:tcPr>
            <w:tcW w:w="860" w:type="dxa"/>
            <w:vAlign w:val="bottom"/>
            <w:tcBorders>
              <w:bottom w:val="single" w:sz="8" w:color="939598"/>
              <w:right w:val="single" w:sz="8" w:color="939598"/>
            </w:tcBorders>
          </w:tcPr>
          <w:p>
            <w:pPr>
              <w:spacing w:after="0"/>
              <w:rPr>
                <w:sz w:val="11"/>
                <w:szCs w:val="11"/>
                <w:color w:val="auto"/>
              </w:rPr>
            </w:pPr>
          </w:p>
        </w:tc>
        <w:tc>
          <w:tcPr>
            <w:tcW w:w="860" w:type="dxa"/>
            <w:vAlign w:val="bottom"/>
            <w:tcBorders>
              <w:bottom w:val="single" w:sz="8" w:color="939598"/>
              <w:right w:val="single" w:sz="8" w:color="D7282F"/>
            </w:tcBorders>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1060" w:type="dxa"/>
            <w:vAlign w:val="bottom"/>
            <w:tcBorders>
              <w:right w:val="single" w:sz="8" w:color="939598"/>
            </w:tcBorders>
          </w:tcPr>
          <w:p>
            <w:pPr>
              <w:spacing w:after="0"/>
              <w:rPr>
                <w:sz w:val="23"/>
                <w:szCs w:val="23"/>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Kevin Burke</w:t>
            </w:r>
          </w:p>
        </w:tc>
        <w:tc>
          <w:tcPr>
            <w:tcW w:w="980" w:type="dxa"/>
            <w:vAlign w:val="bottom"/>
            <w:tcBorders>
              <w:right w:val="single" w:sz="8" w:color="939598"/>
            </w:tcBorders>
          </w:tcPr>
          <w:p>
            <w:pPr>
              <w:spacing w:after="0"/>
              <w:rPr>
                <w:sz w:val="23"/>
                <w:szCs w:val="23"/>
                <w:color w:val="auto"/>
              </w:rPr>
            </w:pPr>
          </w:p>
        </w:tc>
        <w:tc>
          <w:tcPr>
            <w:tcW w:w="1300" w:type="dxa"/>
            <w:vAlign w:val="bottom"/>
            <w:tcBorders>
              <w:right w:val="single" w:sz="8" w:color="939598"/>
            </w:tcBorders>
          </w:tcPr>
          <w:p>
            <w:pPr>
              <w:spacing w:after="0"/>
              <w:rPr>
                <w:sz w:val="23"/>
                <w:szCs w:val="23"/>
                <w:color w:val="auto"/>
              </w:rPr>
            </w:pPr>
          </w:p>
        </w:tc>
        <w:tc>
          <w:tcPr>
            <w:tcW w:w="2160" w:type="dxa"/>
            <w:vAlign w:val="bottom"/>
            <w:tcBorders>
              <w:right w:val="single" w:sz="8" w:color="D7282F"/>
            </w:tcBorders>
          </w:tcPr>
          <w:p>
            <w:pPr>
              <w:spacing w:after="0"/>
              <w:rPr>
                <w:sz w:val="23"/>
                <w:szCs w:val="23"/>
                <w:color w:val="auto"/>
              </w:rPr>
            </w:pPr>
          </w:p>
        </w:tc>
        <w:tc>
          <w:tcPr>
            <w:tcW w:w="860" w:type="dxa"/>
            <w:vAlign w:val="bottom"/>
            <w:tcBorders>
              <w:right w:val="single" w:sz="8" w:color="939598"/>
            </w:tcBorders>
          </w:tcPr>
          <w:p>
            <w:pPr>
              <w:spacing w:after="0"/>
              <w:rPr>
                <w:sz w:val="23"/>
                <w:szCs w:val="23"/>
                <w:color w:val="auto"/>
              </w:rPr>
            </w:pPr>
          </w:p>
        </w:tc>
        <w:tc>
          <w:tcPr>
            <w:tcW w:w="860" w:type="dxa"/>
            <w:vAlign w:val="bottom"/>
            <w:tcBorders>
              <w:right w:val="single" w:sz="8" w:color="939598"/>
            </w:tcBorders>
          </w:tcPr>
          <w:p>
            <w:pPr>
              <w:spacing w:after="0"/>
              <w:rPr>
                <w:sz w:val="23"/>
                <w:szCs w:val="23"/>
                <w:color w:val="auto"/>
              </w:rPr>
            </w:pPr>
          </w:p>
        </w:tc>
        <w:tc>
          <w:tcPr>
            <w:tcW w:w="860" w:type="dxa"/>
            <w:vAlign w:val="bottom"/>
            <w:tcBorders>
              <w:right w:val="single" w:sz="8" w:color="D7282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Retired Chairman,</w:t>
            </w:r>
          </w:p>
        </w:tc>
        <w:tc>
          <w:tcPr>
            <w:tcW w:w="98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rPr>
              <w:t>14</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w w:val="96"/>
              </w:rPr>
              <w:t>n</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President and CEO</w:t>
            </w:r>
          </w:p>
        </w:tc>
        <w:tc>
          <w:tcPr>
            <w:tcW w:w="980" w:type="dxa"/>
            <w:vAlign w:val="bottom"/>
            <w:tcBorders>
              <w:right w:val="single" w:sz="8" w:color="939598"/>
            </w:tcBorders>
            <w:vMerge w:val="continue"/>
          </w:tcPr>
          <w:p>
            <w:pPr>
              <w:spacing w:after="0"/>
              <w:rPr>
                <w:sz w:val="15"/>
                <w:szCs w:val="15"/>
                <w:color w:val="auto"/>
              </w:rPr>
            </w:pPr>
          </w:p>
        </w:tc>
        <w:tc>
          <w:tcPr>
            <w:tcW w:w="1300" w:type="dxa"/>
            <w:vAlign w:val="bottom"/>
            <w:tcBorders>
              <w:right w:val="single" w:sz="8" w:color="939598"/>
            </w:tcBorders>
            <w:vMerge w:val="continue"/>
          </w:tcPr>
          <w:p>
            <w:pPr>
              <w:spacing w:after="0"/>
              <w:rPr>
                <w:sz w:val="15"/>
                <w:szCs w:val="15"/>
                <w:color w:val="auto"/>
              </w:rPr>
            </w:pPr>
          </w:p>
        </w:tc>
        <w:tc>
          <w:tcPr>
            <w:tcW w:w="2160" w:type="dxa"/>
            <w:vAlign w:val="bottom"/>
            <w:tcBorders>
              <w:right w:val="single" w:sz="8" w:color="D7282F"/>
            </w:tcBorders>
            <w:vMerge w:val="continue"/>
          </w:tcPr>
          <w:p>
            <w:pPr>
              <w:spacing w:after="0"/>
              <w:rPr>
                <w:sz w:val="15"/>
                <w:szCs w:val="15"/>
                <w:color w:val="auto"/>
              </w:rPr>
            </w:pP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Consolidated Edison,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060" w:type="dxa"/>
            <w:vAlign w:val="bottom"/>
            <w:tcBorders>
              <w:bottom w:val="single" w:sz="8" w:color="939598"/>
              <w:right w:val="single" w:sz="8" w:color="939598"/>
            </w:tcBorders>
          </w:tcPr>
          <w:p>
            <w:pPr>
              <w:spacing w:after="0"/>
              <w:rPr>
                <w:sz w:val="10"/>
                <w:szCs w:val="10"/>
                <w:color w:val="auto"/>
              </w:rPr>
            </w:pPr>
          </w:p>
        </w:tc>
        <w:tc>
          <w:tcPr>
            <w:tcW w:w="3160" w:type="dxa"/>
            <w:vAlign w:val="bottom"/>
            <w:tcBorders>
              <w:bottom w:val="single" w:sz="8" w:color="939598"/>
              <w:right w:val="single" w:sz="8" w:color="939598"/>
            </w:tcBorders>
          </w:tcPr>
          <w:p>
            <w:pPr>
              <w:spacing w:after="0"/>
              <w:rPr>
                <w:sz w:val="10"/>
                <w:szCs w:val="10"/>
                <w:color w:val="auto"/>
              </w:rPr>
            </w:pPr>
          </w:p>
        </w:tc>
        <w:tc>
          <w:tcPr>
            <w:tcW w:w="980" w:type="dxa"/>
            <w:vAlign w:val="bottom"/>
            <w:tcBorders>
              <w:bottom w:val="single" w:sz="8" w:color="939598"/>
              <w:right w:val="single" w:sz="8" w:color="939598"/>
            </w:tcBorders>
          </w:tcPr>
          <w:p>
            <w:pPr>
              <w:spacing w:after="0"/>
              <w:rPr>
                <w:sz w:val="10"/>
                <w:szCs w:val="10"/>
                <w:color w:val="auto"/>
              </w:rPr>
            </w:pPr>
          </w:p>
        </w:tc>
        <w:tc>
          <w:tcPr>
            <w:tcW w:w="1300" w:type="dxa"/>
            <w:vAlign w:val="bottom"/>
            <w:tcBorders>
              <w:bottom w:val="single" w:sz="8" w:color="939598"/>
              <w:right w:val="single" w:sz="8" w:color="939598"/>
            </w:tcBorders>
          </w:tcPr>
          <w:p>
            <w:pPr>
              <w:spacing w:after="0"/>
              <w:rPr>
                <w:sz w:val="10"/>
                <w:szCs w:val="10"/>
                <w:color w:val="auto"/>
              </w:rPr>
            </w:pPr>
          </w:p>
        </w:tc>
        <w:tc>
          <w:tcPr>
            <w:tcW w:w="2160" w:type="dxa"/>
            <w:vAlign w:val="bottom"/>
            <w:tcBorders>
              <w:bottom w:val="single" w:sz="8" w:color="939598"/>
              <w:right w:val="single" w:sz="8" w:color="D7282F"/>
            </w:tcBorders>
          </w:tcPr>
          <w:p>
            <w:pPr>
              <w:spacing w:after="0"/>
              <w:rPr>
                <w:sz w:val="10"/>
                <w:szCs w:val="10"/>
                <w:color w:val="auto"/>
              </w:rPr>
            </w:pPr>
          </w:p>
        </w:tc>
        <w:tc>
          <w:tcPr>
            <w:tcW w:w="860" w:type="dxa"/>
            <w:vAlign w:val="bottom"/>
            <w:tcBorders>
              <w:bottom w:val="single" w:sz="8" w:color="939598"/>
              <w:right w:val="single" w:sz="8" w:color="939598"/>
            </w:tcBorders>
          </w:tcPr>
          <w:p>
            <w:pPr>
              <w:spacing w:after="0"/>
              <w:rPr>
                <w:sz w:val="10"/>
                <w:szCs w:val="10"/>
                <w:color w:val="auto"/>
              </w:rPr>
            </w:pPr>
          </w:p>
        </w:tc>
        <w:tc>
          <w:tcPr>
            <w:tcW w:w="860" w:type="dxa"/>
            <w:vAlign w:val="bottom"/>
            <w:tcBorders>
              <w:bottom w:val="single" w:sz="8" w:color="939598"/>
              <w:right w:val="single" w:sz="8" w:color="939598"/>
            </w:tcBorders>
          </w:tcPr>
          <w:p>
            <w:pPr>
              <w:spacing w:after="0"/>
              <w:rPr>
                <w:sz w:val="10"/>
                <w:szCs w:val="10"/>
                <w:color w:val="auto"/>
              </w:rPr>
            </w:pPr>
          </w:p>
        </w:tc>
        <w:tc>
          <w:tcPr>
            <w:tcW w:w="860" w:type="dxa"/>
            <w:vAlign w:val="bottom"/>
            <w:tcBorders>
              <w:bottom w:val="single" w:sz="8" w:color="939598"/>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349"/>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D. Scott Davis</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D7282F"/>
                <w:w w:val="96"/>
              </w:rPr>
              <w:t>n</w:t>
            </w: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Retired Chairman and CEO</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18</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2</w:t>
            </w:r>
          </w:p>
        </w:tc>
        <w:tc>
          <w:tcPr>
            <w:tcW w:w="860" w:type="dxa"/>
            <w:vAlign w:val="bottom"/>
            <w:tcBorders>
              <w:right w:val="single" w:sz="8" w:color="939598"/>
            </w:tcBorders>
            <w:vMerge w:val="continue"/>
          </w:tcPr>
          <w:p>
            <w:pPr>
              <w:spacing w:after="0"/>
              <w:rPr>
                <w:sz w:val="16"/>
                <w:szCs w:val="16"/>
                <w:color w:val="auto"/>
              </w:rPr>
            </w:pPr>
          </w:p>
        </w:tc>
        <w:tc>
          <w:tcPr>
            <w:tcW w:w="860" w:type="dxa"/>
            <w:vAlign w:val="bottom"/>
            <w:tcBorders>
              <w:right w:val="single" w:sz="8" w:color="939598"/>
            </w:tcBorders>
            <w:vMerge w:val="continue"/>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United Parcel Service,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60" w:type="dxa"/>
            <w:vAlign w:val="bottom"/>
            <w:tcBorders>
              <w:bottom w:val="single" w:sz="8" w:color="939598"/>
              <w:right w:val="single" w:sz="8" w:color="939598"/>
            </w:tcBorders>
          </w:tcPr>
          <w:p>
            <w:pPr>
              <w:spacing w:after="0"/>
              <w:rPr>
                <w:sz w:val="17"/>
                <w:szCs w:val="17"/>
                <w:color w:val="auto"/>
              </w:rPr>
            </w:pPr>
          </w:p>
        </w:tc>
        <w:tc>
          <w:tcPr>
            <w:tcW w:w="3160" w:type="dxa"/>
            <w:vAlign w:val="bottom"/>
            <w:tcBorders>
              <w:bottom w:val="single" w:sz="8" w:color="939598"/>
              <w:right w:val="single" w:sz="8" w:color="939598"/>
            </w:tcBorders>
          </w:tcPr>
          <w:p>
            <w:pPr>
              <w:spacing w:after="0"/>
              <w:rPr>
                <w:sz w:val="17"/>
                <w:szCs w:val="17"/>
                <w:color w:val="auto"/>
              </w:rPr>
            </w:pPr>
          </w:p>
        </w:tc>
        <w:tc>
          <w:tcPr>
            <w:tcW w:w="980" w:type="dxa"/>
            <w:vAlign w:val="bottom"/>
            <w:tcBorders>
              <w:bottom w:val="single" w:sz="8" w:color="939598"/>
              <w:right w:val="single" w:sz="8" w:color="939598"/>
            </w:tcBorders>
          </w:tcPr>
          <w:p>
            <w:pPr>
              <w:spacing w:after="0"/>
              <w:rPr>
                <w:sz w:val="17"/>
                <w:szCs w:val="17"/>
                <w:color w:val="auto"/>
              </w:rPr>
            </w:pPr>
          </w:p>
        </w:tc>
        <w:tc>
          <w:tcPr>
            <w:tcW w:w="1300" w:type="dxa"/>
            <w:vAlign w:val="bottom"/>
            <w:tcBorders>
              <w:bottom w:val="single" w:sz="8" w:color="939598"/>
              <w:right w:val="single" w:sz="8" w:color="939598"/>
            </w:tcBorders>
          </w:tcPr>
          <w:p>
            <w:pPr>
              <w:spacing w:after="0"/>
              <w:rPr>
                <w:sz w:val="17"/>
                <w:szCs w:val="17"/>
                <w:color w:val="auto"/>
              </w:rPr>
            </w:pPr>
          </w:p>
        </w:tc>
        <w:tc>
          <w:tcPr>
            <w:tcW w:w="2160" w:type="dxa"/>
            <w:vAlign w:val="bottom"/>
            <w:tcBorders>
              <w:bottom w:val="single" w:sz="8" w:color="939598"/>
              <w:right w:val="single" w:sz="8" w:color="D7282F"/>
            </w:tcBorders>
          </w:tcPr>
          <w:p>
            <w:pPr>
              <w:spacing w:after="0"/>
              <w:rPr>
                <w:sz w:val="17"/>
                <w:szCs w:val="17"/>
                <w:color w:val="auto"/>
              </w:rPr>
            </w:pPr>
          </w:p>
        </w:tc>
        <w:tc>
          <w:tcPr>
            <w:tcW w:w="860" w:type="dxa"/>
            <w:vAlign w:val="bottom"/>
            <w:tcBorders>
              <w:bottom w:val="single" w:sz="8" w:color="939598"/>
              <w:right w:val="single" w:sz="8" w:color="939598"/>
            </w:tcBorders>
          </w:tcPr>
          <w:p>
            <w:pPr>
              <w:spacing w:after="0"/>
              <w:rPr>
                <w:sz w:val="17"/>
                <w:szCs w:val="17"/>
                <w:color w:val="auto"/>
              </w:rPr>
            </w:pPr>
          </w:p>
        </w:tc>
        <w:tc>
          <w:tcPr>
            <w:tcW w:w="860" w:type="dxa"/>
            <w:vAlign w:val="bottom"/>
            <w:tcBorders>
              <w:bottom w:val="single" w:sz="8" w:color="939598"/>
              <w:right w:val="single" w:sz="8" w:color="939598"/>
            </w:tcBorders>
          </w:tcPr>
          <w:p>
            <w:pPr>
              <w:spacing w:after="0"/>
              <w:rPr>
                <w:sz w:val="17"/>
                <w:szCs w:val="17"/>
                <w:color w:val="auto"/>
              </w:rPr>
            </w:pPr>
          </w:p>
        </w:tc>
        <w:tc>
          <w:tcPr>
            <w:tcW w:w="860" w:type="dxa"/>
            <w:vAlign w:val="bottom"/>
            <w:tcBorders>
              <w:bottom w:val="single" w:sz="8" w:color="939598"/>
              <w:right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Deborah Flint</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0" w:type="dxa"/>
            <w:vAlign w:val="bottom"/>
          </w:tcPr>
          <w:p>
            <w:pPr>
              <w:spacing w:after="0"/>
              <w:rPr>
                <w:sz w:val="1"/>
                <w:szCs w:val="1"/>
                <w:color w:val="auto"/>
              </w:rPr>
            </w:pPr>
          </w:p>
        </w:tc>
      </w:tr>
      <w:tr>
        <w:trPr>
          <w:trHeight w:val="185"/>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President and CEO</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4</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vMerge w:val="continue"/>
          </w:tcPr>
          <w:p>
            <w:pPr>
              <w:spacing w:after="0"/>
              <w:rPr>
                <w:sz w:val="16"/>
                <w:szCs w:val="16"/>
                <w:color w:val="auto"/>
              </w:rPr>
            </w:pPr>
          </w:p>
        </w:tc>
        <w:tc>
          <w:tcPr>
            <w:tcW w:w="860" w:type="dxa"/>
            <w:vAlign w:val="bottom"/>
            <w:tcBorders>
              <w:right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Greater Toronto Airports Authority</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60" w:type="dxa"/>
            <w:vAlign w:val="bottom"/>
            <w:tcBorders>
              <w:bottom w:val="single" w:sz="8" w:color="939598"/>
              <w:right w:val="single" w:sz="8" w:color="939598"/>
            </w:tcBorders>
          </w:tcPr>
          <w:p>
            <w:pPr>
              <w:spacing w:after="0"/>
              <w:rPr>
                <w:sz w:val="19"/>
                <w:szCs w:val="19"/>
                <w:color w:val="auto"/>
              </w:rPr>
            </w:pPr>
          </w:p>
        </w:tc>
        <w:tc>
          <w:tcPr>
            <w:tcW w:w="3160" w:type="dxa"/>
            <w:vAlign w:val="bottom"/>
            <w:tcBorders>
              <w:bottom w:val="single" w:sz="8" w:color="939598"/>
              <w:right w:val="single" w:sz="8" w:color="939598"/>
            </w:tcBorders>
          </w:tcPr>
          <w:p>
            <w:pPr>
              <w:spacing w:after="0"/>
              <w:rPr>
                <w:sz w:val="19"/>
                <w:szCs w:val="19"/>
                <w:color w:val="auto"/>
              </w:rPr>
            </w:pPr>
          </w:p>
        </w:tc>
        <w:tc>
          <w:tcPr>
            <w:tcW w:w="980" w:type="dxa"/>
            <w:vAlign w:val="bottom"/>
            <w:tcBorders>
              <w:bottom w:val="single" w:sz="8" w:color="939598"/>
              <w:right w:val="single" w:sz="8" w:color="939598"/>
            </w:tcBorders>
          </w:tcPr>
          <w:p>
            <w:pPr>
              <w:spacing w:after="0"/>
              <w:rPr>
                <w:sz w:val="19"/>
                <w:szCs w:val="19"/>
                <w:color w:val="auto"/>
              </w:rPr>
            </w:pPr>
          </w:p>
        </w:tc>
        <w:tc>
          <w:tcPr>
            <w:tcW w:w="1300" w:type="dxa"/>
            <w:vAlign w:val="bottom"/>
            <w:tcBorders>
              <w:bottom w:val="single" w:sz="8" w:color="939598"/>
              <w:right w:val="single" w:sz="8" w:color="939598"/>
            </w:tcBorders>
          </w:tcPr>
          <w:p>
            <w:pPr>
              <w:spacing w:after="0"/>
              <w:rPr>
                <w:sz w:val="19"/>
                <w:szCs w:val="19"/>
                <w:color w:val="auto"/>
              </w:rPr>
            </w:pPr>
          </w:p>
        </w:tc>
        <w:tc>
          <w:tcPr>
            <w:tcW w:w="2160" w:type="dxa"/>
            <w:vAlign w:val="bottom"/>
            <w:tcBorders>
              <w:bottom w:val="single" w:sz="8" w:color="939598"/>
              <w:right w:val="single" w:sz="8" w:color="D7282F"/>
            </w:tcBorders>
          </w:tcPr>
          <w:p>
            <w:pPr>
              <w:spacing w:after="0"/>
              <w:rPr>
                <w:sz w:val="19"/>
                <w:szCs w:val="19"/>
                <w:color w:val="auto"/>
              </w:rPr>
            </w:pPr>
          </w:p>
        </w:tc>
        <w:tc>
          <w:tcPr>
            <w:tcW w:w="860" w:type="dxa"/>
            <w:vAlign w:val="bottom"/>
            <w:tcBorders>
              <w:bottom w:val="single" w:sz="8" w:color="939598"/>
              <w:right w:val="single" w:sz="8" w:color="939598"/>
            </w:tcBorders>
          </w:tcPr>
          <w:p>
            <w:pPr>
              <w:spacing w:after="0"/>
              <w:rPr>
                <w:sz w:val="19"/>
                <w:szCs w:val="19"/>
                <w:color w:val="auto"/>
              </w:rPr>
            </w:pPr>
          </w:p>
        </w:tc>
        <w:tc>
          <w:tcPr>
            <w:tcW w:w="860" w:type="dxa"/>
            <w:vAlign w:val="bottom"/>
            <w:tcBorders>
              <w:bottom w:val="single" w:sz="8" w:color="939598"/>
              <w:right w:val="single" w:sz="8" w:color="939598"/>
            </w:tcBorders>
          </w:tcPr>
          <w:p>
            <w:pPr>
              <w:spacing w:after="0"/>
              <w:rPr>
                <w:sz w:val="19"/>
                <w:szCs w:val="19"/>
                <w:color w:val="auto"/>
              </w:rPr>
            </w:pPr>
          </w:p>
        </w:tc>
        <w:tc>
          <w:tcPr>
            <w:tcW w:w="860" w:type="dxa"/>
            <w:vAlign w:val="bottom"/>
            <w:tcBorders>
              <w:bottom w:val="single" w:sz="8" w:color="939598"/>
              <w:right w:val="single" w:sz="8" w:color="D7282F"/>
            </w:tcBorders>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Vimal Kapur</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line="176" w:lineRule="exact"/>
              <w:rPr>
                <w:sz w:val="20"/>
                <w:szCs w:val="20"/>
                <w:color w:val="auto"/>
              </w:rPr>
            </w:pPr>
            <w:r>
              <w:rPr>
                <w:rFonts w:ascii="Arial" w:cs="Arial" w:eastAsia="Arial" w:hAnsi="Arial"/>
                <w:sz w:val="20"/>
                <w:szCs w:val="20"/>
                <w:color w:val="auto"/>
                <w:vertAlign w:val="subscript"/>
              </w:rPr>
              <w:t>CEO</w:t>
            </w:r>
            <w:r>
              <w:rPr>
                <w:rFonts w:ascii="Arial" w:cs="Arial" w:eastAsia="Arial" w:hAnsi="Arial"/>
                <w:sz w:val="8"/>
                <w:szCs w:val="8"/>
                <w:color w:val="auto"/>
              </w:rPr>
              <w:t>(1)</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No</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Honeywell International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60" w:type="dxa"/>
            <w:vAlign w:val="bottom"/>
            <w:tcBorders>
              <w:bottom w:val="single" w:sz="8" w:color="939598"/>
              <w:right w:val="single" w:sz="8" w:color="939598"/>
            </w:tcBorders>
          </w:tcPr>
          <w:p>
            <w:pPr>
              <w:spacing w:after="0"/>
              <w:rPr>
                <w:sz w:val="18"/>
                <w:szCs w:val="18"/>
                <w:color w:val="auto"/>
              </w:rPr>
            </w:pPr>
          </w:p>
        </w:tc>
        <w:tc>
          <w:tcPr>
            <w:tcW w:w="3160" w:type="dxa"/>
            <w:vAlign w:val="bottom"/>
            <w:tcBorders>
              <w:bottom w:val="single" w:sz="8" w:color="939598"/>
              <w:right w:val="single" w:sz="8" w:color="939598"/>
            </w:tcBorders>
          </w:tcPr>
          <w:p>
            <w:pPr>
              <w:spacing w:after="0"/>
              <w:rPr>
                <w:sz w:val="18"/>
                <w:szCs w:val="18"/>
                <w:color w:val="auto"/>
              </w:rPr>
            </w:pPr>
          </w:p>
        </w:tc>
        <w:tc>
          <w:tcPr>
            <w:tcW w:w="980" w:type="dxa"/>
            <w:vAlign w:val="bottom"/>
            <w:tcBorders>
              <w:bottom w:val="single" w:sz="8" w:color="939598"/>
              <w:right w:val="single" w:sz="8" w:color="939598"/>
            </w:tcBorders>
          </w:tcPr>
          <w:p>
            <w:pPr>
              <w:spacing w:after="0"/>
              <w:rPr>
                <w:sz w:val="18"/>
                <w:szCs w:val="18"/>
                <w:color w:val="auto"/>
              </w:rPr>
            </w:pPr>
          </w:p>
        </w:tc>
        <w:tc>
          <w:tcPr>
            <w:tcW w:w="1300" w:type="dxa"/>
            <w:vAlign w:val="bottom"/>
            <w:tcBorders>
              <w:bottom w:val="single" w:sz="8" w:color="939598"/>
              <w:right w:val="single" w:sz="8" w:color="939598"/>
            </w:tcBorders>
          </w:tcPr>
          <w:p>
            <w:pPr>
              <w:spacing w:after="0"/>
              <w:rPr>
                <w:sz w:val="18"/>
                <w:szCs w:val="18"/>
                <w:color w:val="auto"/>
              </w:rPr>
            </w:pPr>
          </w:p>
        </w:tc>
        <w:tc>
          <w:tcPr>
            <w:tcW w:w="2160" w:type="dxa"/>
            <w:vAlign w:val="bottom"/>
            <w:tcBorders>
              <w:bottom w:val="single" w:sz="8" w:color="939598"/>
              <w:right w:val="single" w:sz="8" w:color="D7282F"/>
            </w:tcBorders>
          </w:tcPr>
          <w:p>
            <w:pPr>
              <w:spacing w:after="0"/>
              <w:rPr>
                <w:sz w:val="18"/>
                <w:szCs w:val="18"/>
                <w:color w:val="auto"/>
              </w:rPr>
            </w:pPr>
          </w:p>
        </w:tc>
        <w:tc>
          <w:tcPr>
            <w:tcW w:w="860" w:type="dxa"/>
            <w:vAlign w:val="bottom"/>
            <w:tcBorders>
              <w:bottom w:val="single" w:sz="8" w:color="939598"/>
              <w:right w:val="single" w:sz="8" w:color="939598"/>
            </w:tcBorders>
          </w:tcPr>
          <w:p>
            <w:pPr>
              <w:spacing w:after="0"/>
              <w:rPr>
                <w:sz w:val="18"/>
                <w:szCs w:val="18"/>
                <w:color w:val="auto"/>
              </w:rPr>
            </w:pPr>
          </w:p>
        </w:tc>
        <w:tc>
          <w:tcPr>
            <w:tcW w:w="860" w:type="dxa"/>
            <w:vAlign w:val="bottom"/>
            <w:tcBorders>
              <w:bottom w:val="single" w:sz="8" w:color="939598"/>
              <w:right w:val="single" w:sz="8" w:color="939598"/>
            </w:tcBorders>
          </w:tcPr>
          <w:p>
            <w:pPr>
              <w:spacing w:after="0"/>
              <w:rPr>
                <w:sz w:val="18"/>
                <w:szCs w:val="18"/>
                <w:color w:val="auto"/>
              </w:rPr>
            </w:pPr>
          </w:p>
        </w:tc>
        <w:tc>
          <w:tcPr>
            <w:tcW w:w="860" w:type="dxa"/>
            <w:vAlign w:val="bottom"/>
            <w:tcBorders>
              <w:bottom w:val="single" w:sz="8" w:color="939598"/>
              <w:right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Michael W. Lamach</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Retired Chairman and CEO</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3</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Trane Technologies plc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060" w:type="dxa"/>
            <w:vAlign w:val="bottom"/>
            <w:tcBorders>
              <w:bottom w:val="single" w:sz="8" w:color="939598"/>
              <w:right w:val="single" w:sz="8" w:color="939598"/>
            </w:tcBorders>
          </w:tcPr>
          <w:p>
            <w:pPr>
              <w:spacing w:after="0"/>
              <w:rPr>
                <w:sz w:val="18"/>
                <w:szCs w:val="18"/>
                <w:color w:val="auto"/>
              </w:rPr>
            </w:pPr>
          </w:p>
        </w:tc>
        <w:tc>
          <w:tcPr>
            <w:tcW w:w="3160" w:type="dxa"/>
            <w:vAlign w:val="bottom"/>
            <w:tcBorders>
              <w:bottom w:val="single" w:sz="8" w:color="939598"/>
              <w:right w:val="single" w:sz="8" w:color="939598"/>
            </w:tcBorders>
          </w:tcPr>
          <w:p>
            <w:pPr>
              <w:spacing w:after="0"/>
              <w:rPr>
                <w:sz w:val="18"/>
                <w:szCs w:val="18"/>
                <w:color w:val="auto"/>
              </w:rPr>
            </w:pPr>
          </w:p>
        </w:tc>
        <w:tc>
          <w:tcPr>
            <w:tcW w:w="980" w:type="dxa"/>
            <w:vAlign w:val="bottom"/>
            <w:tcBorders>
              <w:bottom w:val="single" w:sz="8" w:color="939598"/>
              <w:right w:val="single" w:sz="8" w:color="939598"/>
            </w:tcBorders>
          </w:tcPr>
          <w:p>
            <w:pPr>
              <w:spacing w:after="0"/>
              <w:rPr>
                <w:sz w:val="18"/>
                <w:szCs w:val="18"/>
                <w:color w:val="auto"/>
              </w:rPr>
            </w:pPr>
          </w:p>
        </w:tc>
        <w:tc>
          <w:tcPr>
            <w:tcW w:w="1300" w:type="dxa"/>
            <w:vAlign w:val="bottom"/>
            <w:tcBorders>
              <w:bottom w:val="single" w:sz="8" w:color="939598"/>
              <w:right w:val="single" w:sz="8" w:color="939598"/>
            </w:tcBorders>
          </w:tcPr>
          <w:p>
            <w:pPr>
              <w:spacing w:after="0"/>
              <w:rPr>
                <w:sz w:val="18"/>
                <w:szCs w:val="18"/>
                <w:color w:val="auto"/>
              </w:rPr>
            </w:pPr>
          </w:p>
        </w:tc>
        <w:tc>
          <w:tcPr>
            <w:tcW w:w="2160" w:type="dxa"/>
            <w:vAlign w:val="bottom"/>
            <w:tcBorders>
              <w:bottom w:val="single" w:sz="8" w:color="939598"/>
              <w:right w:val="single" w:sz="8" w:color="D7282F"/>
            </w:tcBorders>
          </w:tcPr>
          <w:p>
            <w:pPr>
              <w:spacing w:after="0"/>
              <w:rPr>
                <w:sz w:val="18"/>
                <w:szCs w:val="18"/>
                <w:color w:val="auto"/>
              </w:rPr>
            </w:pPr>
          </w:p>
        </w:tc>
        <w:tc>
          <w:tcPr>
            <w:tcW w:w="860" w:type="dxa"/>
            <w:vAlign w:val="bottom"/>
            <w:tcBorders>
              <w:bottom w:val="single" w:sz="8" w:color="939598"/>
              <w:right w:val="single" w:sz="8" w:color="939598"/>
            </w:tcBorders>
          </w:tcPr>
          <w:p>
            <w:pPr>
              <w:spacing w:after="0"/>
              <w:rPr>
                <w:sz w:val="18"/>
                <w:szCs w:val="18"/>
                <w:color w:val="auto"/>
              </w:rPr>
            </w:pPr>
          </w:p>
        </w:tc>
        <w:tc>
          <w:tcPr>
            <w:tcW w:w="860" w:type="dxa"/>
            <w:vAlign w:val="bottom"/>
            <w:tcBorders>
              <w:bottom w:val="single" w:sz="8" w:color="939598"/>
              <w:right w:val="single" w:sz="8" w:color="939598"/>
            </w:tcBorders>
          </w:tcPr>
          <w:p>
            <w:pPr>
              <w:spacing w:after="0"/>
              <w:rPr>
                <w:sz w:val="18"/>
                <w:szCs w:val="18"/>
                <w:color w:val="auto"/>
              </w:rPr>
            </w:pPr>
          </w:p>
        </w:tc>
        <w:tc>
          <w:tcPr>
            <w:tcW w:w="860" w:type="dxa"/>
            <w:vAlign w:val="bottom"/>
            <w:tcBorders>
              <w:bottom w:val="single" w:sz="8" w:color="939598"/>
              <w:right w:val="single" w:sz="8" w:color="D7282F"/>
            </w:tcBorders>
          </w:tcPr>
          <w:p>
            <w:pPr>
              <w:spacing w:after="0"/>
              <w:rPr>
                <w:sz w:val="18"/>
                <w:szCs w:val="18"/>
                <w:color w:val="auto"/>
              </w:rPr>
            </w:pPr>
          </w:p>
        </w:tc>
        <w:tc>
          <w:tcPr>
            <w:tcW w:w="0" w:type="dxa"/>
            <w:vAlign w:val="bottom"/>
          </w:tcPr>
          <w:p>
            <w:pPr>
              <w:spacing w:after="0"/>
              <w:rPr>
                <w:sz w:val="1"/>
                <w:szCs w:val="1"/>
                <w:color w:val="auto"/>
              </w:rPr>
            </w:pPr>
          </w:p>
        </w:tc>
      </w:tr>
      <w:tr>
        <w:trPr>
          <w:trHeight w:val="362"/>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Rose Lee</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0" w:type="dxa"/>
            <w:vAlign w:val="bottom"/>
          </w:tcPr>
          <w:p>
            <w:pPr>
              <w:spacing w:after="0"/>
              <w:rPr>
                <w:sz w:val="1"/>
                <w:szCs w:val="1"/>
                <w:color w:val="auto"/>
              </w:rPr>
            </w:pPr>
          </w:p>
        </w:tc>
      </w:tr>
      <w:tr>
        <w:trPr>
          <w:trHeight w:val="185"/>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President and CEO</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2</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Cornerstone Building Brands, Inc.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60" w:type="dxa"/>
            <w:vAlign w:val="bottom"/>
            <w:tcBorders>
              <w:bottom w:val="single" w:sz="8" w:color="939598"/>
              <w:right w:val="single" w:sz="8" w:color="939598"/>
            </w:tcBorders>
          </w:tcPr>
          <w:p>
            <w:pPr>
              <w:spacing w:after="0"/>
              <w:rPr>
                <w:sz w:val="17"/>
                <w:szCs w:val="17"/>
                <w:color w:val="auto"/>
              </w:rPr>
            </w:pPr>
          </w:p>
        </w:tc>
        <w:tc>
          <w:tcPr>
            <w:tcW w:w="3160" w:type="dxa"/>
            <w:vAlign w:val="bottom"/>
            <w:tcBorders>
              <w:bottom w:val="single" w:sz="8" w:color="939598"/>
              <w:right w:val="single" w:sz="8" w:color="939598"/>
            </w:tcBorders>
          </w:tcPr>
          <w:p>
            <w:pPr>
              <w:spacing w:after="0"/>
              <w:rPr>
                <w:sz w:val="17"/>
                <w:szCs w:val="17"/>
                <w:color w:val="auto"/>
              </w:rPr>
            </w:pPr>
          </w:p>
        </w:tc>
        <w:tc>
          <w:tcPr>
            <w:tcW w:w="980" w:type="dxa"/>
            <w:vAlign w:val="bottom"/>
            <w:tcBorders>
              <w:bottom w:val="single" w:sz="8" w:color="939598"/>
              <w:right w:val="single" w:sz="8" w:color="939598"/>
            </w:tcBorders>
          </w:tcPr>
          <w:p>
            <w:pPr>
              <w:spacing w:after="0"/>
              <w:rPr>
                <w:sz w:val="17"/>
                <w:szCs w:val="17"/>
                <w:color w:val="auto"/>
              </w:rPr>
            </w:pPr>
          </w:p>
        </w:tc>
        <w:tc>
          <w:tcPr>
            <w:tcW w:w="1300" w:type="dxa"/>
            <w:vAlign w:val="bottom"/>
            <w:tcBorders>
              <w:bottom w:val="single" w:sz="8" w:color="939598"/>
              <w:right w:val="single" w:sz="8" w:color="939598"/>
            </w:tcBorders>
          </w:tcPr>
          <w:p>
            <w:pPr>
              <w:spacing w:after="0"/>
              <w:rPr>
                <w:sz w:val="17"/>
                <w:szCs w:val="17"/>
                <w:color w:val="auto"/>
              </w:rPr>
            </w:pPr>
          </w:p>
        </w:tc>
        <w:tc>
          <w:tcPr>
            <w:tcW w:w="2160" w:type="dxa"/>
            <w:vAlign w:val="bottom"/>
            <w:tcBorders>
              <w:bottom w:val="single" w:sz="8" w:color="939598"/>
              <w:right w:val="single" w:sz="8" w:color="D7282F"/>
            </w:tcBorders>
          </w:tcPr>
          <w:p>
            <w:pPr>
              <w:spacing w:after="0"/>
              <w:rPr>
                <w:sz w:val="17"/>
                <w:szCs w:val="17"/>
                <w:color w:val="auto"/>
              </w:rPr>
            </w:pPr>
          </w:p>
        </w:tc>
        <w:tc>
          <w:tcPr>
            <w:tcW w:w="860" w:type="dxa"/>
            <w:vAlign w:val="bottom"/>
            <w:tcBorders>
              <w:bottom w:val="single" w:sz="8" w:color="939598"/>
              <w:right w:val="single" w:sz="8" w:color="939598"/>
            </w:tcBorders>
          </w:tcPr>
          <w:p>
            <w:pPr>
              <w:spacing w:after="0"/>
              <w:rPr>
                <w:sz w:val="17"/>
                <w:szCs w:val="17"/>
                <w:color w:val="auto"/>
              </w:rPr>
            </w:pPr>
          </w:p>
        </w:tc>
        <w:tc>
          <w:tcPr>
            <w:tcW w:w="860" w:type="dxa"/>
            <w:vAlign w:val="bottom"/>
            <w:tcBorders>
              <w:bottom w:val="single" w:sz="8" w:color="939598"/>
              <w:right w:val="single" w:sz="8" w:color="939598"/>
            </w:tcBorders>
          </w:tcPr>
          <w:p>
            <w:pPr>
              <w:spacing w:after="0"/>
              <w:rPr>
                <w:sz w:val="17"/>
                <w:szCs w:val="17"/>
                <w:color w:val="auto"/>
              </w:rPr>
            </w:pPr>
          </w:p>
        </w:tc>
        <w:tc>
          <w:tcPr>
            <w:tcW w:w="860" w:type="dxa"/>
            <w:vAlign w:val="bottom"/>
            <w:tcBorders>
              <w:bottom w:val="single" w:sz="8" w:color="939598"/>
              <w:right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Grace Lieblein</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rPr>
              <w:t>n</w:t>
            </w:r>
          </w:p>
        </w:tc>
        <w:tc>
          <w:tcPr>
            <w:tcW w:w="860" w:type="dxa"/>
            <w:vAlign w:val="bottom"/>
            <w:tcBorders>
              <w:right w:val="single" w:sz="8" w:color="D7282F"/>
            </w:tcBorders>
            <w:vMerge w:val="restart"/>
          </w:tcPr>
          <w:p>
            <w:pPr>
              <w:jc w:val="center"/>
              <w:spacing w:after="0"/>
              <w:rPr>
                <w:sz w:val="20"/>
                <w:szCs w:val="20"/>
                <w:color w:val="auto"/>
              </w:rPr>
            </w:pPr>
            <w:r>
              <w:rPr>
                <w:rFonts w:ascii="Wingdings" w:cs="Wingdings" w:eastAsia="Wingdings" w:hAnsi="Wingdings"/>
                <w:sz w:val="25"/>
                <w:szCs w:val="25"/>
                <w:b w:val="1"/>
                <w:bCs w:val="1"/>
                <w:color w:val="D7282F"/>
              </w:rPr>
              <w:t>n</w:t>
            </w:r>
          </w:p>
        </w:tc>
        <w:tc>
          <w:tcPr>
            <w:tcW w:w="0" w:type="dxa"/>
            <w:vAlign w:val="bottom"/>
          </w:tcPr>
          <w:p>
            <w:pPr>
              <w:spacing w:after="0"/>
              <w:rPr>
                <w:sz w:val="1"/>
                <w:szCs w:val="1"/>
                <w:color w:val="auto"/>
              </w:rPr>
            </w:pPr>
          </w:p>
        </w:tc>
      </w:tr>
      <w:tr>
        <w:trPr>
          <w:trHeight w:val="185"/>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Former Vice President-Global Quality</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89"/>
              </w:rPr>
              <w:t>11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2</w:t>
            </w: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vMerge w:val="continue"/>
          </w:tcPr>
          <w:p>
            <w:pPr>
              <w:spacing w:after="0"/>
              <w:rPr>
                <w:sz w:val="16"/>
                <w:szCs w:val="16"/>
                <w:color w:val="auto"/>
              </w:rPr>
            </w:pPr>
          </w:p>
        </w:tc>
        <w:tc>
          <w:tcPr>
            <w:tcW w:w="860" w:type="dxa"/>
            <w:vAlign w:val="bottom"/>
            <w:tcBorders>
              <w:right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General Motors Corporation</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60" w:type="dxa"/>
            <w:vAlign w:val="bottom"/>
            <w:tcBorders>
              <w:bottom w:val="single" w:sz="8" w:color="939598"/>
              <w:right w:val="single" w:sz="8" w:color="939598"/>
            </w:tcBorders>
          </w:tcPr>
          <w:p>
            <w:pPr>
              <w:spacing w:after="0"/>
              <w:rPr>
                <w:sz w:val="21"/>
                <w:szCs w:val="21"/>
                <w:color w:val="auto"/>
              </w:rPr>
            </w:pPr>
          </w:p>
        </w:tc>
        <w:tc>
          <w:tcPr>
            <w:tcW w:w="3160" w:type="dxa"/>
            <w:vAlign w:val="bottom"/>
            <w:tcBorders>
              <w:bottom w:val="single" w:sz="8" w:color="939598"/>
              <w:right w:val="single" w:sz="8" w:color="939598"/>
            </w:tcBorders>
          </w:tcPr>
          <w:p>
            <w:pPr>
              <w:spacing w:after="0"/>
              <w:rPr>
                <w:sz w:val="21"/>
                <w:szCs w:val="21"/>
                <w:color w:val="auto"/>
              </w:rPr>
            </w:pPr>
          </w:p>
        </w:tc>
        <w:tc>
          <w:tcPr>
            <w:tcW w:w="980" w:type="dxa"/>
            <w:vAlign w:val="bottom"/>
            <w:tcBorders>
              <w:bottom w:val="single" w:sz="8" w:color="939598"/>
              <w:right w:val="single" w:sz="8" w:color="939598"/>
            </w:tcBorders>
          </w:tcPr>
          <w:p>
            <w:pPr>
              <w:spacing w:after="0"/>
              <w:rPr>
                <w:sz w:val="21"/>
                <w:szCs w:val="21"/>
                <w:color w:val="auto"/>
              </w:rPr>
            </w:pPr>
          </w:p>
        </w:tc>
        <w:tc>
          <w:tcPr>
            <w:tcW w:w="1300" w:type="dxa"/>
            <w:vAlign w:val="bottom"/>
            <w:tcBorders>
              <w:bottom w:val="single" w:sz="8" w:color="939598"/>
              <w:right w:val="single" w:sz="8" w:color="939598"/>
            </w:tcBorders>
          </w:tcPr>
          <w:p>
            <w:pPr>
              <w:spacing w:after="0"/>
              <w:rPr>
                <w:sz w:val="21"/>
                <w:szCs w:val="21"/>
                <w:color w:val="auto"/>
              </w:rPr>
            </w:pPr>
          </w:p>
        </w:tc>
        <w:tc>
          <w:tcPr>
            <w:tcW w:w="2160" w:type="dxa"/>
            <w:vAlign w:val="bottom"/>
            <w:tcBorders>
              <w:bottom w:val="single" w:sz="8" w:color="939598"/>
              <w:right w:val="single" w:sz="8" w:color="D7282F"/>
            </w:tcBorders>
          </w:tcPr>
          <w:p>
            <w:pPr>
              <w:spacing w:after="0"/>
              <w:rPr>
                <w:sz w:val="21"/>
                <w:szCs w:val="21"/>
                <w:color w:val="auto"/>
              </w:rPr>
            </w:pPr>
          </w:p>
        </w:tc>
        <w:tc>
          <w:tcPr>
            <w:tcW w:w="860" w:type="dxa"/>
            <w:vAlign w:val="bottom"/>
            <w:tcBorders>
              <w:bottom w:val="single" w:sz="8" w:color="939598"/>
              <w:right w:val="single" w:sz="8" w:color="939598"/>
            </w:tcBorders>
          </w:tcPr>
          <w:p>
            <w:pPr>
              <w:spacing w:after="0"/>
              <w:rPr>
                <w:sz w:val="21"/>
                <w:szCs w:val="21"/>
                <w:color w:val="auto"/>
              </w:rPr>
            </w:pPr>
          </w:p>
        </w:tc>
        <w:tc>
          <w:tcPr>
            <w:tcW w:w="860" w:type="dxa"/>
            <w:vAlign w:val="bottom"/>
            <w:tcBorders>
              <w:bottom w:val="single" w:sz="8" w:color="939598"/>
              <w:right w:val="single" w:sz="8" w:color="939598"/>
            </w:tcBorders>
          </w:tcPr>
          <w:p>
            <w:pPr>
              <w:spacing w:after="0"/>
              <w:rPr>
                <w:sz w:val="21"/>
                <w:szCs w:val="21"/>
                <w:color w:val="auto"/>
              </w:rPr>
            </w:pPr>
          </w:p>
        </w:tc>
        <w:tc>
          <w:tcPr>
            <w:tcW w:w="860" w:type="dxa"/>
            <w:vAlign w:val="bottom"/>
            <w:tcBorders>
              <w:bottom w:val="single" w:sz="8" w:color="939598"/>
              <w:right w:val="single" w:sz="8" w:color="D7282F"/>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Robin L. Washington</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Former Executive Vice President</w:t>
            </w:r>
          </w:p>
        </w:tc>
        <w:tc>
          <w:tcPr>
            <w:tcW w:w="98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89"/>
              </w:rPr>
              <w:t>11</w:t>
            </w:r>
          </w:p>
        </w:tc>
        <w:tc>
          <w:tcPr>
            <w:tcW w:w="1300" w:type="dxa"/>
            <w:vAlign w:val="bottom"/>
            <w:tcBorders>
              <w:right w:val="single" w:sz="8" w:color="939598"/>
            </w:tcBorders>
            <w:vMerge w:val="restart"/>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vMerge w:val="restart"/>
          </w:tcPr>
          <w:p>
            <w:pPr>
              <w:jc w:val="center"/>
              <w:spacing w:after="0"/>
              <w:rPr>
                <w:sz w:val="20"/>
                <w:szCs w:val="20"/>
                <w:color w:val="auto"/>
              </w:rPr>
            </w:pPr>
            <w:r>
              <w:rPr>
                <w:rFonts w:ascii="Arial" w:cs="Arial" w:eastAsia="Arial" w:hAnsi="Arial"/>
                <w:sz w:val="14"/>
                <w:szCs w:val="14"/>
                <w:color w:val="auto"/>
              </w:rPr>
              <w:t>4</w:t>
            </w: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29292"/>
                <w:w w:val="96"/>
              </w:rPr>
              <w:t>n</w:t>
            </w: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60" w:type="dxa"/>
            <w:vAlign w:val="bottom"/>
            <w:tcBorders>
              <w:right w:val="single" w:sz="8" w:color="939598"/>
            </w:tcBorders>
          </w:tcPr>
          <w:p>
            <w:pPr>
              <w:spacing w:after="0"/>
              <w:rPr>
                <w:sz w:val="15"/>
                <w:szCs w:val="15"/>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and CFO</w:t>
            </w:r>
          </w:p>
        </w:tc>
        <w:tc>
          <w:tcPr>
            <w:tcW w:w="980" w:type="dxa"/>
            <w:vAlign w:val="bottom"/>
            <w:tcBorders>
              <w:right w:val="single" w:sz="8" w:color="939598"/>
            </w:tcBorders>
            <w:vMerge w:val="continue"/>
          </w:tcPr>
          <w:p>
            <w:pPr>
              <w:spacing w:after="0"/>
              <w:rPr>
                <w:sz w:val="15"/>
                <w:szCs w:val="15"/>
                <w:color w:val="auto"/>
              </w:rPr>
            </w:pPr>
          </w:p>
        </w:tc>
        <w:tc>
          <w:tcPr>
            <w:tcW w:w="1300" w:type="dxa"/>
            <w:vAlign w:val="bottom"/>
            <w:tcBorders>
              <w:right w:val="single" w:sz="8" w:color="939598"/>
            </w:tcBorders>
            <w:vMerge w:val="continue"/>
          </w:tcPr>
          <w:p>
            <w:pPr>
              <w:spacing w:after="0"/>
              <w:rPr>
                <w:sz w:val="15"/>
                <w:szCs w:val="15"/>
                <w:color w:val="auto"/>
              </w:rPr>
            </w:pPr>
          </w:p>
        </w:tc>
        <w:tc>
          <w:tcPr>
            <w:tcW w:w="2160" w:type="dxa"/>
            <w:vAlign w:val="bottom"/>
            <w:tcBorders>
              <w:right w:val="single" w:sz="8" w:color="D7282F"/>
            </w:tcBorders>
            <w:vMerge w:val="continue"/>
          </w:tcPr>
          <w:p>
            <w:pPr>
              <w:spacing w:after="0"/>
              <w:rPr>
                <w:sz w:val="15"/>
                <w:szCs w:val="15"/>
                <w:color w:val="auto"/>
              </w:rPr>
            </w:pPr>
          </w:p>
        </w:tc>
        <w:tc>
          <w:tcPr>
            <w:tcW w:w="860" w:type="dxa"/>
            <w:vAlign w:val="bottom"/>
            <w:tcBorders>
              <w:right w:val="single" w:sz="8" w:color="939598"/>
            </w:tcBorders>
            <w:vMerge w:val="continue"/>
          </w:tcPr>
          <w:p>
            <w:pPr>
              <w:spacing w:after="0"/>
              <w:rPr>
                <w:sz w:val="15"/>
                <w:szCs w:val="15"/>
                <w:color w:val="auto"/>
              </w:rPr>
            </w:pPr>
          </w:p>
        </w:tc>
        <w:tc>
          <w:tcPr>
            <w:tcW w:w="860" w:type="dxa"/>
            <w:vAlign w:val="bottom"/>
            <w:tcBorders>
              <w:right w:val="single" w:sz="8" w:color="939598"/>
            </w:tcBorders>
          </w:tcPr>
          <w:p>
            <w:pPr>
              <w:spacing w:after="0"/>
              <w:rPr>
                <w:sz w:val="15"/>
                <w:szCs w:val="15"/>
                <w:color w:val="auto"/>
              </w:rPr>
            </w:pPr>
          </w:p>
        </w:tc>
        <w:tc>
          <w:tcPr>
            <w:tcW w:w="860" w:type="dxa"/>
            <w:vAlign w:val="bottom"/>
            <w:tcBorders>
              <w:right w:val="single" w:sz="8" w:color="D7282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Gilead Sciences</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060" w:type="dxa"/>
            <w:vAlign w:val="bottom"/>
            <w:tcBorders>
              <w:bottom w:val="single" w:sz="8" w:color="939598"/>
              <w:right w:val="single" w:sz="8" w:color="939598"/>
            </w:tcBorders>
          </w:tcPr>
          <w:p>
            <w:pPr>
              <w:spacing w:after="0"/>
              <w:rPr>
                <w:sz w:val="12"/>
                <w:szCs w:val="12"/>
                <w:color w:val="auto"/>
              </w:rPr>
            </w:pPr>
          </w:p>
        </w:tc>
        <w:tc>
          <w:tcPr>
            <w:tcW w:w="3160" w:type="dxa"/>
            <w:vAlign w:val="bottom"/>
            <w:tcBorders>
              <w:bottom w:val="single" w:sz="8" w:color="939598"/>
              <w:right w:val="single" w:sz="8" w:color="939598"/>
            </w:tcBorders>
          </w:tcPr>
          <w:p>
            <w:pPr>
              <w:spacing w:after="0"/>
              <w:rPr>
                <w:sz w:val="12"/>
                <w:szCs w:val="12"/>
                <w:color w:val="auto"/>
              </w:rPr>
            </w:pPr>
          </w:p>
        </w:tc>
        <w:tc>
          <w:tcPr>
            <w:tcW w:w="980" w:type="dxa"/>
            <w:vAlign w:val="bottom"/>
            <w:tcBorders>
              <w:bottom w:val="single" w:sz="8" w:color="939598"/>
              <w:right w:val="single" w:sz="8" w:color="939598"/>
            </w:tcBorders>
          </w:tcPr>
          <w:p>
            <w:pPr>
              <w:spacing w:after="0"/>
              <w:rPr>
                <w:sz w:val="12"/>
                <w:szCs w:val="12"/>
                <w:color w:val="auto"/>
              </w:rPr>
            </w:pPr>
          </w:p>
        </w:tc>
        <w:tc>
          <w:tcPr>
            <w:tcW w:w="1300" w:type="dxa"/>
            <w:vAlign w:val="bottom"/>
            <w:tcBorders>
              <w:bottom w:val="single" w:sz="8" w:color="939598"/>
              <w:right w:val="single" w:sz="8" w:color="939598"/>
            </w:tcBorders>
          </w:tcPr>
          <w:p>
            <w:pPr>
              <w:spacing w:after="0"/>
              <w:rPr>
                <w:sz w:val="12"/>
                <w:szCs w:val="12"/>
                <w:color w:val="auto"/>
              </w:rPr>
            </w:pPr>
          </w:p>
        </w:tc>
        <w:tc>
          <w:tcPr>
            <w:tcW w:w="2160" w:type="dxa"/>
            <w:vAlign w:val="bottom"/>
            <w:tcBorders>
              <w:bottom w:val="single" w:sz="8" w:color="939598"/>
              <w:right w:val="single" w:sz="8" w:color="D7282F"/>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939598"/>
            </w:tcBorders>
          </w:tcPr>
          <w:p>
            <w:pPr>
              <w:spacing w:after="0"/>
              <w:rPr>
                <w:sz w:val="12"/>
                <w:szCs w:val="12"/>
                <w:color w:val="auto"/>
              </w:rPr>
            </w:pPr>
          </w:p>
        </w:tc>
        <w:tc>
          <w:tcPr>
            <w:tcW w:w="860" w:type="dxa"/>
            <w:vAlign w:val="bottom"/>
            <w:tcBorders>
              <w:bottom w:val="single" w:sz="8" w:color="939598"/>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1060" w:type="dxa"/>
            <w:vAlign w:val="bottom"/>
            <w:tcBorders>
              <w:right w:val="single" w:sz="8" w:color="939598"/>
            </w:tcBorders>
          </w:tcPr>
          <w:p>
            <w:pPr>
              <w:spacing w:after="0"/>
              <w:rPr>
                <w:sz w:val="24"/>
                <w:szCs w:val="24"/>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b w:val="1"/>
                <w:bCs w:val="1"/>
                <w:color w:val="auto"/>
              </w:rPr>
              <w:t>Robin Watson</w:t>
            </w:r>
          </w:p>
        </w:tc>
        <w:tc>
          <w:tcPr>
            <w:tcW w:w="980" w:type="dxa"/>
            <w:vAlign w:val="bottom"/>
            <w:tcBorders>
              <w:right w:val="single" w:sz="8" w:color="939598"/>
            </w:tcBorders>
          </w:tcPr>
          <w:p>
            <w:pPr>
              <w:spacing w:after="0"/>
              <w:rPr>
                <w:sz w:val="24"/>
                <w:szCs w:val="24"/>
                <w:color w:val="auto"/>
              </w:rPr>
            </w:pPr>
          </w:p>
        </w:tc>
        <w:tc>
          <w:tcPr>
            <w:tcW w:w="1300" w:type="dxa"/>
            <w:vAlign w:val="bottom"/>
            <w:tcBorders>
              <w:right w:val="single" w:sz="8" w:color="939598"/>
            </w:tcBorders>
          </w:tcPr>
          <w:p>
            <w:pPr>
              <w:spacing w:after="0"/>
              <w:rPr>
                <w:sz w:val="24"/>
                <w:szCs w:val="24"/>
                <w:color w:val="auto"/>
              </w:rPr>
            </w:pPr>
          </w:p>
        </w:tc>
        <w:tc>
          <w:tcPr>
            <w:tcW w:w="2160" w:type="dxa"/>
            <w:vAlign w:val="bottom"/>
            <w:tcBorders>
              <w:right w:val="single" w:sz="8" w:color="D7282F"/>
            </w:tcBorders>
          </w:tcPr>
          <w:p>
            <w:pPr>
              <w:spacing w:after="0"/>
              <w:rPr>
                <w:sz w:val="24"/>
                <w:szCs w:val="24"/>
                <w:color w:val="auto"/>
              </w:rPr>
            </w:pPr>
          </w:p>
        </w:tc>
        <w:tc>
          <w:tcPr>
            <w:tcW w:w="860" w:type="dxa"/>
            <w:vAlign w:val="bottom"/>
            <w:tcBorders>
              <w:right w:val="single" w:sz="8" w:color="939598"/>
            </w:tcBorders>
            <w:vMerge w:val="restart"/>
          </w:tcPr>
          <w:p>
            <w:pPr>
              <w:jc w:val="center"/>
              <w:spacing w:after="0"/>
              <w:rPr>
                <w:sz w:val="20"/>
                <w:szCs w:val="20"/>
                <w:color w:val="auto"/>
              </w:rPr>
            </w:pPr>
            <w:r>
              <w:rPr>
                <w:rFonts w:ascii="Wingdings" w:cs="Wingdings" w:eastAsia="Wingdings" w:hAnsi="Wingdings"/>
                <w:sz w:val="25"/>
                <w:szCs w:val="25"/>
                <w:b w:val="1"/>
                <w:bCs w:val="1"/>
                <w:color w:val="939598"/>
                <w:w w:val="96"/>
              </w:rPr>
              <w:t>n</w:t>
            </w:r>
          </w:p>
        </w:tc>
        <w:tc>
          <w:tcPr>
            <w:tcW w:w="860" w:type="dxa"/>
            <w:vAlign w:val="bottom"/>
            <w:tcBorders>
              <w:right w:val="single" w:sz="8" w:color="939598"/>
            </w:tcBorders>
          </w:tcPr>
          <w:p>
            <w:pPr>
              <w:spacing w:after="0"/>
              <w:rPr>
                <w:sz w:val="24"/>
                <w:szCs w:val="24"/>
                <w:color w:val="auto"/>
              </w:rPr>
            </w:pPr>
          </w:p>
        </w:tc>
        <w:tc>
          <w:tcPr>
            <w:tcW w:w="860" w:type="dxa"/>
            <w:vAlign w:val="bottom"/>
            <w:tcBorders>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Former CEO</w:t>
            </w:r>
          </w:p>
        </w:tc>
        <w:tc>
          <w:tcPr>
            <w:tcW w:w="98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rPr>
              <w:t>1</w:t>
            </w:r>
          </w:p>
        </w:tc>
        <w:tc>
          <w:tcPr>
            <w:tcW w:w="1300" w:type="dxa"/>
            <w:vAlign w:val="bottom"/>
            <w:tcBorders>
              <w:right w:val="single" w:sz="8" w:color="939598"/>
            </w:tcBorders>
          </w:tcPr>
          <w:p>
            <w:pPr>
              <w:jc w:val="center"/>
              <w:spacing w:after="0"/>
              <w:rPr>
                <w:sz w:val="20"/>
                <w:szCs w:val="20"/>
                <w:color w:val="auto"/>
              </w:rPr>
            </w:pPr>
            <w:r>
              <w:rPr>
                <w:rFonts w:ascii="Arial" w:cs="Arial" w:eastAsia="Arial" w:hAnsi="Arial"/>
                <w:sz w:val="14"/>
                <w:szCs w:val="14"/>
                <w:color w:val="auto"/>
                <w:w w:val="99"/>
              </w:rPr>
              <w:t>Yes</w:t>
            </w:r>
          </w:p>
        </w:tc>
        <w:tc>
          <w:tcPr>
            <w:tcW w:w="2160" w:type="dxa"/>
            <w:vAlign w:val="bottom"/>
            <w:tcBorders>
              <w:right w:val="single" w:sz="8" w:color="D7282F"/>
            </w:tcBorders>
          </w:tcPr>
          <w:p>
            <w:pPr>
              <w:jc w:val="center"/>
              <w:spacing w:after="0"/>
              <w:rPr>
                <w:sz w:val="20"/>
                <w:szCs w:val="20"/>
                <w:color w:val="auto"/>
              </w:rPr>
            </w:pPr>
            <w:r>
              <w:rPr>
                <w:rFonts w:ascii="Arial" w:cs="Arial" w:eastAsia="Arial" w:hAnsi="Arial"/>
                <w:sz w:val="14"/>
                <w:szCs w:val="14"/>
                <w:color w:val="auto"/>
              </w:rPr>
              <w:t>1</w:t>
            </w:r>
          </w:p>
        </w:tc>
        <w:tc>
          <w:tcPr>
            <w:tcW w:w="860" w:type="dxa"/>
            <w:vAlign w:val="bottom"/>
            <w:tcBorders>
              <w:right w:val="single" w:sz="8" w:color="939598"/>
            </w:tcBorders>
            <w:vMerge w:val="continue"/>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tcBorders>
              <w:right w:val="single" w:sz="8" w:color="939598"/>
            </w:tcBorders>
          </w:tcPr>
          <w:p>
            <w:pPr>
              <w:spacing w:after="0"/>
              <w:rPr>
                <w:sz w:val="16"/>
                <w:szCs w:val="16"/>
                <w:color w:val="auto"/>
              </w:rPr>
            </w:pPr>
          </w:p>
        </w:tc>
        <w:tc>
          <w:tcPr>
            <w:tcW w:w="3160" w:type="dxa"/>
            <w:vAlign w:val="bottom"/>
            <w:tcBorders>
              <w:right w:val="single" w:sz="8" w:color="939598"/>
            </w:tcBorders>
          </w:tcPr>
          <w:p>
            <w:pPr>
              <w:ind w:left="80"/>
              <w:spacing w:after="0"/>
              <w:rPr>
                <w:sz w:val="20"/>
                <w:szCs w:val="20"/>
                <w:color w:val="auto"/>
              </w:rPr>
            </w:pPr>
            <w:r>
              <w:rPr>
                <w:rFonts w:ascii="Arial" w:cs="Arial" w:eastAsia="Arial" w:hAnsi="Arial"/>
                <w:sz w:val="14"/>
                <w:szCs w:val="14"/>
                <w:color w:val="auto"/>
              </w:rPr>
              <w:t>John Wood Group PLC</w:t>
            </w:r>
          </w:p>
        </w:tc>
        <w:tc>
          <w:tcPr>
            <w:tcW w:w="980" w:type="dxa"/>
            <w:vAlign w:val="bottom"/>
            <w:tcBorders>
              <w:right w:val="single" w:sz="8" w:color="939598"/>
            </w:tcBorders>
          </w:tcPr>
          <w:p>
            <w:pPr>
              <w:spacing w:after="0"/>
              <w:rPr>
                <w:sz w:val="16"/>
                <w:szCs w:val="16"/>
                <w:color w:val="auto"/>
              </w:rPr>
            </w:pPr>
          </w:p>
        </w:tc>
        <w:tc>
          <w:tcPr>
            <w:tcW w:w="1300" w:type="dxa"/>
            <w:vAlign w:val="bottom"/>
            <w:tcBorders>
              <w:right w:val="single" w:sz="8" w:color="939598"/>
            </w:tcBorders>
          </w:tcPr>
          <w:p>
            <w:pPr>
              <w:spacing w:after="0"/>
              <w:rPr>
                <w:sz w:val="16"/>
                <w:szCs w:val="16"/>
                <w:color w:val="auto"/>
              </w:rPr>
            </w:pPr>
          </w:p>
        </w:tc>
        <w:tc>
          <w:tcPr>
            <w:tcW w:w="2160" w:type="dxa"/>
            <w:vAlign w:val="bottom"/>
            <w:tcBorders>
              <w:right w:val="single" w:sz="8" w:color="D7282F"/>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939598"/>
            </w:tcBorders>
          </w:tcPr>
          <w:p>
            <w:pPr>
              <w:spacing w:after="0"/>
              <w:rPr>
                <w:sz w:val="16"/>
                <w:szCs w:val="16"/>
                <w:color w:val="auto"/>
              </w:rPr>
            </w:pPr>
          </w:p>
        </w:tc>
        <w:tc>
          <w:tcPr>
            <w:tcW w:w="860" w:type="dxa"/>
            <w:vAlign w:val="bottom"/>
            <w:tcBorders>
              <w:right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60" w:type="dxa"/>
            <w:vAlign w:val="bottom"/>
            <w:tcBorders>
              <w:bottom w:val="single" w:sz="8" w:color="D7282F"/>
              <w:right w:val="single" w:sz="8" w:color="939598"/>
            </w:tcBorders>
          </w:tcPr>
          <w:p>
            <w:pPr>
              <w:spacing w:after="0"/>
              <w:rPr>
                <w:sz w:val="19"/>
                <w:szCs w:val="19"/>
                <w:color w:val="auto"/>
              </w:rPr>
            </w:pPr>
          </w:p>
        </w:tc>
        <w:tc>
          <w:tcPr>
            <w:tcW w:w="3160" w:type="dxa"/>
            <w:vAlign w:val="bottom"/>
            <w:tcBorders>
              <w:bottom w:val="single" w:sz="8" w:color="D7282F"/>
              <w:right w:val="single" w:sz="8" w:color="939598"/>
            </w:tcBorders>
          </w:tcPr>
          <w:p>
            <w:pPr>
              <w:spacing w:after="0"/>
              <w:rPr>
                <w:sz w:val="19"/>
                <w:szCs w:val="19"/>
                <w:color w:val="auto"/>
              </w:rPr>
            </w:pPr>
          </w:p>
        </w:tc>
        <w:tc>
          <w:tcPr>
            <w:tcW w:w="980" w:type="dxa"/>
            <w:vAlign w:val="bottom"/>
            <w:tcBorders>
              <w:bottom w:val="single" w:sz="8" w:color="D7282F"/>
              <w:right w:val="single" w:sz="8" w:color="939598"/>
            </w:tcBorders>
          </w:tcPr>
          <w:p>
            <w:pPr>
              <w:spacing w:after="0"/>
              <w:rPr>
                <w:sz w:val="19"/>
                <w:szCs w:val="19"/>
                <w:color w:val="auto"/>
              </w:rPr>
            </w:pPr>
          </w:p>
        </w:tc>
        <w:tc>
          <w:tcPr>
            <w:tcW w:w="1300" w:type="dxa"/>
            <w:vAlign w:val="bottom"/>
            <w:tcBorders>
              <w:bottom w:val="single" w:sz="8" w:color="D7282F"/>
              <w:right w:val="single" w:sz="8" w:color="939598"/>
            </w:tcBorders>
          </w:tcPr>
          <w:p>
            <w:pPr>
              <w:spacing w:after="0"/>
              <w:rPr>
                <w:sz w:val="19"/>
                <w:szCs w:val="19"/>
                <w:color w:val="auto"/>
              </w:rPr>
            </w:pPr>
          </w:p>
        </w:tc>
        <w:tc>
          <w:tcPr>
            <w:tcW w:w="2160" w:type="dxa"/>
            <w:vAlign w:val="bottom"/>
            <w:tcBorders>
              <w:bottom w:val="single" w:sz="8" w:color="D7282F"/>
              <w:right w:val="single" w:sz="8" w:color="D7282F"/>
            </w:tcBorders>
          </w:tcPr>
          <w:p>
            <w:pPr>
              <w:spacing w:after="0"/>
              <w:rPr>
                <w:sz w:val="19"/>
                <w:szCs w:val="19"/>
                <w:color w:val="auto"/>
              </w:rPr>
            </w:pPr>
          </w:p>
        </w:tc>
        <w:tc>
          <w:tcPr>
            <w:tcW w:w="860" w:type="dxa"/>
            <w:vAlign w:val="bottom"/>
            <w:tcBorders>
              <w:bottom w:val="single" w:sz="8" w:color="D7282F"/>
              <w:right w:val="single" w:sz="8" w:color="939598"/>
            </w:tcBorders>
          </w:tcPr>
          <w:p>
            <w:pPr>
              <w:spacing w:after="0"/>
              <w:rPr>
                <w:sz w:val="19"/>
                <w:szCs w:val="19"/>
                <w:color w:val="auto"/>
              </w:rPr>
            </w:pPr>
          </w:p>
        </w:tc>
        <w:tc>
          <w:tcPr>
            <w:tcW w:w="860" w:type="dxa"/>
            <w:vAlign w:val="bottom"/>
            <w:tcBorders>
              <w:bottom w:val="single" w:sz="8" w:color="D7282F"/>
              <w:right w:val="single" w:sz="8" w:color="939598"/>
            </w:tcBorders>
          </w:tcPr>
          <w:p>
            <w:pPr>
              <w:spacing w:after="0"/>
              <w:rPr>
                <w:sz w:val="19"/>
                <w:szCs w:val="19"/>
                <w:color w:val="auto"/>
              </w:rPr>
            </w:pPr>
          </w:p>
        </w:tc>
        <w:tc>
          <w:tcPr>
            <w:tcW w:w="860" w:type="dxa"/>
            <w:vAlign w:val="bottom"/>
            <w:tcBorders>
              <w:bottom w:val="single" w:sz="8" w:color="D7282F"/>
              <w:right w:val="single" w:sz="8" w:color="D7282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-7312025</wp:posOffset>
            </wp:positionV>
            <wp:extent cx="445770"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45770" cy="39433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-6711950</wp:posOffset>
            </wp:positionV>
            <wp:extent cx="445770" cy="394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5770" cy="39433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-6111875</wp:posOffset>
            </wp:positionV>
            <wp:extent cx="454025" cy="402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4025" cy="4025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-5502910</wp:posOffset>
            </wp:positionV>
            <wp:extent cx="445770" cy="394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5770" cy="39433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-4902835</wp:posOffset>
            </wp:positionV>
            <wp:extent cx="445770" cy="394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5770" cy="39433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-4285615</wp:posOffset>
            </wp:positionV>
            <wp:extent cx="419735" cy="394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9735" cy="39433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-3668395</wp:posOffset>
            </wp:positionV>
            <wp:extent cx="445770" cy="3943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5770" cy="39433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-3068320</wp:posOffset>
            </wp:positionV>
            <wp:extent cx="454025" cy="403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4025" cy="40322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-2914015</wp:posOffset>
            </wp:positionV>
            <wp:extent cx="93980" cy="939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-2459990</wp:posOffset>
            </wp:positionV>
            <wp:extent cx="454025" cy="402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4025" cy="4025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-1851025</wp:posOffset>
            </wp:positionV>
            <wp:extent cx="454025" cy="454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-1191260</wp:posOffset>
            </wp:positionV>
            <wp:extent cx="445770" cy="419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5770" cy="41973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-565150</wp:posOffset>
            </wp:positionV>
            <wp:extent cx="454025" cy="428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4025" cy="428625"/>
                    </a:xfrm>
                    <a:prstGeom prst="rect">
                      <a:avLst/>
                    </a:prstGeom>
                    <a:noFill/>
                  </pic:spPr>
                </pic:pic>
              </a:graphicData>
            </a:graphic>
          </wp:anchor>
        </w:drawing>
      </w:r>
    </w:p>
    <w:p>
      <w:pPr>
        <w:sectPr>
          <w:pgSz w:w="11900" w:h="16838" w:orient="portrait"/>
          <w:cols w:equalWidth="0" w:num="1">
            <w:col w:w="11240"/>
          </w:cols>
          <w:pgMar w:left="320" w:top="230" w:right="339" w:bottom="447" w:gutter="0" w:footer="0" w:header="0"/>
        </w:sectPr>
      </w:pPr>
    </w:p>
    <w:bookmarkStart w:id="15" w:name="page16"/>
    <w:bookmarkEnd w:id="15"/>
    <w:tbl>
      <w:tblPr>
        <w:tblLayout w:type="fixed"/>
        <w:tblInd w:w="12" w:type="dxa"/>
        <w:tblCellMar>
          <w:top w:w="0" w:type="dxa"/>
          <w:left w:w="0" w:type="dxa"/>
          <w:bottom w:w="0" w:type="dxa"/>
          <w:right w:w="0" w:type="dxa"/>
        </w:tblCellMar>
      </w:tblPr>
      <w:tr>
        <w:trPr>
          <w:trHeight w:val="278"/>
        </w:trPr>
        <w:tc>
          <w:tcPr>
            <w:tcW w:w="600" w:type="dxa"/>
            <w:vAlign w:val="bottom"/>
          </w:tcPr>
          <w:p>
            <w:pPr>
              <w:spacing w:after="0"/>
              <w:rPr>
                <w:sz w:val="20"/>
                <w:szCs w:val="20"/>
                <w:color w:val="auto"/>
              </w:rPr>
            </w:pPr>
            <w:r>
              <w:rPr>
                <w:rFonts w:ascii="Arial" w:cs="Arial" w:eastAsia="Arial" w:hAnsi="Arial"/>
                <w:sz w:val="16"/>
                <w:szCs w:val="16"/>
                <w:b w:val="1"/>
                <w:bCs w:val="1"/>
                <w:color w:val="auto"/>
              </w:rPr>
              <w:t>Audit</w:t>
            </w:r>
          </w:p>
        </w:tc>
        <w:tc>
          <w:tcPr>
            <w:tcW w:w="5240" w:type="dxa"/>
            <w:vAlign w:val="bottom"/>
          </w:tcPr>
          <w:p>
            <w:pPr>
              <w:ind w:left="100"/>
              <w:spacing w:after="0"/>
              <w:rPr>
                <w:sz w:val="20"/>
                <w:szCs w:val="20"/>
                <w:color w:val="auto"/>
              </w:rPr>
            </w:pPr>
            <w:r>
              <w:rPr>
                <w:rFonts w:ascii="Arial" w:cs="Arial" w:eastAsia="Arial" w:hAnsi="Arial"/>
                <w:sz w:val="16"/>
                <w:szCs w:val="16"/>
                <w:color w:val="auto"/>
              </w:rPr>
              <w:t>Audit Committee</w:t>
            </w:r>
          </w:p>
        </w:tc>
        <w:tc>
          <w:tcPr>
            <w:tcW w:w="1960" w:type="dxa"/>
            <w:vAlign w:val="bottom"/>
          </w:tcPr>
          <w:p>
            <w:pPr>
              <w:ind w:left="980"/>
              <w:spacing w:after="0"/>
              <w:rPr>
                <w:sz w:val="20"/>
                <w:szCs w:val="20"/>
                <w:color w:val="auto"/>
              </w:rPr>
            </w:pPr>
            <w:r>
              <w:rPr>
                <w:rFonts w:ascii="Wingdings" w:cs="Wingdings" w:eastAsia="Wingdings" w:hAnsi="Wingdings"/>
                <w:sz w:val="25"/>
                <w:szCs w:val="25"/>
                <w:b w:val="1"/>
                <w:bCs w:val="1"/>
                <w:color w:val="D7282F"/>
              </w:rPr>
              <w:t xml:space="preserve">n </w:t>
            </w:r>
            <w:r>
              <w:rPr>
                <w:rFonts w:ascii="Arial" w:cs="Arial" w:eastAsia="Arial" w:hAnsi="Arial"/>
                <w:sz w:val="16"/>
                <w:szCs w:val="16"/>
                <w:color w:val="000000"/>
              </w:rPr>
              <w:t>Chair</w:t>
            </w:r>
          </w:p>
        </w:tc>
      </w:tr>
      <w:tr>
        <w:trPr>
          <w:trHeight w:val="351"/>
        </w:trPr>
        <w:tc>
          <w:tcPr>
            <w:tcW w:w="600" w:type="dxa"/>
            <w:vAlign w:val="bottom"/>
          </w:tcPr>
          <w:p>
            <w:pPr>
              <w:spacing w:after="0"/>
              <w:rPr>
                <w:sz w:val="20"/>
                <w:szCs w:val="20"/>
                <w:color w:val="auto"/>
              </w:rPr>
            </w:pPr>
            <w:r>
              <w:rPr>
                <w:rFonts w:ascii="Arial" w:cs="Arial" w:eastAsia="Arial" w:hAnsi="Arial"/>
                <w:sz w:val="16"/>
                <w:szCs w:val="16"/>
                <w:b w:val="1"/>
                <w:bCs w:val="1"/>
                <w:color w:val="auto"/>
              </w:rPr>
              <w:t>CGRC</w:t>
            </w:r>
          </w:p>
        </w:tc>
        <w:tc>
          <w:tcPr>
            <w:tcW w:w="5240" w:type="dxa"/>
            <w:vAlign w:val="bottom"/>
          </w:tcPr>
          <w:p>
            <w:pPr>
              <w:ind w:left="100"/>
              <w:spacing w:after="0"/>
              <w:rPr>
                <w:sz w:val="20"/>
                <w:szCs w:val="20"/>
                <w:color w:val="auto"/>
              </w:rPr>
            </w:pPr>
            <w:r>
              <w:rPr>
                <w:rFonts w:ascii="Arial" w:cs="Arial" w:eastAsia="Arial" w:hAnsi="Arial"/>
                <w:sz w:val="16"/>
                <w:szCs w:val="16"/>
                <w:color w:val="auto"/>
              </w:rPr>
              <w:t>Corporate Governance and Responsibility Committee</w:t>
            </w:r>
          </w:p>
        </w:tc>
        <w:tc>
          <w:tcPr>
            <w:tcW w:w="1960" w:type="dxa"/>
            <w:vAlign w:val="bottom"/>
          </w:tcPr>
          <w:p>
            <w:pPr>
              <w:ind w:left="980"/>
              <w:spacing w:after="0"/>
              <w:rPr>
                <w:sz w:val="20"/>
                <w:szCs w:val="20"/>
                <w:color w:val="auto"/>
              </w:rPr>
            </w:pPr>
            <w:r>
              <w:rPr>
                <w:rFonts w:ascii="Wingdings" w:cs="Wingdings" w:eastAsia="Wingdings" w:hAnsi="Wingdings"/>
                <w:sz w:val="25"/>
                <w:szCs w:val="25"/>
                <w:b w:val="1"/>
                <w:bCs w:val="1"/>
                <w:color w:val="939598"/>
                <w:w w:val="93"/>
              </w:rPr>
              <w:t xml:space="preserve">n </w:t>
            </w:r>
            <w:r>
              <w:rPr>
                <w:rFonts w:ascii="Arial" w:cs="Arial" w:eastAsia="Arial" w:hAnsi="Arial"/>
                <w:sz w:val="16"/>
                <w:szCs w:val="16"/>
                <w:color w:val="000000"/>
                <w:w w:val="93"/>
              </w:rPr>
              <w:t>Member</w:t>
            </w:r>
          </w:p>
        </w:tc>
      </w:tr>
      <w:tr>
        <w:trPr>
          <w:trHeight w:val="278"/>
        </w:trPr>
        <w:tc>
          <w:tcPr>
            <w:tcW w:w="600" w:type="dxa"/>
            <w:vAlign w:val="bottom"/>
          </w:tcPr>
          <w:p>
            <w:pPr>
              <w:spacing w:after="0"/>
              <w:rPr>
                <w:sz w:val="20"/>
                <w:szCs w:val="20"/>
                <w:color w:val="auto"/>
              </w:rPr>
            </w:pPr>
            <w:r>
              <w:rPr>
                <w:rFonts w:ascii="Arial" w:cs="Arial" w:eastAsia="Arial" w:hAnsi="Arial"/>
                <w:sz w:val="16"/>
                <w:szCs w:val="16"/>
                <w:b w:val="1"/>
                <w:bCs w:val="1"/>
                <w:color w:val="auto"/>
              </w:rPr>
              <w:t>MDCC</w:t>
            </w:r>
          </w:p>
        </w:tc>
        <w:tc>
          <w:tcPr>
            <w:tcW w:w="5240" w:type="dxa"/>
            <w:vAlign w:val="bottom"/>
          </w:tcPr>
          <w:p>
            <w:pPr>
              <w:ind w:left="100"/>
              <w:spacing w:after="0"/>
              <w:rPr>
                <w:sz w:val="20"/>
                <w:szCs w:val="20"/>
                <w:color w:val="auto"/>
              </w:rPr>
            </w:pPr>
            <w:r>
              <w:rPr>
                <w:rFonts w:ascii="Arial" w:cs="Arial" w:eastAsia="Arial" w:hAnsi="Arial"/>
                <w:sz w:val="16"/>
                <w:szCs w:val="16"/>
                <w:color w:val="auto"/>
              </w:rPr>
              <w:t>Management Development and Compensation Committee</w:t>
            </w:r>
          </w:p>
        </w:tc>
        <w:tc>
          <w:tcPr>
            <w:tcW w:w="1960" w:type="dxa"/>
            <w:vAlign w:val="bottom"/>
          </w:tcPr>
          <w:p>
            <w:pPr>
              <w:spacing w:after="0"/>
              <w:rPr>
                <w:sz w:val="24"/>
                <w:szCs w:val="24"/>
                <w:color w:val="auto"/>
              </w:rPr>
            </w:pPr>
          </w:p>
        </w:tc>
      </w:tr>
    </w:tbl>
    <w:p>
      <w:pPr>
        <w:spacing w:after="0" w:line="88" w:lineRule="exact"/>
        <w:rPr>
          <w:sz w:val="20"/>
          <w:szCs w:val="20"/>
          <w:color w:val="auto"/>
        </w:rPr>
      </w:pPr>
    </w:p>
    <w:p>
      <w:pPr>
        <w:ind w:left="192" w:hanging="192"/>
        <w:spacing w:after="0"/>
        <w:tabs>
          <w:tab w:leader="none" w:pos="192"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Mr. Adamczyk will retire from the Board and Mr. Kapur will become Chairman of the Board, effective June 7, 2024</w:t>
      </w:r>
      <w:r>
        <w:rPr>
          <w:rFonts w:ascii="Arial" w:cs="Arial" w:eastAsia="Arial" w:hAnsi="Arial"/>
          <w:sz w:val="16"/>
          <w:szCs w:val="16"/>
          <w:color w:val="auto"/>
        </w:rPr>
        <w:t>.</w:t>
      </w:r>
    </w:p>
    <w:p>
      <w:pPr>
        <w:spacing w:after="0" w:line="141" w:lineRule="exact"/>
        <w:rPr>
          <w:sz w:val="20"/>
          <w:szCs w:val="20"/>
          <w:color w:val="auto"/>
        </w:rPr>
      </w:pPr>
    </w:p>
    <w:p>
      <w:pPr>
        <w:ind w:left="12"/>
        <w:spacing w:after="0"/>
        <w:tabs>
          <w:tab w:leader="none" w:pos="465" w:val="left"/>
          <w:tab w:leader="none" w:pos="185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sz w:val="1"/>
          <w:szCs w:val="1"/>
          <w:color w:val="auto"/>
        </w:rPr>
        <w:drawing>
          <wp:inline distT="0" distB="0" distL="0" distR="0">
            <wp:extent cx="548640" cy="10287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258445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97"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3"/>
          <w:szCs w:val="13"/>
          <w:b w:val="1"/>
          <w:bCs w:val="1"/>
          <w:color w:val="6D6E71"/>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CORPORATE GOVERNANCE HIGHLIGHTS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58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10 of 12</w:t>
            </w:r>
          </w:p>
        </w:tc>
        <w:tc>
          <w:tcPr>
            <w:tcW w:w="20" w:type="dxa"/>
            <w:vAlign w:val="bottom"/>
            <w:shd w:val="clear" w:color="auto" w:fill="EDEDEE"/>
          </w:tcPr>
          <w:p>
            <w:pPr>
              <w:spacing w:after="0"/>
              <w:rPr>
                <w:sz w:val="9"/>
                <w:szCs w:val="9"/>
                <w:color w:val="auto"/>
              </w:rPr>
            </w:pPr>
          </w:p>
        </w:tc>
        <w:tc>
          <w:tcPr>
            <w:tcW w:w="158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4 of 12</w:t>
            </w:r>
          </w:p>
        </w:tc>
        <w:tc>
          <w:tcPr>
            <w:tcW w:w="20" w:type="dxa"/>
            <w:vAlign w:val="bottom"/>
            <w:shd w:val="clear" w:color="auto" w:fill="EDEDEE"/>
          </w:tcPr>
          <w:p>
            <w:pPr>
              <w:spacing w:after="0"/>
              <w:rPr>
                <w:sz w:val="9"/>
                <w:szCs w:val="9"/>
                <w:color w:val="auto"/>
              </w:rPr>
            </w:pPr>
          </w:p>
        </w:tc>
        <w:tc>
          <w:tcPr>
            <w:tcW w:w="158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5 of 12</w:t>
            </w:r>
          </w:p>
        </w:tc>
        <w:tc>
          <w:tcPr>
            <w:tcW w:w="20" w:type="dxa"/>
            <w:vAlign w:val="bottom"/>
            <w:shd w:val="clear" w:color="auto" w:fill="EDEDEE"/>
          </w:tcPr>
          <w:p>
            <w:pPr>
              <w:spacing w:after="0"/>
              <w:rPr>
                <w:sz w:val="9"/>
                <w:szCs w:val="9"/>
                <w:color w:val="auto"/>
              </w:rPr>
            </w:pPr>
          </w:p>
        </w:tc>
        <w:tc>
          <w:tcPr>
            <w:tcW w:w="1580" w:type="dxa"/>
            <w:vAlign w:val="bottom"/>
            <w:vMerge w:val="restart"/>
            <w:shd w:val="clear" w:color="auto" w:fill="EDEDEE"/>
          </w:tcPr>
          <w:p>
            <w:pPr>
              <w:ind w:left="40"/>
              <w:spacing w:after="0"/>
              <w:rPr>
                <w:sz w:val="20"/>
                <w:szCs w:val="20"/>
                <w:color w:val="auto"/>
              </w:rPr>
            </w:pPr>
            <w:r>
              <w:rPr>
                <w:rFonts w:ascii="Arial" w:cs="Arial" w:eastAsia="Arial" w:hAnsi="Arial"/>
                <w:sz w:val="25"/>
                <w:szCs w:val="25"/>
                <w:b w:val="1"/>
                <w:bCs w:val="1"/>
                <w:color w:val="auto"/>
              </w:rPr>
              <w:t>6 of 12</w:t>
            </w:r>
          </w:p>
        </w:tc>
        <w:tc>
          <w:tcPr>
            <w:tcW w:w="20" w:type="dxa"/>
            <w:vAlign w:val="bottom"/>
            <w:shd w:val="clear" w:color="auto" w:fill="EDEDEE"/>
          </w:tcPr>
          <w:p>
            <w:pPr>
              <w:spacing w:after="0"/>
              <w:rPr>
                <w:sz w:val="9"/>
                <w:szCs w:val="9"/>
                <w:color w:val="auto"/>
              </w:rPr>
            </w:pPr>
          </w:p>
        </w:tc>
        <w:tc>
          <w:tcPr>
            <w:tcW w:w="158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1 of 3</w:t>
            </w:r>
          </w:p>
        </w:tc>
        <w:tc>
          <w:tcPr>
            <w:tcW w:w="20" w:type="dxa"/>
            <w:vAlign w:val="bottom"/>
            <w:shd w:val="clear" w:color="auto" w:fill="EDEDEE"/>
          </w:tcPr>
          <w:p>
            <w:pPr>
              <w:spacing w:after="0"/>
              <w:rPr>
                <w:sz w:val="9"/>
                <w:szCs w:val="9"/>
                <w:color w:val="auto"/>
              </w:rPr>
            </w:pPr>
          </w:p>
        </w:tc>
        <w:tc>
          <w:tcPr>
            <w:tcW w:w="1600" w:type="dxa"/>
            <w:vAlign w:val="bottom"/>
            <w:vMerge w:val="restart"/>
            <w:shd w:val="clear" w:color="auto" w:fill="EDEDEE"/>
          </w:tcPr>
          <w:p>
            <w:pPr>
              <w:ind w:left="60"/>
              <w:spacing w:after="0"/>
              <w:rPr>
                <w:sz w:val="20"/>
                <w:szCs w:val="20"/>
                <w:color w:val="auto"/>
              </w:rPr>
            </w:pPr>
            <w:r>
              <w:rPr>
                <w:rFonts w:ascii="Arial" w:cs="Arial" w:eastAsia="Arial" w:hAnsi="Arial"/>
                <w:sz w:val="25"/>
                <w:szCs w:val="25"/>
                <w:b w:val="1"/>
                <w:bCs w:val="1"/>
                <w:color w:val="auto"/>
              </w:rPr>
              <w:t>10 of 12</w:t>
            </w:r>
          </w:p>
        </w:tc>
        <w:tc>
          <w:tcPr>
            <w:tcW w:w="20" w:type="dxa"/>
            <w:vAlign w:val="bottom"/>
            <w:shd w:val="clear" w:color="auto" w:fill="EDEDEE"/>
          </w:tcPr>
          <w:p>
            <w:pPr>
              <w:spacing w:after="0"/>
              <w:rPr>
                <w:sz w:val="9"/>
                <w:szCs w:val="9"/>
                <w:color w:val="auto"/>
              </w:rPr>
            </w:pPr>
          </w:p>
        </w:tc>
        <w:tc>
          <w:tcPr>
            <w:tcW w:w="1580" w:type="dxa"/>
            <w:vAlign w:val="bottom"/>
            <w:vMerge w:val="restart"/>
            <w:shd w:val="clear" w:color="auto" w:fill="EDEDEE"/>
          </w:tcPr>
          <w:p>
            <w:pPr>
              <w:ind w:left="40"/>
              <w:spacing w:after="0"/>
              <w:rPr>
                <w:sz w:val="20"/>
                <w:szCs w:val="20"/>
                <w:color w:val="auto"/>
              </w:rPr>
            </w:pPr>
            <w:r>
              <w:rPr>
                <w:rFonts w:ascii="Arial" w:cs="Arial" w:eastAsia="Arial" w:hAnsi="Arial"/>
                <w:sz w:val="25"/>
                <w:szCs w:val="25"/>
                <w:b w:val="1"/>
                <w:bCs w:val="1"/>
                <w:color w:val="auto"/>
              </w:rPr>
              <w:t>~7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58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58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58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58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58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600" w:type="dxa"/>
            <w:vAlign w:val="bottom"/>
            <w:vMerge w:val="continue"/>
            <w:shd w:val="clear" w:color="auto" w:fill="EDEDEE"/>
          </w:tcPr>
          <w:p>
            <w:pPr>
              <w:spacing w:after="0"/>
              <w:rPr>
                <w:sz w:val="24"/>
                <w:szCs w:val="24"/>
                <w:color w:val="auto"/>
              </w:rPr>
            </w:pPr>
          </w:p>
        </w:tc>
        <w:tc>
          <w:tcPr>
            <w:tcW w:w="20" w:type="dxa"/>
            <w:vAlign w:val="bottom"/>
            <w:shd w:val="clear" w:color="auto" w:fill="939598"/>
          </w:tcPr>
          <w:p>
            <w:pPr>
              <w:spacing w:after="0"/>
              <w:rPr>
                <w:sz w:val="24"/>
                <w:szCs w:val="24"/>
                <w:color w:val="auto"/>
              </w:rPr>
            </w:pPr>
          </w:p>
        </w:tc>
        <w:tc>
          <w:tcPr>
            <w:tcW w:w="1580" w:type="dxa"/>
            <w:vAlign w:val="bottom"/>
            <w:vMerge w:val="continue"/>
            <w:shd w:val="clear" w:color="auto" w:fill="EDED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auto"/>
              </w:rPr>
              <w:t>nominees are</w:t>
            </w:r>
          </w:p>
        </w:tc>
        <w:tc>
          <w:tcPr>
            <w:tcW w:w="20" w:type="dxa"/>
            <w:vAlign w:val="bottom"/>
            <w:shd w:val="clear" w:color="auto" w:fill="939598"/>
          </w:tcPr>
          <w:p>
            <w:pPr>
              <w:spacing w:after="0"/>
              <w:rPr>
                <w:sz w:val="17"/>
                <w:szCs w:val="17"/>
                <w:color w:val="auto"/>
              </w:rPr>
            </w:pPr>
          </w:p>
        </w:tc>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auto"/>
              </w:rPr>
              <w:t>nominees are</w:t>
            </w:r>
          </w:p>
        </w:tc>
        <w:tc>
          <w:tcPr>
            <w:tcW w:w="20" w:type="dxa"/>
            <w:vAlign w:val="bottom"/>
            <w:shd w:val="clear" w:color="auto" w:fill="939598"/>
          </w:tcPr>
          <w:p>
            <w:pPr>
              <w:spacing w:after="0"/>
              <w:rPr>
                <w:sz w:val="17"/>
                <w:szCs w:val="17"/>
                <w:color w:val="auto"/>
              </w:rPr>
            </w:pPr>
          </w:p>
        </w:tc>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auto"/>
              </w:rPr>
              <w:t>nominees are</w:t>
            </w:r>
          </w:p>
        </w:tc>
        <w:tc>
          <w:tcPr>
            <w:tcW w:w="20" w:type="dxa"/>
            <w:vAlign w:val="bottom"/>
            <w:shd w:val="clear" w:color="auto" w:fill="939598"/>
          </w:tcPr>
          <w:p>
            <w:pPr>
              <w:spacing w:after="0"/>
              <w:rPr>
                <w:sz w:val="17"/>
                <w:szCs w:val="17"/>
                <w:color w:val="auto"/>
              </w:rPr>
            </w:pPr>
          </w:p>
        </w:tc>
        <w:tc>
          <w:tcPr>
            <w:tcW w:w="1580" w:type="dxa"/>
            <w:vAlign w:val="bottom"/>
            <w:shd w:val="clear" w:color="auto" w:fill="EDEDEE"/>
          </w:tcPr>
          <w:p>
            <w:pPr>
              <w:ind w:left="40"/>
              <w:spacing w:after="0"/>
              <w:rPr>
                <w:sz w:val="20"/>
                <w:szCs w:val="20"/>
                <w:color w:val="auto"/>
              </w:rPr>
            </w:pPr>
            <w:r>
              <w:rPr>
                <w:rFonts w:ascii="Arial" w:cs="Arial" w:eastAsia="Arial" w:hAnsi="Arial"/>
                <w:sz w:val="16"/>
                <w:szCs w:val="16"/>
                <w:color w:val="auto"/>
              </w:rPr>
              <w:t xml:space="preserve">nominees were </w:t>
            </w:r>
            <w:r>
              <w:rPr>
                <w:rFonts w:ascii="Arial" w:cs="Arial" w:eastAsia="Arial" w:hAnsi="Arial"/>
                <w:sz w:val="16"/>
                <w:szCs w:val="16"/>
                <w:color w:val="D7282F"/>
              </w:rPr>
              <w:t>born</w:t>
            </w:r>
          </w:p>
        </w:tc>
        <w:tc>
          <w:tcPr>
            <w:tcW w:w="20" w:type="dxa"/>
            <w:vAlign w:val="bottom"/>
            <w:shd w:val="clear" w:color="auto" w:fill="939598"/>
          </w:tcPr>
          <w:p>
            <w:pPr>
              <w:spacing w:after="0"/>
              <w:rPr>
                <w:sz w:val="17"/>
                <w:szCs w:val="17"/>
                <w:color w:val="auto"/>
              </w:rPr>
            </w:pPr>
          </w:p>
        </w:tc>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auto"/>
              </w:rPr>
              <w:t>committees are</w:t>
            </w:r>
          </w:p>
        </w:tc>
        <w:tc>
          <w:tcPr>
            <w:tcW w:w="20" w:type="dxa"/>
            <w:vAlign w:val="bottom"/>
            <w:shd w:val="clear" w:color="auto" w:fill="939598"/>
          </w:tcPr>
          <w:p>
            <w:pPr>
              <w:spacing w:after="0"/>
              <w:rPr>
                <w:sz w:val="17"/>
                <w:szCs w:val="17"/>
                <w:color w:val="auto"/>
              </w:rPr>
            </w:pPr>
          </w:p>
        </w:tc>
        <w:tc>
          <w:tcPr>
            <w:tcW w:w="1600" w:type="dxa"/>
            <w:vAlign w:val="bottom"/>
            <w:shd w:val="clear" w:color="auto" w:fill="EDEDEE"/>
          </w:tcPr>
          <w:p>
            <w:pPr>
              <w:ind w:left="60"/>
              <w:spacing w:after="0"/>
              <w:rPr>
                <w:sz w:val="20"/>
                <w:szCs w:val="20"/>
                <w:color w:val="auto"/>
              </w:rPr>
            </w:pPr>
            <w:r>
              <w:rPr>
                <w:rFonts w:ascii="Arial" w:cs="Arial" w:eastAsia="Arial" w:hAnsi="Arial"/>
                <w:sz w:val="16"/>
                <w:szCs w:val="16"/>
                <w:color w:val="auto"/>
              </w:rPr>
              <w:t>nominees</w:t>
            </w:r>
          </w:p>
        </w:tc>
        <w:tc>
          <w:tcPr>
            <w:tcW w:w="20" w:type="dxa"/>
            <w:vAlign w:val="bottom"/>
            <w:shd w:val="clear" w:color="auto" w:fill="939598"/>
          </w:tcPr>
          <w:p>
            <w:pPr>
              <w:spacing w:after="0"/>
              <w:rPr>
                <w:sz w:val="17"/>
                <w:szCs w:val="17"/>
                <w:color w:val="auto"/>
              </w:rPr>
            </w:pPr>
          </w:p>
        </w:tc>
        <w:tc>
          <w:tcPr>
            <w:tcW w:w="1580" w:type="dxa"/>
            <w:vAlign w:val="bottom"/>
            <w:shd w:val="clear" w:color="auto" w:fill="EDEDEE"/>
          </w:tcPr>
          <w:p>
            <w:pPr>
              <w:ind w:left="40"/>
              <w:spacing w:after="0"/>
              <w:rPr>
                <w:sz w:val="20"/>
                <w:szCs w:val="20"/>
                <w:color w:val="auto"/>
              </w:rPr>
            </w:pPr>
            <w:r>
              <w:rPr>
                <w:rFonts w:ascii="Arial" w:cs="Arial" w:eastAsia="Arial" w:hAnsi="Arial"/>
                <w:sz w:val="16"/>
                <w:szCs w:val="16"/>
                <w:color w:val="auto"/>
              </w:rPr>
              <w:t xml:space="preserve">years </w:t>
            </w:r>
            <w:r>
              <w:rPr>
                <w:rFonts w:ascii="Arial" w:cs="Arial" w:eastAsia="Arial" w:hAnsi="Arial"/>
                <w:sz w:val="16"/>
                <w:szCs w:val="16"/>
                <w:color w:val="D7282F"/>
              </w:rPr>
              <w:t>average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D7282F"/>
              </w:rPr>
              <w:t>independent</w:t>
            </w:r>
          </w:p>
        </w:tc>
        <w:tc>
          <w:tcPr>
            <w:tcW w:w="20" w:type="dxa"/>
            <w:vAlign w:val="bottom"/>
            <w:shd w:val="clear" w:color="auto" w:fill="939598"/>
          </w:tcPr>
          <w:p>
            <w:pPr>
              <w:spacing w:after="0"/>
              <w:rPr>
                <w:sz w:val="16"/>
                <w:szCs w:val="16"/>
                <w:color w:val="auto"/>
              </w:rPr>
            </w:pPr>
          </w:p>
        </w:tc>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D7282F"/>
              </w:rPr>
              <w:t>women</w:t>
            </w:r>
          </w:p>
        </w:tc>
        <w:tc>
          <w:tcPr>
            <w:tcW w:w="20" w:type="dxa"/>
            <w:vAlign w:val="bottom"/>
            <w:shd w:val="clear" w:color="auto" w:fill="939598"/>
          </w:tcPr>
          <w:p>
            <w:pPr>
              <w:spacing w:after="0"/>
              <w:rPr>
                <w:sz w:val="16"/>
                <w:szCs w:val="16"/>
                <w:color w:val="auto"/>
              </w:rPr>
            </w:pPr>
          </w:p>
        </w:tc>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D7282F"/>
              </w:rPr>
              <w:t>ethnically or racially</w:t>
            </w:r>
          </w:p>
        </w:tc>
        <w:tc>
          <w:tcPr>
            <w:tcW w:w="20" w:type="dxa"/>
            <w:vAlign w:val="bottom"/>
            <w:shd w:val="clear" w:color="auto" w:fill="939598"/>
          </w:tcPr>
          <w:p>
            <w:pPr>
              <w:spacing w:after="0"/>
              <w:rPr>
                <w:sz w:val="16"/>
                <w:szCs w:val="16"/>
                <w:color w:val="auto"/>
              </w:rPr>
            </w:pPr>
          </w:p>
        </w:tc>
        <w:tc>
          <w:tcPr>
            <w:tcW w:w="1580" w:type="dxa"/>
            <w:vAlign w:val="bottom"/>
            <w:shd w:val="clear" w:color="auto" w:fill="EDEDEE"/>
          </w:tcPr>
          <w:p>
            <w:pPr>
              <w:ind w:left="40"/>
              <w:spacing w:after="0"/>
              <w:rPr>
                <w:sz w:val="20"/>
                <w:szCs w:val="20"/>
                <w:color w:val="auto"/>
              </w:rPr>
            </w:pPr>
            <w:r>
              <w:rPr>
                <w:rFonts w:ascii="Arial" w:cs="Arial" w:eastAsia="Arial" w:hAnsi="Arial"/>
                <w:sz w:val="16"/>
                <w:szCs w:val="16"/>
                <w:color w:val="D7282F"/>
              </w:rPr>
              <w:t>outside the United</w:t>
            </w:r>
          </w:p>
        </w:tc>
        <w:tc>
          <w:tcPr>
            <w:tcW w:w="20" w:type="dxa"/>
            <w:vAlign w:val="bottom"/>
            <w:shd w:val="clear" w:color="auto" w:fill="939598"/>
          </w:tcPr>
          <w:p>
            <w:pPr>
              <w:spacing w:after="0"/>
              <w:rPr>
                <w:sz w:val="16"/>
                <w:szCs w:val="16"/>
                <w:color w:val="auto"/>
              </w:rPr>
            </w:pPr>
          </w:p>
        </w:tc>
        <w:tc>
          <w:tcPr>
            <w:tcW w:w="1580" w:type="dxa"/>
            <w:vAlign w:val="bottom"/>
            <w:shd w:val="clear" w:color="auto" w:fill="EDEDEE"/>
          </w:tcPr>
          <w:p>
            <w:pPr>
              <w:ind w:left="60"/>
              <w:spacing w:after="0"/>
              <w:rPr>
                <w:sz w:val="20"/>
                <w:szCs w:val="20"/>
                <w:color w:val="auto"/>
              </w:rPr>
            </w:pPr>
            <w:r>
              <w:rPr>
                <w:rFonts w:ascii="Arial" w:cs="Arial" w:eastAsia="Arial" w:hAnsi="Arial"/>
                <w:sz w:val="16"/>
                <w:szCs w:val="16"/>
                <w:color w:val="D7282F"/>
              </w:rPr>
              <w:t>chaired by women</w:t>
            </w:r>
          </w:p>
        </w:tc>
        <w:tc>
          <w:tcPr>
            <w:tcW w:w="20" w:type="dxa"/>
            <w:vAlign w:val="bottom"/>
            <w:shd w:val="clear" w:color="auto" w:fill="939598"/>
          </w:tcPr>
          <w:p>
            <w:pPr>
              <w:spacing w:after="0"/>
              <w:rPr>
                <w:sz w:val="16"/>
                <w:szCs w:val="16"/>
                <w:color w:val="auto"/>
              </w:rPr>
            </w:pPr>
          </w:p>
        </w:tc>
        <w:tc>
          <w:tcPr>
            <w:tcW w:w="1600" w:type="dxa"/>
            <w:vAlign w:val="bottom"/>
            <w:shd w:val="clear" w:color="auto" w:fill="EDEDEE"/>
          </w:tcPr>
          <w:p>
            <w:pPr>
              <w:ind w:left="60"/>
              <w:spacing w:after="0"/>
              <w:rPr>
                <w:sz w:val="20"/>
                <w:szCs w:val="20"/>
                <w:color w:val="auto"/>
              </w:rPr>
            </w:pPr>
            <w:r>
              <w:rPr>
                <w:rFonts w:ascii="Arial" w:cs="Arial" w:eastAsia="Arial" w:hAnsi="Arial"/>
                <w:sz w:val="16"/>
                <w:szCs w:val="16"/>
                <w:color w:val="auto"/>
              </w:rPr>
              <w:t xml:space="preserve">have </w:t>
            </w:r>
            <w:r>
              <w:rPr>
                <w:rFonts w:ascii="Arial" w:cs="Arial" w:eastAsia="Arial" w:hAnsi="Arial"/>
                <w:sz w:val="16"/>
                <w:szCs w:val="16"/>
                <w:color w:val="D7282F"/>
              </w:rPr>
              <w:t>CEO</w:t>
            </w:r>
          </w:p>
        </w:tc>
        <w:tc>
          <w:tcPr>
            <w:tcW w:w="20" w:type="dxa"/>
            <w:vAlign w:val="bottom"/>
            <w:shd w:val="clear" w:color="auto" w:fill="939598"/>
          </w:tcPr>
          <w:p>
            <w:pPr>
              <w:spacing w:after="0"/>
              <w:rPr>
                <w:sz w:val="16"/>
                <w:szCs w:val="16"/>
                <w:color w:val="auto"/>
              </w:rPr>
            </w:pPr>
          </w:p>
        </w:tc>
        <w:tc>
          <w:tcPr>
            <w:tcW w:w="1580" w:type="dxa"/>
            <w:vAlign w:val="bottom"/>
            <w:shd w:val="clear" w:color="auto" w:fill="EDEDEE"/>
          </w:tcPr>
          <w:p>
            <w:pPr>
              <w:ind w:left="40"/>
              <w:spacing w:after="0"/>
              <w:rPr>
                <w:sz w:val="20"/>
                <w:szCs w:val="20"/>
                <w:color w:val="auto"/>
              </w:rPr>
            </w:pPr>
            <w:r>
              <w:rPr>
                <w:rFonts w:ascii="Arial" w:cs="Arial" w:eastAsia="Arial" w:hAnsi="Arial"/>
                <w:sz w:val="16"/>
                <w:szCs w:val="16"/>
                <w:color w:val="D7282F"/>
              </w:rPr>
              <w:t>tenure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EDEDEE"/>
            </w:tcBorders>
            <w:shd w:val="clear" w:color="auto" w:fill="EDEDEE"/>
          </w:tcPr>
          <w:p>
            <w:pPr>
              <w:spacing w:after="0"/>
              <w:rPr>
                <w:sz w:val="19"/>
                <w:szCs w:val="19"/>
                <w:color w:val="auto"/>
              </w:rPr>
            </w:pPr>
          </w:p>
        </w:tc>
        <w:tc>
          <w:tcPr>
            <w:tcW w:w="20" w:type="dxa"/>
            <w:vAlign w:val="bottom"/>
            <w:tcBorders>
              <w:bottom w:val="single" w:sz="8" w:color="939598"/>
            </w:tcBorders>
            <w:shd w:val="clear" w:color="auto" w:fill="939598"/>
          </w:tcPr>
          <w:p>
            <w:pPr>
              <w:spacing w:after="0"/>
              <w:rPr>
                <w:sz w:val="19"/>
                <w:szCs w:val="19"/>
                <w:color w:val="auto"/>
              </w:rPr>
            </w:pPr>
          </w:p>
        </w:tc>
        <w:tc>
          <w:tcPr>
            <w:tcW w:w="1580" w:type="dxa"/>
            <w:vAlign w:val="bottom"/>
            <w:tcBorders>
              <w:bottom w:val="single" w:sz="8" w:color="EDEDEE"/>
            </w:tcBorders>
            <w:shd w:val="clear" w:color="auto" w:fill="EDEDEE"/>
          </w:tcPr>
          <w:p>
            <w:pPr>
              <w:spacing w:after="0"/>
              <w:rPr>
                <w:sz w:val="19"/>
                <w:szCs w:val="19"/>
                <w:color w:val="auto"/>
              </w:rPr>
            </w:pPr>
          </w:p>
        </w:tc>
        <w:tc>
          <w:tcPr>
            <w:tcW w:w="20" w:type="dxa"/>
            <w:vAlign w:val="bottom"/>
            <w:tcBorders>
              <w:bottom w:val="single" w:sz="8" w:color="939598"/>
            </w:tcBorders>
            <w:shd w:val="clear" w:color="auto" w:fill="939598"/>
          </w:tcPr>
          <w:p>
            <w:pPr>
              <w:spacing w:after="0"/>
              <w:rPr>
                <w:sz w:val="19"/>
                <w:szCs w:val="19"/>
                <w:color w:val="auto"/>
              </w:rPr>
            </w:pPr>
          </w:p>
        </w:tc>
        <w:tc>
          <w:tcPr>
            <w:tcW w:w="1580" w:type="dxa"/>
            <w:vAlign w:val="bottom"/>
            <w:tcBorders>
              <w:bottom w:val="single" w:sz="8" w:color="EDEDEE"/>
            </w:tcBorders>
            <w:shd w:val="clear" w:color="auto" w:fill="EDEDEE"/>
          </w:tcPr>
          <w:p>
            <w:pPr>
              <w:ind w:left="60"/>
              <w:spacing w:after="0"/>
              <w:rPr>
                <w:sz w:val="20"/>
                <w:szCs w:val="20"/>
                <w:color w:val="auto"/>
              </w:rPr>
            </w:pPr>
            <w:r>
              <w:rPr>
                <w:rFonts w:ascii="Arial" w:cs="Arial" w:eastAsia="Arial" w:hAnsi="Arial"/>
                <w:sz w:val="16"/>
                <w:szCs w:val="16"/>
                <w:color w:val="D7282F"/>
              </w:rPr>
              <w:t>diverse</w:t>
            </w:r>
          </w:p>
        </w:tc>
        <w:tc>
          <w:tcPr>
            <w:tcW w:w="20" w:type="dxa"/>
            <w:vAlign w:val="bottom"/>
            <w:tcBorders>
              <w:bottom w:val="single" w:sz="8" w:color="939598"/>
            </w:tcBorders>
            <w:shd w:val="clear" w:color="auto" w:fill="939598"/>
          </w:tcPr>
          <w:p>
            <w:pPr>
              <w:spacing w:after="0"/>
              <w:rPr>
                <w:sz w:val="19"/>
                <w:szCs w:val="19"/>
                <w:color w:val="auto"/>
              </w:rPr>
            </w:pPr>
          </w:p>
        </w:tc>
        <w:tc>
          <w:tcPr>
            <w:tcW w:w="1580" w:type="dxa"/>
            <w:vAlign w:val="bottom"/>
            <w:tcBorders>
              <w:bottom w:val="single" w:sz="8" w:color="EDEDEE"/>
            </w:tcBorders>
            <w:shd w:val="clear" w:color="auto" w:fill="EDEDEE"/>
          </w:tcPr>
          <w:p>
            <w:pPr>
              <w:ind w:left="40"/>
              <w:spacing w:after="0"/>
              <w:rPr>
                <w:sz w:val="20"/>
                <w:szCs w:val="20"/>
                <w:color w:val="auto"/>
              </w:rPr>
            </w:pPr>
            <w:r>
              <w:rPr>
                <w:rFonts w:ascii="Arial" w:cs="Arial" w:eastAsia="Arial" w:hAnsi="Arial"/>
                <w:sz w:val="16"/>
                <w:szCs w:val="16"/>
                <w:color w:val="D7282F"/>
              </w:rPr>
              <w:t>States</w:t>
            </w:r>
          </w:p>
        </w:tc>
        <w:tc>
          <w:tcPr>
            <w:tcW w:w="20" w:type="dxa"/>
            <w:vAlign w:val="bottom"/>
            <w:tcBorders>
              <w:bottom w:val="single" w:sz="8" w:color="939598"/>
            </w:tcBorders>
            <w:shd w:val="clear" w:color="auto" w:fill="939598"/>
          </w:tcPr>
          <w:p>
            <w:pPr>
              <w:spacing w:after="0"/>
              <w:rPr>
                <w:sz w:val="19"/>
                <w:szCs w:val="19"/>
                <w:color w:val="auto"/>
              </w:rPr>
            </w:pPr>
          </w:p>
        </w:tc>
        <w:tc>
          <w:tcPr>
            <w:tcW w:w="1580" w:type="dxa"/>
            <w:vAlign w:val="bottom"/>
            <w:tcBorders>
              <w:bottom w:val="single" w:sz="8" w:color="EDEDEE"/>
            </w:tcBorders>
            <w:shd w:val="clear" w:color="auto" w:fill="EDEDEE"/>
          </w:tcPr>
          <w:p>
            <w:pPr>
              <w:spacing w:after="0"/>
              <w:rPr>
                <w:sz w:val="19"/>
                <w:szCs w:val="19"/>
                <w:color w:val="auto"/>
              </w:rPr>
            </w:pPr>
          </w:p>
        </w:tc>
        <w:tc>
          <w:tcPr>
            <w:tcW w:w="20" w:type="dxa"/>
            <w:vAlign w:val="bottom"/>
            <w:tcBorders>
              <w:bottom w:val="single" w:sz="8" w:color="939598"/>
            </w:tcBorders>
            <w:shd w:val="clear" w:color="auto" w:fill="939598"/>
          </w:tcPr>
          <w:p>
            <w:pPr>
              <w:spacing w:after="0"/>
              <w:rPr>
                <w:sz w:val="19"/>
                <w:szCs w:val="19"/>
                <w:color w:val="auto"/>
              </w:rPr>
            </w:pPr>
          </w:p>
        </w:tc>
        <w:tc>
          <w:tcPr>
            <w:tcW w:w="1600" w:type="dxa"/>
            <w:vAlign w:val="bottom"/>
            <w:tcBorders>
              <w:bottom w:val="single" w:sz="8" w:color="EDEDEE"/>
            </w:tcBorders>
            <w:shd w:val="clear" w:color="auto" w:fill="EDEDEE"/>
          </w:tcPr>
          <w:p>
            <w:pPr>
              <w:ind w:left="60"/>
              <w:spacing w:after="0"/>
              <w:rPr>
                <w:sz w:val="20"/>
                <w:szCs w:val="20"/>
                <w:color w:val="auto"/>
              </w:rPr>
            </w:pPr>
            <w:r>
              <w:rPr>
                <w:rFonts w:ascii="Arial" w:cs="Arial" w:eastAsia="Arial" w:hAnsi="Arial"/>
                <w:sz w:val="16"/>
                <w:szCs w:val="16"/>
                <w:color w:val="auto"/>
              </w:rPr>
              <w:t>experience</w:t>
            </w:r>
          </w:p>
        </w:tc>
        <w:tc>
          <w:tcPr>
            <w:tcW w:w="20" w:type="dxa"/>
            <w:vAlign w:val="bottom"/>
            <w:tcBorders>
              <w:bottom w:val="single" w:sz="8" w:color="939598"/>
            </w:tcBorders>
            <w:shd w:val="clear" w:color="auto" w:fill="939598"/>
          </w:tcPr>
          <w:p>
            <w:pPr>
              <w:spacing w:after="0"/>
              <w:rPr>
                <w:sz w:val="19"/>
                <w:szCs w:val="19"/>
                <w:color w:val="auto"/>
              </w:rPr>
            </w:pPr>
          </w:p>
        </w:tc>
        <w:tc>
          <w:tcPr>
            <w:tcW w:w="1580" w:type="dxa"/>
            <w:vAlign w:val="bottom"/>
            <w:tcBorders>
              <w:bottom w:val="single" w:sz="8" w:color="EDEDEE"/>
            </w:tcBorders>
            <w:shd w:val="clear" w:color="auto" w:fill="EDEDE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58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58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58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58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58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600" w:type="dxa"/>
            <w:vAlign w:val="bottom"/>
            <w:shd w:val="clear" w:color="auto" w:fill="EDEDEE"/>
          </w:tcPr>
          <w:p>
            <w:pPr>
              <w:spacing w:after="0"/>
              <w:rPr>
                <w:sz w:val="9"/>
                <w:szCs w:val="9"/>
                <w:color w:val="auto"/>
              </w:rPr>
            </w:pPr>
          </w:p>
        </w:tc>
        <w:tc>
          <w:tcPr>
            <w:tcW w:w="20" w:type="dxa"/>
            <w:vAlign w:val="bottom"/>
            <w:shd w:val="clear" w:color="auto" w:fill="EDEDEE"/>
          </w:tcPr>
          <w:p>
            <w:pPr>
              <w:spacing w:after="0"/>
              <w:rPr>
                <w:sz w:val="9"/>
                <w:szCs w:val="9"/>
                <w:color w:val="auto"/>
              </w:rPr>
            </w:pPr>
          </w:p>
        </w:tc>
        <w:tc>
          <w:tcPr>
            <w:tcW w:w="1580" w:type="dxa"/>
            <w:vAlign w:val="bottom"/>
            <w:shd w:val="clear" w:color="auto" w:fill="EDEDE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58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158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158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158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158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160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1580" w:type="dxa"/>
            <w:vAlign w:val="bottom"/>
            <w:tcBorders>
              <w:bottom w:val="single" w:sz="8" w:color="D7282F"/>
            </w:tcBorders>
          </w:tcPr>
          <w:p>
            <w:pPr>
              <w:spacing w:after="0"/>
              <w:rPr>
                <w:sz w:val="18"/>
                <w:szCs w:val="18"/>
                <w:color w:val="auto"/>
              </w:rPr>
            </w:pPr>
          </w:p>
        </w:tc>
        <w:tc>
          <w:tcPr>
            <w:tcW w:w="20" w:type="dxa"/>
            <w:vAlign w:val="bottom"/>
            <w:tcBorders>
              <w:bottom w:val="single" w:sz="8" w:color="D7282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5175" cy="3025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15175" cy="302577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56" w:lineRule="exact"/>
        <w:rPr>
          <w:sz w:val="20"/>
          <w:szCs w:val="20"/>
          <w:color w:val="auto"/>
        </w:rPr>
      </w:pPr>
    </w:p>
    <w:p>
      <w:pPr>
        <w:ind w:left="20" w:right="660"/>
        <w:spacing w:after="0" w:line="314" w:lineRule="auto"/>
        <w:rPr>
          <w:sz w:val="20"/>
          <w:szCs w:val="20"/>
          <w:color w:val="auto"/>
        </w:rPr>
      </w:pPr>
      <w:r>
        <w:rPr>
          <w:rFonts w:ascii="Arial" w:cs="Arial" w:eastAsia="Arial" w:hAnsi="Arial"/>
          <w:sz w:val="16"/>
          <w:szCs w:val="16"/>
          <w:b w:val="1"/>
          <w:bCs w:val="1"/>
          <w:color w:val="D7282F"/>
        </w:rPr>
        <w:t>SHAREOWNER EMPOWERMENT AND ENGAGEMENT</w:t>
      </w:r>
    </w:p>
    <w:p>
      <w:pPr>
        <w:spacing w:after="0" w:line="72" w:lineRule="exact"/>
        <w:rPr>
          <w:sz w:val="20"/>
          <w:szCs w:val="20"/>
          <w:color w:val="auto"/>
        </w:rPr>
      </w:pPr>
    </w:p>
    <w:p>
      <w:pPr>
        <w:ind w:left="220" w:right="20" w:hanging="198"/>
        <w:spacing w:after="0"/>
        <w:rPr>
          <w:sz w:val="20"/>
          <w:szCs w:val="20"/>
          <w:color w:val="auto"/>
        </w:rPr>
      </w:pPr>
      <w:r>
        <w:rPr>
          <w:sz w:val="1"/>
          <w:szCs w:val="1"/>
          <w:color w:val="auto"/>
        </w:rPr>
        <w:drawing>
          <wp:inline distT="0" distB="0" distL="0" distR="0">
            <wp:extent cx="85725" cy="6858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15% threshold for shareowners to call a special meeting.</w:t>
      </w:r>
    </w:p>
    <w:p>
      <w:pPr>
        <w:spacing w:after="0" w:line="69" w:lineRule="exact"/>
        <w:rPr>
          <w:sz w:val="20"/>
          <w:szCs w:val="20"/>
          <w:color w:val="auto"/>
        </w:rPr>
      </w:pPr>
    </w:p>
    <w:p>
      <w:pPr>
        <w:ind w:left="220" w:right="100" w:hanging="198"/>
        <w:spacing w:after="0"/>
        <w:rPr>
          <w:sz w:val="20"/>
          <w:szCs w:val="20"/>
          <w:color w:val="auto"/>
        </w:rPr>
      </w:pPr>
      <w:r>
        <w:rPr>
          <w:sz w:val="1"/>
          <w:szCs w:val="1"/>
          <w:color w:val="auto"/>
        </w:rPr>
        <w:drawing>
          <wp:inline distT="0" distB="0" distL="0" distR="0">
            <wp:extent cx="85725" cy="6858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Majority shareowner vote to amend Certificate of Incorporation and By-laws.</w:t>
      </w:r>
    </w:p>
    <w:p>
      <w:pPr>
        <w:spacing w:after="0" w:line="55" w:lineRule="exact"/>
        <w:rPr>
          <w:sz w:val="20"/>
          <w:szCs w:val="20"/>
          <w:color w:val="auto"/>
        </w:rPr>
      </w:pPr>
    </w:p>
    <w:p>
      <w:pPr>
        <w:ind w:left="220" w:right="280" w:hanging="198"/>
        <w:spacing w:after="0"/>
        <w:rPr>
          <w:sz w:val="20"/>
          <w:szCs w:val="20"/>
          <w:color w:val="auto"/>
        </w:rPr>
      </w:pPr>
      <w:r>
        <w:rPr>
          <w:sz w:val="1"/>
          <w:szCs w:val="1"/>
          <w:color w:val="auto"/>
        </w:rPr>
        <w:drawing>
          <wp:inline distT="0" distB="0" distL="0" distR="0">
            <wp:extent cx="85725" cy="6858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Annual election of all directors, with majority shareowner vote requirement in uncontested elections.</w:t>
      </w:r>
    </w:p>
    <w:p>
      <w:pPr>
        <w:spacing w:after="0" w:line="69" w:lineRule="exact"/>
        <w:rPr>
          <w:sz w:val="20"/>
          <w:szCs w:val="20"/>
          <w:color w:val="auto"/>
        </w:rPr>
      </w:pPr>
    </w:p>
    <w:p>
      <w:pPr>
        <w:ind w:left="220" w:hanging="198"/>
        <w:spacing w:after="0"/>
        <w:rPr>
          <w:sz w:val="20"/>
          <w:szCs w:val="20"/>
          <w:color w:val="auto"/>
        </w:rPr>
      </w:pPr>
      <w:r>
        <w:rPr>
          <w:sz w:val="1"/>
          <w:szCs w:val="1"/>
          <w:color w:val="auto"/>
        </w:rPr>
        <w:drawing>
          <wp:inline distT="0" distB="0" distL="0" distR="0">
            <wp:extent cx="85725" cy="6858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No poison pill; we will seek shareowner approval if a shareowner rights plan is adopted.</w:t>
      </w:r>
    </w:p>
    <w:p>
      <w:pPr>
        <w:spacing w:after="0" w:line="55" w:lineRule="exact"/>
        <w:rPr>
          <w:sz w:val="20"/>
          <w:szCs w:val="20"/>
          <w:color w:val="auto"/>
        </w:rPr>
      </w:pPr>
    </w:p>
    <w:p>
      <w:pPr>
        <w:ind w:left="220" w:right="200" w:hanging="198"/>
        <w:spacing w:after="0"/>
        <w:rPr>
          <w:sz w:val="20"/>
          <w:szCs w:val="20"/>
          <w:color w:val="auto"/>
        </w:rPr>
      </w:pPr>
      <w:r>
        <w:rPr>
          <w:sz w:val="1"/>
          <w:szCs w:val="1"/>
          <w:color w:val="auto"/>
        </w:rPr>
        <w:drawing>
          <wp:inline distT="0" distB="0" distL="0" distR="0">
            <wp:extent cx="85725" cy="6858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Robust year-round shareowner engagement, with independent director participation.</w:t>
      </w:r>
    </w:p>
    <w:p>
      <w:pPr>
        <w:spacing w:after="0" w:line="55" w:lineRule="exact"/>
        <w:rPr>
          <w:sz w:val="20"/>
          <w:szCs w:val="20"/>
          <w:color w:val="auto"/>
        </w:rPr>
      </w:pPr>
    </w:p>
    <w:p>
      <w:pPr>
        <w:ind w:left="220" w:right="60" w:hanging="198"/>
        <w:spacing w:after="0"/>
        <w:rPr>
          <w:sz w:val="20"/>
          <w:szCs w:val="20"/>
          <w:color w:val="auto"/>
        </w:rPr>
      </w:pPr>
      <w:r>
        <w:rPr>
          <w:sz w:val="1"/>
          <w:szCs w:val="1"/>
          <w:color w:val="auto"/>
        </w:rPr>
        <w:drawing>
          <wp:inline distT="0" distB="0" distL="0" distR="0">
            <wp:extent cx="85725" cy="6858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Proxy access enabling shareowner(s) holding 3% of our stock for three years to include up to two director nominees (or nominees representing 20% of the Board) in our proxy.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280"/>
        <w:spacing w:after="0" w:line="314" w:lineRule="auto"/>
        <w:rPr>
          <w:sz w:val="20"/>
          <w:szCs w:val="20"/>
          <w:color w:val="auto"/>
        </w:rPr>
      </w:pPr>
      <w:r>
        <w:rPr>
          <w:rFonts w:ascii="Arial" w:cs="Arial" w:eastAsia="Arial" w:hAnsi="Arial"/>
          <w:sz w:val="16"/>
          <w:szCs w:val="16"/>
          <w:b w:val="1"/>
          <w:bCs w:val="1"/>
          <w:color w:val="D7282F"/>
        </w:rPr>
        <w:t>DIVERSE AND INDEPENDENT BOARD OF DIRECTORS</w:t>
      </w:r>
    </w:p>
    <w:p>
      <w:pPr>
        <w:spacing w:after="0" w:line="72" w:lineRule="exact"/>
        <w:rPr>
          <w:sz w:val="20"/>
          <w:szCs w:val="20"/>
          <w:color w:val="auto"/>
        </w:rPr>
      </w:pPr>
    </w:p>
    <w:p>
      <w:pPr>
        <w:ind w:left="200" w:right="20" w:hanging="195"/>
        <w:spacing w:after="0"/>
        <w:rPr>
          <w:sz w:val="20"/>
          <w:szCs w:val="20"/>
          <w:color w:val="auto"/>
        </w:rPr>
      </w:pPr>
      <w:r>
        <w:rPr>
          <w:sz w:val="1"/>
          <w:szCs w:val="1"/>
          <w:color w:val="auto"/>
        </w:rPr>
        <w:drawing>
          <wp:inline distT="0" distB="0" distL="0" distR="0">
            <wp:extent cx="85725" cy="6858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All director nominees are independent, except our Chairman and Chief Executive Officer.</w:t>
      </w:r>
    </w:p>
    <w:p>
      <w:pPr>
        <w:spacing w:after="0" w:line="69" w:lineRule="exact"/>
        <w:rPr>
          <w:sz w:val="20"/>
          <w:szCs w:val="20"/>
          <w:color w:val="auto"/>
        </w:rPr>
      </w:pPr>
    </w:p>
    <w:p>
      <w:pPr>
        <w:ind w:left="200" w:hanging="195"/>
        <w:spacing w:after="0"/>
        <w:rPr>
          <w:sz w:val="20"/>
          <w:szCs w:val="20"/>
          <w:color w:val="auto"/>
        </w:rPr>
      </w:pPr>
      <w:r>
        <w:rPr>
          <w:sz w:val="1"/>
          <w:szCs w:val="1"/>
          <w:color w:val="auto"/>
        </w:rPr>
        <w:drawing>
          <wp:inline distT="0" distB="0" distL="0" distR="0">
            <wp:extent cx="85725" cy="6858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Leader in Board diversity relative to personal characteristics (4 women, 2 Asian, 1 Hispanic, 2 African American) and experiences (industry, profession, public</w:t>
      </w:r>
    </w:p>
    <w:p>
      <w:pPr>
        <w:ind w:left="200"/>
        <w:spacing w:after="0"/>
        <w:rPr>
          <w:sz w:val="20"/>
          <w:szCs w:val="20"/>
          <w:color w:val="auto"/>
        </w:rPr>
      </w:pPr>
      <w:r>
        <w:rPr>
          <w:rFonts w:ascii="Arial" w:cs="Arial" w:eastAsia="Arial" w:hAnsi="Arial"/>
          <w:sz w:val="16"/>
          <w:szCs w:val="16"/>
          <w:color w:val="auto"/>
        </w:rPr>
        <w:t>service, geography).</w:t>
      </w:r>
    </w:p>
    <w:p>
      <w:pPr>
        <w:spacing w:after="0" w:line="84"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85725" cy="685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Range of tenures enables balance between historical experience and fresh perspectives.</w:t>
      </w:r>
    </w:p>
    <w:p>
      <w:pPr>
        <w:spacing w:after="0" w:line="55" w:lineRule="exact"/>
        <w:rPr>
          <w:sz w:val="20"/>
          <w:szCs w:val="20"/>
          <w:color w:val="auto"/>
        </w:rPr>
      </w:pPr>
    </w:p>
    <w:p>
      <w:pPr>
        <w:ind w:left="200" w:right="40" w:hanging="195"/>
        <w:spacing w:after="0"/>
        <w:rPr>
          <w:sz w:val="20"/>
          <w:szCs w:val="20"/>
          <w:color w:val="auto"/>
        </w:rPr>
      </w:pPr>
      <w:r>
        <w:rPr>
          <w:sz w:val="1"/>
          <w:szCs w:val="1"/>
          <w:color w:val="auto"/>
        </w:rPr>
        <w:drawing>
          <wp:inline distT="0" distB="0" distL="0" distR="0">
            <wp:extent cx="85725" cy="685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Skills and background aligned to our strategic direction.</w:t>
      </w:r>
    </w:p>
    <w:p>
      <w:pPr>
        <w:spacing w:after="0" w:line="55" w:lineRule="exact"/>
        <w:rPr>
          <w:sz w:val="20"/>
          <w:szCs w:val="20"/>
          <w:color w:val="auto"/>
        </w:rPr>
      </w:pPr>
    </w:p>
    <w:p>
      <w:pPr>
        <w:ind w:left="200" w:right="400" w:hanging="195"/>
        <w:spacing w:after="0"/>
        <w:rPr>
          <w:sz w:val="20"/>
          <w:szCs w:val="20"/>
          <w:color w:val="auto"/>
        </w:rPr>
      </w:pPr>
      <w:r>
        <w:rPr>
          <w:sz w:val="1"/>
          <w:szCs w:val="1"/>
          <w:color w:val="auto"/>
        </w:rPr>
        <w:drawing>
          <wp:inline distT="0" distB="0" distL="0" distR="0">
            <wp:extent cx="85725" cy="6858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No director may serve on more than four public company boards (including the Honeywell Board).</w:t>
      </w:r>
    </w:p>
    <w:p>
      <w:pPr>
        <w:spacing w:after="0" w:line="55" w:lineRule="exact"/>
        <w:rPr>
          <w:sz w:val="20"/>
          <w:szCs w:val="20"/>
          <w:color w:val="auto"/>
        </w:rPr>
      </w:pPr>
    </w:p>
    <w:p>
      <w:pPr>
        <w:ind w:left="200" w:right="120" w:hanging="195"/>
        <w:spacing w:after="0"/>
        <w:rPr>
          <w:sz w:val="20"/>
          <w:szCs w:val="20"/>
          <w:color w:val="auto"/>
        </w:rPr>
      </w:pPr>
      <w:r>
        <w:rPr>
          <w:sz w:val="1"/>
          <w:szCs w:val="1"/>
          <w:color w:val="auto"/>
        </w:rPr>
        <w:drawing>
          <wp:inline distT="0" distB="0" distL="0" distR="0">
            <wp:extent cx="85725" cy="6858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Requirement to interview diverse candidates prior to selecting new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567055</wp:posOffset>
            </wp:positionV>
            <wp:extent cx="7115175" cy="2177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2177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b w:val="1"/>
          <w:bCs w:val="1"/>
          <w:color w:val="D7282F"/>
        </w:rPr>
        <w:t>BEST-IN-CLASS BOARD STRUCTURE AND PROCESSES</w:t>
      </w:r>
    </w:p>
    <w:p>
      <w:pPr>
        <w:spacing w:after="0" w:line="72" w:lineRule="exact"/>
        <w:rPr>
          <w:sz w:val="20"/>
          <w:szCs w:val="20"/>
          <w:color w:val="auto"/>
        </w:rPr>
      </w:pPr>
    </w:p>
    <w:p>
      <w:pPr>
        <w:ind w:left="200" w:right="460" w:hanging="195"/>
        <w:spacing w:after="0"/>
        <w:rPr>
          <w:sz w:val="20"/>
          <w:szCs w:val="20"/>
          <w:color w:val="auto"/>
        </w:rPr>
      </w:pPr>
      <w:r>
        <w:rPr>
          <w:sz w:val="1"/>
          <w:szCs w:val="1"/>
          <w:color w:val="auto"/>
        </w:rPr>
        <w:drawing>
          <wp:inline distT="0" distB="0" distL="0" distR="0">
            <wp:extent cx="85725" cy="6858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Independent Lead Director with expanded responsibilities elected by independent directors.</w:t>
      </w:r>
    </w:p>
    <w:p>
      <w:pPr>
        <w:spacing w:after="0" w:line="55" w:lineRule="exact"/>
        <w:rPr>
          <w:sz w:val="20"/>
          <w:szCs w:val="20"/>
          <w:color w:val="auto"/>
        </w:rPr>
      </w:pPr>
    </w:p>
    <w:p>
      <w:pPr>
        <w:jc w:val="both"/>
        <w:ind w:left="200" w:right="240" w:hanging="195"/>
        <w:spacing w:after="0"/>
        <w:rPr>
          <w:sz w:val="20"/>
          <w:szCs w:val="20"/>
          <w:color w:val="auto"/>
        </w:rPr>
      </w:pPr>
      <w:r>
        <w:rPr>
          <w:sz w:val="1"/>
          <w:szCs w:val="1"/>
          <w:color w:val="auto"/>
        </w:rPr>
        <w:drawing>
          <wp:inline distT="0" distB="0" distL="0" distR="0">
            <wp:extent cx="85725" cy="6858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Independent Lead Director and CGRC Chair empowered to call special Board meetings at any time for any reason.</w:t>
      </w:r>
    </w:p>
    <w:p>
      <w:pPr>
        <w:spacing w:after="0" w:line="55" w:lineRule="exact"/>
        <w:rPr>
          <w:sz w:val="20"/>
          <w:szCs w:val="20"/>
          <w:color w:val="auto"/>
        </w:rPr>
      </w:pPr>
    </w:p>
    <w:p>
      <w:pPr>
        <w:spacing w:after="0"/>
        <w:rPr>
          <w:sz w:val="20"/>
          <w:szCs w:val="20"/>
          <w:color w:val="auto"/>
        </w:rPr>
      </w:pPr>
      <w:r>
        <w:rPr>
          <w:sz w:val="1"/>
          <w:szCs w:val="1"/>
          <w:color w:val="auto"/>
        </w:rPr>
        <w:drawing>
          <wp:inline distT="0" distB="0" distL="0" distR="0">
            <wp:extent cx="85725" cy="6858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ESG oversight by the CGRC.</w:t>
      </w:r>
    </w:p>
    <w:p>
      <w:pPr>
        <w:spacing w:after="0" w:line="100" w:lineRule="exact"/>
        <w:rPr>
          <w:sz w:val="20"/>
          <w:szCs w:val="20"/>
          <w:color w:val="auto"/>
        </w:rPr>
      </w:pPr>
    </w:p>
    <w:p>
      <w:pPr>
        <w:ind w:left="200" w:right="1320" w:hanging="195"/>
        <w:spacing w:after="0"/>
        <w:rPr>
          <w:sz w:val="20"/>
          <w:szCs w:val="20"/>
          <w:color w:val="auto"/>
        </w:rPr>
      </w:pPr>
      <w:r>
        <w:rPr>
          <w:sz w:val="1"/>
          <w:szCs w:val="1"/>
          <w:color w:val="auto"/>
        </w:rPr>
        <w:drawing>
          <wp:inline distT="0" distB="0" distL="0" distR="0">
            <wp:extent cx="85725" cy="6858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Regular executive sessions of independent directors.</w:t>
      </w:r>
    </w:p>
    <w:p>
      <w:pPr>
        <w:spacing w:after="0" w:line="55" w:lineRule="exact"/>
        <w:rPr>
          <w:sz w:val="20"/>
          <w:szCs w:val="20"/>
          <w:color w:val="auto"/>
        </w:rPr>
      </w:pPr>
    </w:p>
    <w:p>
      <w:pPr>
        <w:jc w:val="both"/>
        <w:ind w:left="200" w:right="220" w:hanging="195"/>
        <w:spacing w:after="0"/>
        <w:rPr>
          <w:sz w:val="20"/>
          <w:szCs w:val="20"/>
          <w:color w:val="auto"/>
        </w:rPr>
      </w:pPr>
      <w:r>
        <w:rPr>
          <w:sz w:val="1"/>
          <w:szCs w:val="1"/>
          <w:color w:val="auto"/>
        </w:rPr>
        <w:drawing>
          <wp:inline distT="0" distB="0" distL="0" distR="0">
            <wp:extent cx="85725" cy="6858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Annual self-assessment to enable adequate Board refreshment and appropriate evolution of Board skills, experience, and perspectives.</w:t>
      </w:r>
    </w:p>
    <w:p>
      <w:pPr>
        <w:spacing w:after="0" w:line="55" w:lineRule="exact"/>
        <w:rPr>
          <w:sz w:val="20"/>
          <w:szCs w:val="20"/>
          <w:color w:val="auto"/>
        </w:rPr>
      </w:pPr>
    </w:p>
    <w:p>
      <w:pPr>
        <w:jc w:val="both"/>
        <w:ind w:left="200" w:right="540" w:hanging="195"/>
        <w:spacing w:after="0"/>
        <w:rPr>
          <w:sz w:val="20"/>
          <w:szCs w:val="20"/>
          <w:color w:val="auto"/>
        </w:rPr>
      </w:pPr>
      <w:r>
        <w:rPr>
          <w:sz w:val="1"/>
          <w:szCs w:val="1"/>
          <w:color w:val="auto"/>
        </w:rPr>
        <w:drawing>
          <wp:inline distT="0" distB="0" distL="0" distR="0">
            <wp:extent cx="85725" cy="6858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Annual review of Corporate Governance Guidelines to ensure alignment with best practices.</w:t>
      </w:r>
    </w:p>
    <w:p>
      <w:pPr>
        <w:spacing w:after="0" w:line="69" w:lineRule="exact"/>
        <w:rPr>
          <w:sz w:val="20"/>
          <w:szCs w:val="20"/>
          <w:color w:val="auto"/>
        </w:rPr>
      </w:pPr>
    </w:p>
    <w:p>
      <w:pPr>
        <w:ind w:left="200" w:right="380" w:hanging="195"/>
        <w:spacing w:after="0"/>
        <w:rPr>
          <w:sz w:val="20"/>
          <w:szCs w:val="20"/>
          <w:color w:val="auto"/>
        </w:rPr>
      </w:pPr>
      <w:r>
        <w:rPr>
          <w:sz w:val="1"/>
          <w:szCs w:val="1"/>
          <w:color w:val="auto"/>
        </w:rPr>
        <w:drawing>
          <wp:inline distT="0" distB="0" distL="0" distR="0">
            <wp:extent cx="85725" cy="6858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Director stock ownership guidelines require equity holdings of at least 5x annual cash retainer by non-employee directors.</w:t>
      </w:r>
    </w:p>
    <w:p>
      <w:pPr>
        <w:spacing w:after="0" w:line="200" w:lineRule="exact"/>
        <w:rPr>
          <w:sz w:val="20"/>
          <w:szCs w:val="20"/>
          <w:color w:val="auto"/>
        </w:rPr>
      </w:pPr>
    </w:p>
    <w:p>
      <w:pPr>
        <w:sectPr>
          <w:pgSz w:w="11900" w:h="16838" w:orient="portrait"/>
          <w:cols w:equalWidth="0" w:num="3">
            <w:col w:w="3620" w:space="220"/>
            <w:col w:w="3500" w:space="240"/>
            <w:col w:w="3660"/>
          </w:cols>
          <w:pgMar w:left="320" w:top="230" w:right="339" w:bottom="1440" w:gutter="0" w:footer="0" w:header="0"/>
          <w:type w:val="continuous"/>
        </w:sect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ROBUST OVERSIGHT OF RISKS AND OPPORTUNITIES</w:t>
      </w:r>
    </w:p>
    <w:p>
      <w:pPr>
        <w:spacing w:after="0" w:line="154" w:lineRule="exact"/>
        <w:rPr>
          <w:sz w:val="20"/>
          <w:szCs w:val="20"/>
          <w:color w:val="auto"/>
        </w:rPr>
      </w:pPr>
    </w:p>
    <w:p>
      <w:pPr>
        <w:ind w:left="220" w:right="400" w:hanging="198"/>
        <w:spacing w:after="0"/>
        <w:rPr>
          <w:sz w:val="20"/>
          <w:szCs w:val="20"/>
          <w:color w:val="auto"/>
        </w:rPr>
      </w:pPr>
      <w:r>
        <w:rPr>
          <w:sz w:val="1"/>
          <w:szCs w:val="1"/>
          <w:color w:val="auto"/>
        </w:rPr>
        <w:drawing>
          <wp:inline distT="0" distB="0" distL="0" distR="0">
            <wp:extent cx="85725" cy="6858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Robust Enterprise Risk Management (ERM) program to enable Board identification and monitoring of risk.</w:t>
      </w:r>
    </w:p>
    <w:p>
      <w:pPr>
        <w:spacing w:after="0" w:line="55" w:lineRule="exact"/>
        <w:rPr>
          <w:sz w:val="20"/>
          <w:szCs w:val="20"/>
          <w:color w:val="auto"/>
        </w:rPr>
      </w:pPr>
    </w:p>
    <w:p>
      <w:pPr>
        <w:ind w:left="20"/>
        <w:spacing w:after="0"/>
        <w:rPr>
          <w:sz w:val="20"/>
          <w:szCs w:val="20"/>
          <w:color w:val="auto"/>
        </w:rPr>
      </w:pPr>
      <w:r>
        <w:rPr>
          <w:sz w:val="1"/>
          <w:szCs w:val="1"/>
          <w:color w:val="auto"/>
        </w:rPr>
        <w:drawing>
          <wp:inline distT="0" distB="0" distL="0" distR="0">
            <wp:extent cx="85725" cy="6858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Purposeful inclusion of key risk areas on Board and/or committee agendas.</w:t>
      </w:r>
    </w:p>
    <w:p>
      <w:pPr>
        <w:spacing w:after="0" w:line="100" w:lineRule="exact"/>
        <w:rPr>
          <w:sz w:val="20"/>
          <w:szCs w:val="20"/>
          <w:color w:val="auto"/>
        </w:rPr>
      </w:pPr>
    </w:p>
    <w:p>
      <w:pPr>
        <w:ind w:left="220" w:right="200" w:hanging="198"/>
        <w:spacing w:after="0"/>
        <w:rPr>
          <w:sz w:val="20"/>
          <w:szCs w:val="20"/>
          <w:color w:val="auto"/>
        </w:rPr>
      </w:pPr>
      <w:r>
        <w:rPr>
          <w:sz w:val="1"/>
          <w:szCs w:val="1"/>
          <w:color w:val="auto"/>
        </w:rPr>
        <w:drawing>
          <wp:inline distT="0" distB="0" distL="0" distR="0">
            <wp:extent cx="85725" cy="6858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Engagement with business leaders to review short-term plans, long-term strategies, and associated risks.</w:t>
      </w:r>
    </w:p>
    <w:p>
      <w:pPr>
        <w:spacing w:after="0" w:line="55" w:lineRule="exact"/>
        <w:rPr>
          <w:sz w:val="20"/>
          <w:szCs w:val="20"/>
          <w:color w:val="auto"/>
        </w:rPr>
      </w:pPr>
    </w:p>
    <w:p>
      <w:pPr>
        <w:ind w:left="220" w:right="20" w:hanging="198"/>
        <w:spacing w:after="0"/>
        <w:rPr>
          <w:sz w:val="20"/>
          <w:szCs w:val="20"/>
          <w:color w:val="auto"/>
        </w:rPr>
      </w:pPr>
      <w:r>
        <w:rPr>
          <w:sz w:val="1"/>
          <w:szCs w:val="1"/>
          <w:color w:val="auto"/>
        </w:rPr>
        <w:drawing>
          <wp:inline distT="0" distB="0" distL="0" distR="0">
            <wp:extent cx="85725" cy="6858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Incentive compensation not overly leveraged and with maximum payout caps and design features intended to balance pay for performance with the appropriate level of risk-taking.</w:t>
      </w:r>
    </w:p>
    <w:p>
      <w:pPr>
        <w:spacing w:after="0" w:line="69" w:lineRule="exact"/>
        <w:rPr>
          <w:sz w:val="20"/>
          <w:szCs w:val="20"/>
          <w:color w:val="auto"/>
        </w:rPr>
      </w:pPr>
    </w:p>
    <w:p>
      <w:pPr>
        <w:ind w:left="220" w:right="300" w:hanging="198"/>
        <w:spacing w:after="0"/>
        <w:rPr>
          <w:sz w:val="20"/>
          <w:szCs w:val="20"/>
          <w:color w:val="auto"/>
        </w:rPr>
      </w:pPr>
      <w:r>
        <w:rPr>
          <w:sz w:val="1"/>
          <w:szCs w:val="1"/>
          <w:color w:val="auto"/>
        </w:rPr>
        <w:drawing>
          <wp:inline distT="0" distB="0" distL="0" distR="0">
            <wp:extent cx="85725" cy="6858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Robust stock ownership requirements and prohibitions against hedging and pledging Honeywell securities.</w:t>
      </w:r>
    </w:p>
    <w:p>
      <w:pPr>
        <w:spacing w:after="0" w:line="55" w:lineRule="exact"/>
        <w:rPr>
          <w:sz w:val="20"/>
          <w:szCs w:val="20"/>
          <w:color w:val="auto"/>
        </w:rPr>
      </w:pPr>
    </w:p>
    <w:p>
      <w:pPr>
        <w:ind w:left="220" w:right="500" w:hanging="198"/>
        <w:spacing w:after="0"/>
        <w:rPr>
          <w:sz w:val="20"/>
          <w:szCs w:val="20"/>
          <w:color w:val="auto"/>
        </w:rPr>
      </w:pPr>
      <w:r>
        <w:rPr>
          <w:sz w:val="1"/>
          <w:szCs w:val="1"/>
          <w:color w:val="auto"/>
        </w:rPr>
        <w:drawing>
          <wp:inline distT="0" distB="0" distL="0" distR="0">
            <wp:extent cx="85725" cy="6858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Chief Compliance Officer invited to participate in all Audit Committee meetings to facilitate Board oversight of compliance risk.</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COMMITMENT TO CORPORATE RESPONSIBILITY</w:t>
      </w:r>
    </w:p>
    <w:p>
      <w:pPr>
        <w:spacing w:after="0" w:line="154" w:lineRule="exact"/>
        <w:rPr>
          <w:sz w:val="20"/>
          <w:szCs w:val="20"/>
          <w:color w:val="auto"/>
        </w:rPr>
      </w:pPr>
    </w:p>
    <w:p>
      <w:pPr>
        <w:ind w:left="200" w:right="380" w:hanging="195"/>
        <w:spacing w:after="0"/>
        <w:rPr>
          <w:sz w:val="20"/>
          <w:szCs w:val="20"/>
          <w:color w:val="auto"/>
        </w:rPr>
      </w:pPr>
      <w:r>
        <w:rPr>
          <w:sz w:val="1"/>
          <w:szCs w:val="1"/>
          <w:color w:val="auto"/>
        </w:rPr>
        <w:drawing>
          <wp:inline distT="0" distB="0" distL="0" distR="0">
            <wp:extent cx="85725" cy="6858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Code of Business Conduct applies to all directors, officers, and employees, with 100% annual certification by officers and employees where permitted by law.</w:t>
      </w:r>
    </w:p>
    <w:p>
      <w:pPr>
        <w:spacing w:after="0" w:line="69" w:lineRule="exact"/>
        <w:rPr>
          <w:sz w:val="20"/>
          <w:szCs w:val="20"/>
          <w:color w:val="auto"/>
        </w:rPr>
      </w:pPr>
    </w:p>
    <w:p>
      <w:pPr>
        <w:ind w:left="200" w:right="80" w:hanging="195"/>
        <w:spacing w:after="0"/>
        <w:rPr>
          <w:sz w:val="20"/>
          <w:szCs w:val="20"/>
          <w:color w:val="auto"/>
        </w:rPr>
      </w:pPr>
      <w:r>
        <w:rPr>
          <w:sz w:val="1"/>
          <w:szCs w:val="1"/>
          <w:color w:val="auto"/>
        </w:rPr>
        <w:drawing>
          <wp:inline distT="0" distB="0" distL="0" distR="0">
            <wp:extent cx="85725" cy="6858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Suppliers expected to comply with published Supplier Code of Business Conduct, including conflict minerals, anti-human trafficking, human rights, business integrity, and health, safety, and environmental policies.</w:t>
      </w:r>
    </w:p>
    <w:p>
      <w:pPr>
        <w:spacing w:after="0" w:line="69" w:lineRule="exact"/>
        <w:rPr>
          <w:sz w:val="20"/>
          <w:szCs w:val="20"/>
          <w:color w:val="auto"/>
        </w:rPr>
      </w:pPr>
    </w:p>
    <w:p>
      <w:pPr>
        <w:ind w:left="200" w:right="500" w:hanging="195"/>
        <w:spacing w:after="0"/>
        <w:rPr>
          <w:sz w:val="20"/>
          <w:szCs w:val="20"/>
          <w:color w:val="auto"/>
        </w:rPr>
      </w:pPr>
      <w:r>
        <w:rPr>
          <w:sz w:val="1"/>
          <w:szCs w:val="1"/>
          <w:color w:val="auto"/>
        </w:rPr>
        <w:drawing>
          <wp:inline distT="0" distB="0" distL="0" distR="0">
            <wp:extent cx="85725" cy="6858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Strong adherence to Foundational Principles of Integrity and Ethics, Inclusion and Diversity, and Workplace Respect, while fostering a performance culture based on Honeywell Behaviors.</w:t>
      </w:r>
    </w:p>
    <w:p>
      <w:pPr>
        <w:spacing w:after="0" w:line="55" w:lineRule="exact"/>
        <w:rPr>
          <w:sz w:val="20"/>
          <w:szCs w:val="20"/>
          <w:color w:val="auto"/>
        </w:rPr>
      </w:pPr>
    </w:p>
    <w:p>
      <w:pPr>
        <w:ind w:left="200" w:right="100" w:hanging="195"/>
        <w:spacing w:after="0"/>
        <w:rPr>
          <w:sz w:val="20"/>
          <w:szCs w:val="20"/>
          <w:color w:val="auto"/>
        </w:rPr>
      </w:pPr>
      <w:r>
        <w:rPr>
          <w:sz w:val="1"/>
          <w:szCs w:val="1"/>
          <w:color w:val="auto"/>
        </w:rPr>
        <w:drawing>
          <wp:inline distT="0" distB="0" distL="0" distR="0">
            <wp:extent cx="85725" cy="6858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66% of executive officers are diverse by ethnic background, place of birth (non-U.S.), or gender.</w:t>
      </w:r>
    </w:p>
    <w:p>
      <w:pPr>
        <w:spacing w:after="0" w:line="69" w:lineRule="exact"/>
        <w:rPr>
          <w:sz w:val="20"/>
          <w:szCs w:val="20"/>
          <w:color w:val="auto"/>
        </w:rPr>
      </w:pPr>
    </w:p>
    <w:p>
      <w:pPr>
        <w:ind w:left="200" w:right="280" w:hanging="195"/>
        <w:spacing w:after="0"/>
        <w:rPr>
          <w:sz w:val="20"/>
          <w:szCs w:val="20"/>
          <w:color w:val="auto"/>
        </w:rPr>
      </w:pPr>
      <w:r>
        <w:rPr>
          <w:sz w:val="1"/>
          <w:szCs w:val="1"/>
          <w:color w:val="auto"/>
        </w:rPr>
        <w:drawing>
          <wp:inline distT="0" distB="0" distL="0" distR="0">
            <wp:extent cx="85725" cy="685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68580"/>
                    </a:xfrm>
                    <a:prstGeom prst="rect">
                      <a:avLst/>
                    </a:prstGeom>
                    <a:noFill/>
                    <a:ln>
                      <a:noFill/>
                    </a:ln>
                  </pic:spPr>
                </pic:pic>
              </a:graphicData>
            </a:graphic>
          </wp:inline>
        </w:drawing>
      </w:r>
      <w:r>
        <w:rPr>
          <w:rFonts w:ascii="Arial" w:cs="Arial" w:eastAsia="Arial" w:hAnsi="Arial"/>
          <w:sz w:val="16"/>
          <w:szCs w:val="16"/>
          <w:color w:val="auto"/>
        </w:rPr>
        <w:t xml:space="preserve"> No use of corporate funds for political contributions; robust oversight of and transparency into political activities.</w:t>
      </w:r>
    </w:p>
    <w:p>
      <w:pPr>
        <w:spacing w:after="0" w:line="200" w:lineRule="exact"/>
        <w:rPr>
          <w:sz w:val="20"/>
          <w:szCs w:val="20"/>
          <w:color w:val="auto"/>
        </w:rPr>
      </w:pPr>
    </w:p>
    <w:p>
      <w:pPr>
        <w:sectPr>
          <w:pgSz w:w="11900" w:h="16838" w:orient="portrait"/>
          <w:cols w:equalWidth="0" w:num="2">
            <w:col w:w="5600" w:space="120"/>
            <w:col w:w="5520"/>
          </w:cols>
          <w:pgMar w:left="320" w:top="230" w:right="339" w:bottom="1440" w:gutter="0" w:footer="0" w:header="0"/>
          <w:type w:val="continuous"/>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23430" cy="7289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34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640" w:type="dxa"/>
        <w:tblCellMar>
          <w:top w:w="0" w:type="dxa"/>
          <w:left w:w="0" w:type="dxa"/>
          <w:bottom w:w="0" w:type="dxa"/>
          <w:right w:w="0" w:type="dxa"/>
        </w:tblCellMar>
      </w:tblPr>
      <w:tr>
        <w:trPr>
          <w:trHeight w:val="287"/>
        </w:trPr>
        <w:tc>
          <w:tcPr>
            <w:tcW w:w="1360" w:type="dxa"/>
            <w:vAlign w:val="bottom"/>
          </w:tcPr>
          <w:p>
            <w:pPr>
              <w:spacing w:after="0"/>
              <w:rPr>
                <w:sz w:val="20"/>
                <w:szCs w:val="20"/>
                <w:color w:val="auto"/>
              </w:rPr>
            </w:pPr>
            <w:r>
              <w:rPr>
                <w:rFonts w:ascii="Arial" w:cs="Arial" w:eastAsia="Arial" w:hAnsi="Arial"/>
                <w:sz w:val="17"/>
                <w:szCs w:val="17"/>
                <w:b w:val="1"/>
                <w:bCs w:val="1"/>
                <w:color w:val="FFFFFF"/>
              </w:rPr>
              <w:t>PROPOSAL</w:t>
            </w:r>
          </w:p>
        </w:tc>
        <w:tc>
          <w:tcPr>
            <w:tcW w:w="5660" w:type="dxa"/>
            <w:vAlign w:val="bottom"/>
          </w:tcPr>
          <w:p>
            <w:pPr>
              <w:ind w:left="380"/>
              <w:spacing w:after="0"/>
              <w:rPr>
                <w:sz w:val="20"/>
                <w:szCs w:val="20"/>
                <w:color w:val="auto"/>
              </w:rPr>
            </w:pPr>
            <w:r>
              <w:rPr>
                <w:rFonts w:ascii="Arial" w:cs="Arial" w:eastAsia="Arial" w:hAnsi="Arial"/>
                <w:sz w:val="25"/>
                <w:szCs w:val="25"/>
                <w:b w:val="1"/>
                <w:bCs w:val="1"/>
                <w:color w:val="auto"/>
              </w:rPr>
              <w:t>ADVISORY VOTE TO APPROVE</w:t>
            </w:r>
          </w:p>
        </w:tc>
        <w:tc>
          <w:tcPr>
            <w:tcW w:w="2040" w:type="dxa"/>
            <w:vAlign w:val="bottom"/>
          </w:tcPr>
          <w:p>
            <w:pPr>
              <w:ind w:left="1520"/>
              <w:spacing w:after="0"/>
              <w:rPr>
                <w:sz w:val="20"/>
                <w:szCs w:val="20"/>
                <w:color w:val="auto"/>
              </w:rPr>
            </w:pPr>
            <w:r>
              <w:rPr>
                <w:rFonts w:ascii="Arial" w:cs="Arial" w:eastAsia="Arial" w:hAnsi="Arial"/>
                <w:sz w:val="25"/>
                <w:szCs w:val="25"/>
                <w:b w:val="1"/>
                <w:bCs w:val="1"/>
                <w:color w:val="D7282F"/>
                <w:w w:val="94"/>
              </w:rPr>
              <w:t>FOR</w:t>
            </w:r>
          </w:p>
        </w:tc>
      </w:tr>
    </w:tbl>
    <w:p>
      <w:pPr>
        <w:ind w:left="2380" w:hanging="1418"/>
        <w:spacing w:after="0" w:line="182" w:lineRule="auto"/>
        <w:tabs>
          <w:tab w:leader="none" w:pos="2380" w:val="left"/>
        </w:tabs>
        <w:numPr>
          <w:ilvl w:val="1"/>
          <w:numId w:val="15"/>
        </w:numPr>
        <w:rPr>
          <w:rFonts w:ascii="Arial" w:cs="Arial" w:eastAsia="Arial" w:hAnsi="Arial"/>
          <w:sz w:val="41"/>
          <w:szCs w:val="41"/>
          <w:b w:val="1"/>
          <w:bCs w:val="1"/>
          <w:color w:val="FFFFFF"/>
        </w:rPr>
      </w:pPr>
      <w:r>
        <w:rPr>
          <w:rFonts w:ascii="Arial" w:cs="Arial" w:eastAsia="Arial" w:hAnsi="Arial"/>
          <w:sz w:val="21"/>
          <w:szCs w:val="21"/>
          <w:b w:val="1"/>
          <w:bCs w:val="1"/>
          <w:color w:val="auto"/>
        </w:rPr>
        <w:t>EXECUTIVE COMPENSATION</w:t>
      </w:r>
    </w:p>
    <w:p>
      <w:pPr>
        <w:spacing w:after="0" w:line="200" w:lineRule="exact"/>
        <w:rPr>
          <w:rFonts w:ascii="Arial" w:cs="Arial" w:eastAsia="Arial" w:hAnsi="Arial"/>
          <w:sz w:val="41"/>
          <w:szCs w:val="41"/>
          <w:b w:val="1"/>
          <w:bCs w:val="1"/>
          <w:color w:val="FFFFFF"/>
        </w:rPr>
      </w:pPr>
    </w:p>
    <w:p>
      <w:pPr>
        <w:spacing w:after="0" w:line="206" w:lineRule="exact"/>
        <w:rPr>
          <w:rFonts w:ascii="Arial" w:cs="Arial" w:eastAsia="Arial" w:hAnsi="Arial"/>
          <w:sz w:val="41"/>
          <w:szCs w:val="41"/>
          <w:b w:val="1"/>
          <w:bCs w:val="1"/>
          <w:color w:val="FFFFFF"/>
        </w:rPr>
      </w:pPr>
    </w:p>
    <w:p>
      <w:pPr>
        <w:ind w:left="340" w:hanging="184"/>
        <w:spacing w:after="0"/>
        <w:tabs>
          <w:tab w:leader="none" w:pos="340" w:val="left"/>
        </w:tabs>
        <w:numPr>
          <w:ilvl w:val="0"/>
          <w:numId w:val="15"/>
        </w:numPr>
        <w:rPr>
          <w:rFonts w:ascii="Arial" w:cs="Arial" w:eastAsia="Arial" w:hAnsi="Arial"/>
          <w:sz w:val="16"/>
          <w:szCs w:val="16"/>
          <w:b w:val="1"/>
          <w:bCs w:val="1"/>
          <w:color w:val="D7282F"/>
        </w:rPr>
      </w:pPr>
      <w:r>
        <w:rPr>
          <w:rFonts w:ascii="Arial" w:cs="Arial" w:eastAsia="Arial" w:hAnsi="Arial"/>
          <w:sz w:val="16"/>
          <w:szCs w:val="16"/>
          <w:color w:val="auto"/>
        </w:rPr>
        <w:t>Approve, on an advisory basis, the compensation of the Company's Named Executive Officers (NEOs).</w:t>
      </w:r>
    </w:p>
    <w:p>
      <w:pPr>
        <w:spacing w:after="0" w:line="86" w:lineRule="exact"/>
        <w:rPr>
          <w:rFonts w:ascii="Arial" w:cs="Arial" w:eastAsia="Arial" w:hAnsi="Arial"/>
          <w:sz w:val="16"/>
          <w:szCs w:val="16"/>
          <w:b w:val="1"/>
          <w:bCs w:val="1"/>
          <w:color w:val="D7282F"/>
        </w:rPr>
      </w:pPr>
    </w:p>
    <w:p>
      <w:pPr>
        <w:ind w:left="340" w:hanging="184"/>
        <w:spacing w:after="0"/>
        <w:tabs>
          <w:tab w:leader="none" w:pos="340" w:val="left"/>
        </w:tabs>
        <w:numPr>
          <w:ilvl w:val="0"/>
          <w:numId w:val="15"/>
        </w:numPr>
        <w:rPr>
          <w:rFonts w:ascii="Arial" w:cs="Arial" w:eastAsia="Arial" w:hAnsi="Arial"/>
          <w:sz w:val="16"/>
          <w:szCs w:val="16"/>
          <w:b w:val="1"/>
          <w:bCs w:val="1"/>
          <w:color w:val="D7282F"/>
        </w:rPr>
      </w:pPr>
      <w:r>
        <w:rPr>
          <w:rFonts w:ascii="Arial" w:cs="Arial" w:eastAsia="Arial" w:hAnsi="Arial"/>
          <w:sz w:val="16"/>
          <w:szCs w:val="16"/>
          <w:color w:val="auto"/>
        </w:rPr>
        <w:t>Honeywell's executive compensation program appropriately aligns executive compensation with Company and individual performance.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00" w:type="dxa"/>
            <w:vAlign w:val="bottom"/>
            <w:tcBorders>
              <w:bottom w:val="single" w:sz="8" w:color="D7282F"/>
            </w:tcBorders>
            <w:gridSpan w:val="2"/>
          </w:tcPr>
          <w:p>
            <w:pPr>
              <w:ind w:left="460"/>
              <w:spacing w:after="0"/>
              <w:rPr>
                <w:sz w:val="20"/>
                <w:szCs w:val="20"/>
                <w:color w:val="auto"/>
              </w:rPr>
            </w:pPr>
            <w:r>
              <w:rPr>
                <w:rFonts w:ascii="Arial" w:cs="Arial" w:eastAsia="Arial" w:hAnsi="Arial"/>
                <w:sz w:val="14"/>
                <w:szCs w:val="14"/>
                <w:b w:val="1"/>
                <w:bCs w:val="1"/>
                <w:color w:val="auto"/>
              </w:rPr>
              <w:t>Target Compensation Mix</w:t>
            </w:r>
          </w:p>
        </w:tc>
        <w:tc>
          <w:tcPr>
            <w:tcW w:w="0" w:type="dxa"/>
            <w:vAlign w:val="bottom"/>
          </w:tcPr>
          <w:p>
            <w:pPr>
              <w:spacing w:after="0"/>
              <w:rPr>
                <w:sz w:val="1"/>
                <w:szCs w:val="1"/>
                <w:color w:val="auto"/>
              </w:rPr>
            </w:pPr>
          </w:p>
        </w:tc>
      </w:tr>
      <w:tr>
        <w:trPr>
          <w:trHeight w:val="229"/>
        </w:trPr>
        <w:tc>
          <w:tcPr>
            <w:tcW w:w="460" w:type="dxa"/>
            <w:vAlign w:val="bottom"/>
            <w:tcBorders>
              <w:bottom w:val="single" w:sz="8" w:color="ABABAB"/>
            </w:tcBorders>
          </w:tcPr>
          <w:p>
            <w:pPr>
              <w:spacing w:after="0"/>
              <w:rPr>
                <w:sz w:val="19"/>
                <w:szCs w:val="19"/>
                <w:color w:val="auto"/>
              </w:rPr>
            </w:pPr>
          </w:p>
        </w:tc>
        <w:tc>
          <w:tcPr>
            <w:tcW w:w="480" w:type="dxa"/>
            <w:vAlign w:val="bottom"/>
            <w:tcBorders>
              <w:bottom w:val="single" w:sz="8" w:color="D7282F"/>
            </w:tcBorders>
          </w:tcPr>
          <w:p>
            <w:pPr>
              <w:spacing w:after="0"/>
              <w:rPr>
                <w:sz w:val="19"/>
                <w:szCs w:val="19"/>
                <w:color w:val="auto"/>
              </w:rPr>
            </w:pPr>
          </w:p>
        </w:tc>
        <w:tc>
          <w:tcPr>
            <w:tcW w:w="148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Element</w:t>
            </w:r>
          </w:p>
        </w:tc>
        <w:tc>
          <w:tcPr>
            <w:tcW w:w="29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Link to Strategy and Performance</w:t>
            </w:r>
          </w:p>
        </w:tc>
        <w:tc>
          <w:tcPr>
            <w:tcW w:w="124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CEO</w:t>
            </w:r>
            <w:r>
              <w:rPr>
                <w:rFonts w:ascii="Arial" w:cs="Arial" w:eastAsia="Arial" w:hAnsi="Arial"/>
                <w:sz w:val="18"/>
                <w:szCs w:val="18"/>
                <w:b w:val="1"/>
                <w:bCs w:val="1"/>
                <w:color w:val="auto"/>
                <w:vertAlign w:val="superscript"/>
              </w:rPr>
              <w:t>(1)</w:t>
            </w:r>
          </w:p>
        </w:tc>
        <w:tc>
          <w:tcPr>
            <w:tcW w:w="1460" w:type="dxa"/>
            <w:vAlign w:val="bottom"/>
            <w:tcBorders>
              <w:bottom w:val="single" w:sz="8" w:color="D7282F"/>
            </w:tcBorders>
          </w:tcPr>
          <w:p>
            <w:pPr>
              <w:ind w:left="380"/>
              <w:spacing w:after="0"/>
              <w:rPr>
                <w:sz w:val="20"/>
                <w:szCs w:val="20"/>
                <w:color w:val="auto"/>
              </w:rPr>
            </w:pPr>
            <w:r>
              <w:rPr>
                <w:rFonts w:ascii="Arial" w:cs="Arial" w:eastAsia="Arial" w:hAnsi="Arial"/>
                <w:sz w:val="14"/>
                <w:szCs w:val="14"/>
                <w:b w:val="1"/>
                <w:bCs w:val="1"/>
                <w:color w:val="auto"/>
              </w:rPr>
              <w:t>Other NEOs</w:t>
            </w:r>
          </w:p>
        </w:tc>
        <w:tc>
          <w:tcPr>
            <w:tcW w:w="0" w:type="dxa"/>
            <w:vAlign w:val="bottom"/>
          </w:tcPr>
          <w:p>
            <w:pPr>
              <w:spacing w:after="0"/>
              <w:rPr>
                <w:sz w:val="1"/>
                <w:szCs w:val="1"/>
                <w:color w:val="auto"/>
              </w:rPr>
            </w:pPr>
          </w:p>
        </w:tc>
      </w:tr>
      <w:tr>
        <w:trPr>
          <w:trHeight w:val="214"/>
        </w:trPr>
        <w:tc>
          <w:tcPr>
            <w:tcW w:w="460" w:type="dxa"/>
            <w:vAlign w:val="bottom"/>
            <w:shd w:val="clear" w:color="auto" w:fill="ABABAB"/>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BASE SALARY</w:t>
            </w:r>
          </w:p>
        </w:tc>
        <w:tc>
          <w:tcPr>
            <w:tcW w:w="2900" w:type="dxa"/>
            <w:vAlign w:val="bottom"/>
            <w:vMerge w:val="restart"/>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Base salaries are determined based</w:t>
            </w:r>
          </w:p>
        </w:tc>
        <w:tc>
          <w:tcPr>
            <w:tcW w:w="320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attract and compensate high-performing</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60" w:type="dxa"/>
            <w:vAlign w:val="bottom"/>
            <w:shd w:val="clear" w:color="auto" w:fill="ABABAB"/>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3200" w:type="dxa"/>
            <w:vAlign w:val="bottom"/>
            <w:vMerge w:val="restart"/>
          </w:tcPr>
          <w:p>
            <w:pPr>
              <w:ind w:left="360"/>
              <w:spacing w:after="0"/>
              <w:rPr>
                <w:sz w:val="20"/>
                <w:szCs w:val="20"/>
                <w:color w:val="auto"/>
              </w:rPr>
            </w:pPr>
            <w:r>
              <w:rPr>
                <w:rFonts w:ascii="Arial" w:cs="Arial" w:eastAsia="Arial" w:hAnsi="Arial"/>
                <w:sz w:val="14"/>
                <w:szCs w:val="14"/>
                <w:color w:val="auto"/>
              </w:rPr>
              <w:t>and experienced leaders at a competitive</w:t>
            </w:r>
          </w:p>
        </w:tc>
        <w:tc>
          <w:tcPr>
            <w:tcW w:w="1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460" w:type="dxa"/>
            <w:vAlign w:val="bottom"/>
            <w:shd w:val="clear" w:color="auto" w:fill="ABABAB"/>
          </w:tcPr>
          <w:p>
            <w:pPr>
              <w:spacing w:after="0"/>
              <w:rPr>
                <w:sz w:val="8"/>
                <w:szCs w:val="8"/>
                <w:color w:val="auto"/>
              </w:rPr>
            </w:pPr>
          </w:p>
        </w:tc>
        <w:tc>
          <w:tcPr>
            <w:tcW w:w="4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900" w:type="dxa"/>
            <w:vAlign w:val="bottom"/>
            <w:vMerge w:val="restart"/>
          </w:tcPr>
          <w:p>
            <w:pPr>
              <w:ind w:left="440"/>
              <w:spacing w:after="0"/>
              <w:rPr>
                <w:sz w:val="20"/>
                <w:szCs w:val="20"/>
                <w:color w:val="auto"/>
              </w:rPr>
            </w:pPr>
            <w:r>
              <w:rPr>
                <w:rFonts w:ascii="Arial" w:cs="Arial" w:eastAsia="Arial" w:hAnsi="Arial"/>
                <w:sz w:val="14"/>
                <w:szCs w:val="14"/>
                <w:color w:val="auto"/>
              </w:rPr>
              <w:t>on scope of responsibility, years of</w:t>
            </w:r>
          </w:p>
        </w:tc>
        <w:tc>
          <w:tcPr>
            <w:tcW w:w="32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60" w:type="dxa"/>
            <w:vAlign w:val="bottom"/>
            <w:shd w:val="clear" w:color="auto" w:fill="ABABAB"/>
          </w:tcPr>
          <w:p>
            <w:pPr>
              <w:spacing w:after="0"/>
              <w:rPr>
                <w:sz w:val="7"/>
                <w:szCs w:val="7"/>
                <w:color w:val="auto"/>
              </w:rPr>
            </w:pPr>
          </w:p>
        </w:tc>
        <w:tc>
          <w:tcPr>
            <w:tcW w:w="4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3200" w:type="dxa"/>
            <w:vAlign w:val="bottom"/>
            <w:vMerge w:val="restart"/>
          </w:tcPr>
          <w:p>
            <w:pPr>
              <w:ind w:left="360"/>
              <w:spacing w:after="0"/>
              <w:rPr>
                <w:sz w:val="20"/>
                <w:szCs w:val="20"/>
                <w:color w:val="auto"/>
              </w:rPr>
            </w:pPr>
            <w:r>
              <w:rPr>
                <w:rFonts w:ascii="Arial" w:cs="Arial" w:eastAsia="Arial" w:hAnsi="Arial"/>
                <w:sz w:val="14"/>
                <w:szCs w:val="14"/>
                <w:color w:val="auto"/>
              </w:rPr>
              <w:t>level of cash compensation.</w:t>
            </w:r>
          </w:p>
        </w:tc>
        <w:tc>
          <w:tcPr>
            <w:tcW w:w="1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60" w:type="dxa"/>
            <w:vAlign w:val="bottom"/>
            <w:shd w:val="clear" w:color="auto" w:fill="ABABAB"/>
          </w:tcPr>
          <w:p>
            <w:pPr>
              <w:spacing w:after="0"/>
              <w:rPr>
                <w:sz w:val="9"/>
                <w:szCs w:val="9"/>
                <w:color w:val="auto"/>
              </w:rPr>
            </w:pPr>
          </w:p>
        </w:tc>
        <w:tc>
          <w:tcPr>
            <w:tcW w:w="4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900" w:type="dxa"/>
            <w:vAlign w:val="bottom"/>
            <w:vMerge w:val="restart"/>
          </w:tcPr>
          <w:p>
            <w:pPr>
              <w:ind w:left="440"/>
              <w:spacing w:after="0"/>
              <w:rPr>
                <w:sz w:val="20"/>
                <w:szCs w:val="20"/>
                <w:color w:val="auto"/>
              </w:rPr>
            </w:pPr>
            <w:r>
              <w:rPr>
                <w:rFonts w:ascii="Arial" w:cs="Arial" w:eastAsia="Arial" w:hAnsi="Arial"/>
                <w:sz w:val="14"/>
                <w:szCs w:val="14"/>
                <w:color w:val="auto"/>
              </w:rPr>
              <w:t>experience, and individual</w:t>
            </w:r>
          </w:p>
        </w:tc>
        <w:tc>
          <w:tcPr>
            <w:tcW w:w="320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60" w:type="dxa"/>
            <w:vAlign w:val="bottom"/>
            <w:shd w:val="clear" w:color="auto" w:fill="ABABAB"/>
          </w:tcPr>
          <w:p>
            <w:pPr>
              <w:spacing w:after="0"/>
              <w:rPr>
                <w:sz w:val="4"/>
                <w:szCs w:val="4"/>
                <w:color w:val="auto"/>
              </w:rPr>
            </w:pPr>
          </w:p>
        </w:tc>
        <w:tc>
          <w:tcPr>
            <w:tcW w:w="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32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60" w:type="dxa"/>
            <w:vAlign w:val="bottom"/>
            <w:shd w:val="clear" w:color="auto" w:fill="ABABAB"/>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ind w:left="440"/>
              <w:spacing w:after="0"/>
              <w:rPr>
                <w:sz w:val="20"/>
                <w:szCs w:val="20"/>
                <w:color w:val="auto"/>
              </w:rPr>
            </w:pPr>
            <w:r>
              <w:rPr>
                <w:rFonts w:ascii="Arial" w:cs="Arial" w:eastAsia="Arial" w:hAnsi="Arial"/>
                <w:sz w:val="14"/>
                <w:szCs w:val="14"/>
                <w:color w:val="auto"/>
              </w:rPr>
              <w:t>performance.</w:t>
            </w:r>
          </w:p>
        </w:tc>
        <w:tc>
          <w:tcPr>
            <w:tcW w:w="3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460" w:type="dxa"/>
            <w:vAlign w:val="bottom"/>
            <w:shd w:val="clear" w:color="auto" w:fill="ABABAB"/>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Borders>
              <w:bottom w:val="single" w:sz="8" w:color="939598"/>
            </w:tcBorders>
          </w:tcPr>
          <w:p>
            <w:pPr>
              <w:spacing w:after="0"/>
              <w:rPr>
                <w:sz w:val="24"/>
                <w:szCs w:val="24"/>
                <w:color w:val="auto"/>
              </w:rPr>
            </w:pPr>
          </w:p>
        </w:tc>
        <w:tc>
          <w:tcPr>
            <w:tcW w:w="2900" w:type="dxa"/>
            <w:vAlign w:val="bottom"/>
            <w:tcBorders>
              <w:bottom w:val="single" w:sz="8" w:color="939598"/>
            </w:tcBorders>
          </w:tcPr>
          <w:p>
            <w:pPr>
              <w:spacing w:after="0"/>
              <w:rPr>
                <w:sz w:val="24"/>
                <w:szCs w:val="24"/>
                <w:color w:val="auto"/>
              </w:rPr>
            </w:pPr>
          </w:p>
        </w:tc>
        <w:tc>
          <w:tcPr>
            <w:tcW w:w="3200" w:type="dxa"/>
            <w:vAlign w:val="bottom"/>
            <w:tcBorders>
              <w:bottom w:val="single" w:sz="8" w:color="939598"/>
            </w:tcBorders>
          </w:tcPr>
          <w:p>
            <w:pPr>
              <w:spacing w:after="0"/>
              <w:rPr>
                <w:sz w:val="24"/>
                <w:szCs w:val="24"/>
                <w:color w:val="auto"/>
              </w:rPr>
            </w:pPr>
          </w:p>
        </w:tc>
        <w:tc>
          <w:tcPr>
            <w:tcW w:w="1240" w:type="dxa"/>
            <w:vAlign w:val="bottom"/>
            <w:tcBorders>
              <w:bottom w:val="single" w:sz="8" w:color="939598"/>
            </w:tcBorders>
          </w:tcPr>
          <w:p>
            <w:pPr>
              <w:spacing w:after="0"/>
              <w:rPr>
                <w:sz w:val="24"/>
                <w:szCs w:val="24"/>
                <w:color w:val="auto"/>
              </w:rPr>
            </w:pPr>
          </w:p>
        </w:tc>
        <w:tc>
          <w:tcPr>
            <w:tcW w:w="146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ANNUAL</w:t>
            </w:r>
          </w:p>
        </w:tc>
        <w:tc>
          <w:tcPr>
            <w:tcW w:w="2900" w:type="dxa"/>
            <w:vAlign w:val="bottom"/>
          </w:tcPr>
          <w:p>
            <w:pPr>
              <w:spacing w:after="0"/>
              <w:rPr>
                <w:sz w:val="18"/>
                <w:szCs w:val="18"/>
                <w:color w:val="auto"/>
              </w:rPr>
            </w:pPr>
          </w:p>
        </w:tc>
        <w:tc>
          <w:tcPr>
            <w:tcW w:w="320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motivate and reward executives for</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INCENTIVE</w:t>
            </w:r>
          </w:p>
        </w:tc>
        <w:tc>
          <w:tcPr>
            <w:tcW w:w="2900" w:type="dxa"/>
            <w:vAlign w:val="bottom"/>
          </w:tcPr>
          <w:p>
            <w:pPr>
              <w:spacing w:after="0"/>
              <w:rPr>
                <w:sz w:val="15"/>
                <w:szCs w:val="15"/>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achieving annual corporate, business unit,</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COMPENSATION</w:t>
            </w:r>
          </w:p>
        </w:tc>
        <w:tc>
          <w:tcPr>
            <w:tcW w:w="2900" w:type="dxa"/>
            <w:vAlign w:val="bottom"/>
          </w:tcPr>
          <w:p>
            <w:pPr>
              <w:spacing w:after="0"/>
              <w:rPr>
                <w:sz w:val="15"/>
                <w:szCs w:val="15"/>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ESG, and functional goals in key areas of</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PLAN (ICP)</w:t>
            </w:r>
          </w:p>
        </w:tc>
        <w:tc>
          <w:tcPr>
            <w:tcW w:w="2900" w:type="dxa"/>
            <w:vAlign w:val="bottom"/>
          </w:tcPr>
          <w:p>
            <w:pPr>
              <w:spacing w:after="0"/>
              <w:rPr>
                <w:sz w:val="17"/>
                <w:szCs w:val="17"/>
                <w:color w:val="auto"/>
              </w:rPr>
            </w:pPr>
          </w:p>
        </w:tc>
        <w:tc>
          <w:tcPr>
            <w:tcW w:w="3200" w:type="dxa"/>
            <w:vAlign w:val="bottom"/>
          </w:tcPr>
          <w:p>
            <w:pPr>
              <w:ind w:left="360"/>
              <w:spacing w:after="0"/>
              <w:rPr>
                <w:sz w:val="20"/>
                <w:szCs w:val="20"/>
                <w:color w:val="auto"/>
              </w:rPr>
            </w:pPr>
            <w:r>
              <w:rPr>
                <w:rFonts w:ascii="Arial" w:cs="Arial" w:eastAsia="Arial" w:hAnsi="Arial"/>
                <w:sz w:val="14"/>
                <w:szCs w:val="14"/>
                <w:color w:val="auto"/>
              </w:rPr>
              <w:t>financial and operational performance.</w:t>
            </w: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-1301115</wp:posOffset>
            </wp:positionV>
            <wp:extent cx="7115175" cy="62750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15175" cy="6275070"/>
                    </a:xfrm>
                    <a:prstGeom prst="rect">
                      <a:avLst/>
                    </a:prstGeom>
                    <a:noFill/>
                  </pic:spPr>
                </pic:pic>
              </a:graphicData>
            </a:graphic>
          </wp:anchor>
        </w:drawing>
      </w:r>
    </w:p>
    <w:p>
      <w:pPr>
        <w:spacing w:after="0" w:line="270" w:lineRule="exact"/>
        <w:rPr>
          <w:sz w:val="20"/>
          <w:szCs w:val="20"/>
          <w:color w:val="auto"/>
        </w:rPr>
      </w:pPr>
    </w:p>
    <w:p>
      <w:pPr>
        <w:ind w:left="2860" w:right="5900" w:hanging="188"/>
        <w:spacing w:after="0" w:line="235" w:lineRule="auto"/>
        <w:tabs>
          <w:tab w:leader="none" w:pos="2857" w:val="left"/>
        </w:tabs>
        <w:numPr>
          <w:ilvl w:val="0"/>
          <w:numId w:val="16"/>
        </w:numPr>
        <w:rPr>
          <w:rFonts w:ascii="Arial" w:cs="Arial" w:eastAsia="Arial" w:hAnsi="Arial"/>
          <w:sz w:val="16"/>
          <w:szCs w:val="16"/>
          <w:b w:val="1"/>
          <w:bCs w:val="1"/>
          <w:color w:val="D7282F"/>
        </w:rPr>
      </w:pPr>
      <w:r>
        <w:rPr>
          <w:rFonts w:ascii="Arial" w:cs="Arial" w:eastAsia="Arial" w:hAnsi="Arial"/>
          <w:sz w:val="14"/>
          <w:szCs w:val="14"/>
          <w:color w:val="auto"/>
        </w:rPr>
        <w:t>80% based on formulaic determination against pre-established</w:t>
      </w:r>
    </w:p>
    <w:p>
      <w:pPr>
        <w:ind w:left="2860"/>
        <w:spacing w:after="0"/>
        <w:rPr>
          <w:rFonts w:ascii="Arial" w:cs="Arial" w:eastAsia="Arial" w:hAnsi="Arial"/>
          <w:sz w:val="16"/>
          <w:szCs w:val="16"/>
          <w:b w:val="1"/>
          <w:bCs w:val="1"/>
          <w:color w:val="D7282F"/>
        </w:rPr>
      </w:pPr>
      <w:r>
        <w:rPr>
          <w:rFonts w:ascii="Arial" w:cs="Arial" w:eastAsia="Arial" w:hAnsi="Arial"/>
          <w:sz w:val="14"/>
          <w:szCs w:val="14"/>
          <w:color w:val="auto"/>
        </w:rPr>
        <w:t>financial metrics.</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13" w:lineRule="exact"/>
        <w:rPr>
          <w:rFonts w:ascii="Arial" w:cs="Arial" w:eastAsia="Arial" w:hAnsi="Arial"/>
          <w:sz w:val="16"/>
          <w:szCs w:val="16"/>
          <w:b w:val="1"/>
          <w:bCs w:val="1"/>
          <w:color w:val="D7282F"/>
        </w:rPr>
      </w:pPr>
    </w:p>
    <w:p>
      <w:pPr>
        <w:ind w:left="2860" w:right="5840" w:hanging="188"/>
        <w:spacing w:after="0" w:line="285" w:lineRule="auto"/>
        <w:tabs>
          <w:tab w:leader="none" w:pos="2851" w:val="left"/>
        </w:tabs>
        <w:numPr>
          <w:ilvl w:val="0"/>
          <w:numId w:val="16"/>
        </w:numPr>
        <w:rPr>
          <w:rFonts w:ascii="Arial" w:cs="Arial" w:eastAsia="Arial" w:hAnsi="Arial"/>
          <w:sz w:val="14"/>
          <w:szCs w:val="14"/>
          <w:b w:val="1"/>
          <w:bCs w:val="1"/>
          <w:color w:val="D7282F"/>
        </w:rPr>
      </w:pPr>
      <w:r>
        <w:rPr>
          <w:rFonts w:ascii="Arial" w:cs="Arial" w:eastAsia="Arial" w:hAnsi="Arial"/>
          <w:sz w:val="14"/>
          <w:szCs w:val="14"/>
          <w:color w:val="auto"/>
        </w:rPr>
        <w:t>15% based on assessment of individual performance.</w:t>
      </w: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367" w:lineRule="exact"/>
        <w:rPr>
          <w:rFonts w:ascii="Arial" w:cs="Arial" w:eastAsia="Arial" w:hAnsi="Arial"/>
          <w:sz w:val="14"/>
          <w:szCs w:val="14"/>
          <w:b w:val="1"/>
          <w:bCs w:val="1"/>
          <w:color w:val="D7282F"/>
        </w:rPr>
      </w:pPr>
    </w:p>
    <w:p>
      <w:pPr>
        <w:ind w:left="2860" w:hanging="188"/>
        <w:spacing w:after="0"/>
        <w:tabs>
          <w:tab w:leader="none" w:pos="2860" w:val="left"/>
        </w:tabs>
        <w:numPr>
          <w:ilvl w:val="0"/>
          <w:numId w:val="16"/>
        </w:numPr>
        <w:rPr>
          <w:rFonts w:ascii="Arial" w:cs="Arial" w:eastAsia="Arial" w:hAnsi="Arial"/>
          <w:sz w:val="14"/>
          <w:szCs w:val="14"/>
          <w:b w:val="1"/>
          <w:bCs w:val="1"/>
          <w:color w:val="D7282F"/>
        </w:rPr>
      </w:pPr>
      <w:r>
        <w:rPr>
          <w:rFonts w:ascii="Arial" w:cs="Arial" w:eastAsia="Arial" w:hAnsi="Arial"/>
          <w:sz w:val="14"/>
          <w:szCs w:val="14"/>
          <w:color w:val="auto"/>
        </w:rPr>
        <w:t>5% based on ESG metrics.</w:t>
      </w:r>
    </w:p>
    <w:p>
      <w:pPr>
        <w:sectPr>
          <w:pgSz w:w="11900" w:h="16838" w:orient="portrait"/>
          <w:cols w:equalWidth="0" w:num="1">
            <w:col w:w="11220"/>
          </w:cols>
          <w:pgMar w:left="320" w:top="230" w:right="359" w:bottom="1440" w:gutter="0" w:footer="0" w:header="0"/>
        </w:sectPr>
      </w:pPr>
    </w:p>
    <w:p>
      <w:pPr>
        <w:spacing w:after="0" w:line="3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PERFORMANCE</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STOCK UNITS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(PSUs)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(2023–2025)</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188" w:hanging="188"/>
        <w:spacing w:after="0"/>
        <w:tabs>
          <w:tab w:leader="none" w:pos="188" w:val="left"/>
        </w:tabs>
        <w:numPr>
          <w:ilvl w:val="0"/>
          <w:numId w:val="17"/>
        </w:numPr>
        <w:rPr>
          <w:rFonts w:ascii="Arial" w:cs="Arial" w:eastAsia="Arial" w:hAnsi="Arial"/>
          <w:sz w:val="14"/>
          <w:szCs w:val="14"/>
          <w:b w:val="1"/>
          <w:bCs w:val="1"/>
          <w:color w:val="D7282F"/>
        </w:rPr>
      </w:pPr>
      <w:r>
        <w:rPr>
          <w:rFonts w:ascii="Arial" w:cs="Arial" w:eastAsia="Arial" w:hAnsi="Arial"/>
          <w:sz w:val="14"/>
          <w:szCs w:val="14"/>
          <w:color w:val="auto"/>
        </w:rPr>
        <w:t>Executive Officers: 50% of annual LTI.</w:t>
      </w:r>
    </w:p>
    <w:p>
      <w:pPr>
        <w:spacing w:after="0" w:line="82" w:lineRule="exact"/>
        <w:rPr>
          <w:rFonts w:ascii="Arial" w:cs="Arial" w:eastAsia="Arial" w:hAnsi="Arial"/>
          <w:sz w:val="14"/>
          <w:szCs w:val="14"/>
          <w:b w:val="1"/>
          <w:bCs w:val="1"/>
          <w:color w:val="D7282F"/>
        </w:rPr>
      </w:pPr>
    </w:p>
    <w:p>
      <w:pPr>
        <w:ind w:left="188" w:hanging="188"/>
        <w:spacing w:after="0"/>
        <w:tabs>
          <w:tab w:leader="none" w:pos="188" w:val="left"/>
        </w:tabs>
        <w:numPr>
          <w:ilvl w:val="0"/>
          <w:numId w:val="17"/>
        </w:numPr>
        <w:rPr>
          <w:rFonts w:ascii="Arial" w:cs="Arial" w:eastAsia="Arial" w:hAnsi="Arial"/>
          <w:sz w:val="14"/>
          <w:szCs w:val="14"/>
          <w:b w:val="1"/>
          <w:bCs w:val="1"/>
          <w:color w:val="D7282F"/>
        </w:rPr>
      </w:pPr>
      <w:r>
        <w:rPr>
          <w:rFonts w:ascii="Arial" w:cs="Arial" w:eastAsia="Arial" w:hAnsi="Arial"/>
          <w:sz w:val="14"/>
          <w:szCs w:val="14"/>
          <w:color w:val="auto"/>
        </w:rPr>
        <w:t>Covers three-year period.</w:t>
      </w:r>
    </w:p>
    <w:p>
      <w:pPr>
        <w:spacing w:after="0" w:line="82" w:lineRule="exact"/>
        <w:rPr>
          <w:rFonts w:ascii="Arial" w:cs="Arial" w:eastAsia="Arial" w:hAnsi="Arial"/>
          <w:sz w:val="14"/>
          <w:szCs w:val="14"/>
          <w:b w:val="1"/>
          <w:bCs w:val="1"/>
          <w:color w:val="D7282F"/>
        </w:rPr>
      </w:pPr>
    </w:p>
    <w:p>
      <w:pPr>
        <w:ind w:left="188" w:right="20" w:hanging="188"/>
        <w:spacing w:after="0" w:line="305" w:lineRule="auto"/>
        <w:tabs>
          <w:tab w:leader="none" w:pos="179" w:val="left"/>
        </w:tabs>
        <w:numPr>
          <w:ilvl w:val="0"/>
          <w:numId w:val="17"/>
        </w:numPr>
        <w:rPr>
          <w:rFonts w:ascii="Arial" w:cs="Arial" w:eastAsia="Arial" w:hAnsi="Arial"/>
          <w:sz w:val="14"/>
          <w:szCs w:val="14"/>
          <w:b w:val="1"/>
          <w:bCs w:val="1"/>
          <w:color w:val="D7282F"/>
        </w:rPr>
      </w:pPr>
      <w:r>
        <w:rPr>
          <w:rFonts w:ascii="Arial" w:cs="Arial" w:eastAsia="Arial" w:hAnsi="Arial"/>
          <w:sz w:val="14"/>
          <w:szCs w:val="14"/>
          <w:color w:val="auto"/>
        </w:rPr>
        <w:t>Relative TSR (25% weight) along with key financial metrics (75% weight).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200" w:right="2840" w:hanging="200"/>
        <w:spacing w:after="0" w:line="262" w:lineRule="auto"/>
        <w:tabs>
          <w:tab w:leader="none" w:pos="191" w:val="left"/>
        </w:tabs>
        <w:numPr>
          <w:ilvl w:val="0"/>
          <w:numId w:val="18"/>
        </w:numPr>
        <w:rPr>
          <w:rFonts w:ascii="Arial" w:cs="Arial" w:eastAsia="Arial" w:hAnsi="Arial"/>
          <w:sz w:val="14"/>
          <w:szCs w:val="14"/>
          <w:b w:val="1"/>
          <w:bCs w:val="1"/>
          <w:color w:val="D7282F"/>
        </w:rPr>
      </w:pPr>
      <w:r>
        <w:rPr>
          <w:rFonts w:ascii="Arial" w:cs="Arial" w:eastAsia="Arial" w:hAnsi="Arial"/>
          <w:sz w:val="14"/>
          <w:szCs w:val="14"/>
          <w:color w:val="auto"/>
        </w:rPr>
        <w:t>Focuses executives on the achievement of specific long-term financial performance goals directly aligned with our operating and strategic plans. TSR portion based on three-year stock price appreciation and dividends vs. the Compensation Peer Group.</w:t>
      </w:r>
    </w:p>
    <w:p>
      <w:pPr>
        <w:spacing w:after="0" w:line="200" w:lineRule="exact"/>
        <w:rPr>
          <w:sz w:val="20"/>
          <w:szCs w:val="20"/>
          <w:color w:val="auto"/>
        </w:rPr>
      </w:pPr>
    </w:p>
    <w:p>
      <w:pPr>
        <w:sectPr>
          <w:pgSz w:w="11900" w:h="16838" w:orient="portrait"/>
          <w:cols w:equalWidth="0" w:num="3">
            <w:col w:w="2120" w:space="552"/>
            <w:col w:w="2628" w:space="180"/>
            <w:col w:w="5740"/>
          </w:cols>
          <w:pgMar w:left="320" w:top="230" w:right="359" w:bottom="1440" w:gutter="0" w:footer="0" w:header="0"/>
          <w:type w:val="continuous"/>
        </w:sectPr>
      </w:pPr>
    </w:p>
    <w:p>
      <w:pPr>
        <w:spacing w:after="0" w:line="284"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STOCK OPTIONS</w:t>
            </w:r>
          </w:p>
        </w:tc>
        <w:tc>
          <w:tcPr>
            <w:tcW w:w="2960" w:type="dxa"/>
            <w:vAlign w:val="bottom"/>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5840" w:type="dxa"/>
            <w:vAlign w:val="bottom"/>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Directly aligns the interests of our</w:t>
            </w:r>
          </w:p>
        </w:tc>
      </w:tr>
      <w:tr>
        <w:trPr>
          <w:trHeight w:val="175"/>
        </w:trPr>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executives with shareowners. Stock</w:t>
            </w:r>
          </w:p>
        </w:tc>
      </w:tr>
      <w:tr>
        <w:trPr>
          <w:trHeight w:val="176"/>
        </w:trPr>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options only have value for executives if</w:t>
            </w:r>
          </w:p>
        </w:tc>
      </w:tr>
      <w:tr>
        <w:trPr>
          <w:trHeight w:val="175"/>
        </w:trPr>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operating performance results in stock</w:t>
            </w:r>
          </w:p>
        </w:tc>
      </w:tr>
      <w:tr>
        <w:trPr>
          <w:trHeight w:val="190"/>
        </w:trPr>
        <w:tc>
          <w:tcPr>
            <w:tcW w:w="1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price appreciation.</w:t>
            </w:r>
          </w:p>
        </w:tc>
      </w:tr>
      <w:tr>
        <w:trPr>
          <w:trHeight w:val="305"/>
        </w:trPr>
        <w:tc>
          <w:tcPr>
            <w:tcW w:w="1480" w:type="dxa"/>
            <w:vAlign w:val="bottom"/>
            <w:tcBorders>
              <w:bottom w:val="single" w:sz="8" w:color="939598"/>
            </w:tcBorders>
          </w:tcPr>
          <w:p>
            <w:pPr>
              <w:spacing w:after="0"/>
              <w:rPr>
                <w:sz w:val="24"/>
                <w:szCs w:val="24"/>
                <w:color w:val="auto"/>
              </w:rPr>
            </w:pPr>
          </w:p>
        </w:tc>
        <w:tc>
          <w:tcPr>
            <w:tcW w:w="2960" w:type="dxa"/>
            <w:vAlign w:val="bottom"/>
            <w:tcBorders>
              <w:bottom w:val="single" w:sz="8" w:color="939598"/>
            </w:tcBorders>
          </w:tcPr>
          <w:p>
            <w:pPr>
              <w:spacing w:after="0"/>
              <w:rPr>
                <w:sz w:val="24"/>
                <w:szCs w:val="24"/>
                <w:color w:val="auto"/>
              </w:rPr>
            </w:pPr>
          </w:p>
        </w:tc>
        <w:tc>
          <w:tcPr>
            <w:tcW w:w="5840" w:type="dxa"/>
            <w:vAlign w:val="bottom"/>
            <w:tcBorders>
              <w:bottom w:val="single" w:sz="8" w:color="939598"/>
            </w:tcBorders>
          </w:tcPr>
          <w:p>
            <w:pPr>
              <w:spacing w:after="0"/>
              <w:rPr>
                <w:sz w:val="24"/>
                <w:szCs w:val="24"/>
                <w:color w:val="auto"/>
              </w:rPr>
            </w:pPr>
          </w:p>
        </w:tc>
      </w:tr>
      <w:tr>
        <w:trPr>
          <w:trHeight w:val="214"/>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RESTRICTED</w:t>
            </w:r>
          </w:p>
        </w:tc>
        <w:tc>
          <w:tcPr>
            <w:tcW w:w="2960" w:type="dxa"/>
            <w:vAlign w:val="bottom"/>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5840" w:type="dxa"/>
            <w:vAlign w:val="bottom"/>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Strengthens key executive retention over</w:t>
            </w:r>
          </w:p>
        </w:tc>
      </w:tr>
      <w:tr>
        <w:trPr>
          <w:trHeight w:val="175"/>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STOCK</w:t>
            </w: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relevant time periods to ensure</w:t>
            </w:r>
          </w:p>
        </w:tc>
      </w:tr>
      <w:tr>
        <w:trPr>
          <w:trHeight w:val="176"/>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UNITS (RSUs)</w:t>
            </w: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consistency and execution of long-term</w:t>
            </w:r>
          </w:p>
        </w:tc>
      </w:tr>
      <w:tr>
        <w:trPr>
          <w:trHeight w:val="190"/>
        </w:trPr>
        <w:tc>
          <w:tcPr>
            <w:tcW w:w="1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strategies.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2914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Represents Mr. Kapur's target mix as CEO. Table percentages exclude Mr. Adamczyk as Executive Chairman.</w:t>
      </w:r>
    </w:p>
    <w:p>
      <w:pPr>
        <w:spacing w:after="0" w:line="208"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sz w:val="1"/>
          <w:szCs w:val="1"/>
          <w:color w:val="auto"/>
        </w:rPr>
        <w:drawing>
          <wp:inline distT="0" distB="0" distL="0" distR="0">
            <wp:extent cx="548640" cy="10287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18" w:name="page19"/>
    <w:bookmarkEnd w:id="18"/>
    <w:p>
      <w:pPr>
        <w:ind w:left="10120"/>
        <w:spacing w:after="0"/>
        <w:rPr>
          <w:sz w:val="20"/>
          <w:szCs w:val="20"/>
          <w:color w:val="auto"/>
        </w:rPr>
      </w:pPr>
      <w:r>
        <w:rPr>
          <w:rFonts w:ascii="Arial" w:cs="Arial" w:eastAsia="Arial" w:hAnsi="Arial"/>
          <w:sz w:val="12"/>
          <w:szCs w:val="12"/>
          <w:b w:val="1"/>
          <w:bCs w:val="1"/>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15175"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WHAT WE DO</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Pay 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6858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Robust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6858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53" w:lineRule="exact"/>
        <w:rPr>
          <w:sz w:val="20"/>
          <w:szCs w:val="20"/>
          <w:color w:val="auto"/>
        </w:rPr>
      </w:pPr>
    </w:p>
    <w:p>
      <w:pPr>
        <w:ind w:left="360" w:hanging="21"/>
        <w:spacing w:after="0" w:line="304" w:lineRule="auto"/>
        <w:rPr>
          <w:sz w:val="20"/>
          <w:szCs w:val="20"/>
          <w:color w:val="auto"/>
        </w:rPr>
      </w:pPr>
      <w:r>
        <w:rPr>
          <w:rFonts w:ascii="Arial" w:cs="Arial" w:eastAsia="Arial" w:hAnsi="Arial"/>
          <w:sz w:val="16"/>
          <w:szCs w:val="16"/>
          <w:color w:val="auto"/>
        </w:rPr>
        <w:t>Clawback Policy — Expanded in 2023 to Incorporate Exchange Act Rule 10D-1 and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-277495</wp:posOffset>
            </wp:positionV>
            <wp:extent cx="6858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6"/>
          <w:szCs w:val="16"/>
          <w:color w:val="auto"/>
        </w:rPr>
        <w:t>Double Trigger in the Event of a Change in Control (CIC)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-107315</wp:posOffset>
            </wp:positionV>
            <wp:extent cx="6858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Maximum Payout Caps for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-98425</wp:posOffset>
            </wp:positionV>
            <wp:extent cx="68580"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9690"/>
                    </a:xfrm>
                    <a:prstGeom prst="rect">
                      <a:avLst/>
                    </a:prstGeom>
                    <a:noFill/>
                  </pic:spPr>
                </pic:pic>
              </a:graphicData>
            </a:graphic>
          </wp:anchor>
        </w:drawing>
      </w:r>
    </w:p>
    <w:p>
      <w:pPr>
        <w:spacing w:after="0" w:line="66" w:lineRule="exact"/>
        <w:rPr>
          <w:sz w:val="20"/>
          <w:szCs w:val="20"/>
          <w:color w:val="auto"/>
        </w:rPr>
      </w:pPr>
    </w:p>
    <w:p>
      <w:pPr>
        <w:ind w:left="320" w:right="2000"/>
        <w:spacing w:after="0" w:line="363" w:lineRule="auto"/>
        <w:rPr>
          <w:sz w:val="20"/>
          <w:szCs w:val="20"/>
          <w:color w:val="auto"/>
        </w:rPr>
      </w:pPr>
      <w:r>
        <w:rPr>
          <w:rFonts w:ascii="Arial" w:cs="Arial" w:eastAsia="Arial" w:hAnsi="Arial"/>
          <w:sz w:val="16"/>
          <w:szCs w:val="16"/>
          <w:color w:val="auto"/>
        </w:rPr>
        <w:t>Robust Stock Ownership Requirements Options Granted at Fair Market Value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-520700</wp:posOffset>
            </wp:positionV>
            <wp:extent cx="68580" cy="603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032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-349250</wp:posOffset>
            </wp:positionV>
            <wp:extent cx="68580" cy="603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6032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-177800</wp:posOffset>
            </wp:positionV>
            <wp:extent cx="68580" cy="603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60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69215</wp:posOffset>
            </wp:positionV>
            <wp:extent cx="8890" cy="1800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80022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120650</wp:posOffset>
            </wp:positionV>
            <wp:extent cx="85725"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Excessive Perks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55245</wp:posOffset>
            </wp:positionV>
            <wp:extent cx="85725"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Guaranteed Annual Salary Increases or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63500</wp:posOffset>
            </wp:positionV>
            <wp:extent cx="85725"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Hedging or Pledging</w:t>
      </w:r>
    </w:p>
    <w:p>
      <w:pPr>
        <w:spacing w:after="0" w:line="100" w:lineRule="exact"/>
        <w:rPr>
          <w:sz w:val="20"/>
          <w:szCs w:val="20"/>
          <w:color w:val="auto"/>
        </w:rPr>
      </w:pPr>
    </w:p>
    <w:p>
      <w:pPr>
        <w:ind w:left="180" w:right="260" w:hanging="220"/>
        <w:spacing w:after="0"/>
        <w:rPr>
          <w:sz w:val="20"/>
          <w:szCs w:val="20"/>
          <w:color w:val="auto"/>
        </w:rPr>
      </w:pPr>
      <w:r>
        <w:rPr>
          <w:sz w:val="1"/>
          <w:szCs w:val="1"/>
          <w:color w:val="auto"/>
        </w:rPr>
        <w:drawing>
          <wp:inline distT="0" distB="0" distL="0" distR="0">
            <wp:extent cx="85725" cy="857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No Excise Tax Gross-Ups and No Accelerated Bonus Payments Upon a Change-in-Control</w:t>
      </w:r>
    </w:p>
    <w:p>
      <w:pPr>
        <w:spacing w:after="0" w:line="70" w:lineRule="exact"/>
        <w:rPr>
          <w:sz w:val="20"/>
          <w:szCs w:val="20"/>
          <w:color w:val="auto"/>
        </w:rPr>
      </w:pPr>
    </w:p>
    <w:p>
      <w:pPr>
        <w:ind w:left="180" w:right="320" w:hanging="220"/>
        <w:spacing w:after="0"/>
        <w:rPr>
          <w:sz w:val="20"/>
          <w:szCs w:val="20"/>
          <w:color w:val="auto"/>
        </w:rPr>
      </w:pPr>
      <w:r>
        <w:rPr>
          <w:sz w:val="1"/>
          <w:szCs w:val="1"/>
          <w:color w:val="auto"/>
        </w:rPr>
        <w:drawing>
          <wp:inline distT="0" distB="0" distL="0" distR="0">
            <wp:extent cx="85725" cy="857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6"/>
          <w:szCs w:val="16"/>
          <w:color w:val="auto"/>
        </w:rPr>
        <w:t xml:space="preserve"> No Incentivizing of Short-Term Results to the Detriment of Long-Term Goals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44450</wp:posOffset>
            </wp:positionV>
            <wp:extent cx="85725"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Excessive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63500</wp:posOffset>
            </wp:positionV>
            <wp:extent cx="85725"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Options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55245</wp:posOffset>
            </wp:positionV>
            <wp:extent cx="85725"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Consultant Conflicts</w:t>
      </w:r>
    </w:p>
    <w:p>
      <w:pPr>
        <w:spacing w:after="0" w:line="200" w:lineRule="exact"/>
        <w:rPr>
          <w:sz w:val="20"/>
          <w:szCs w:val="20"/>
          <w:color w:val="auto"/>
        </w:rPr>
      </w:pPr>
    </w:p>
    <w:p>
      <w:pPr>
        <w:sectPr>
          <w:pgSz w:w="11900" w:h="16838" w:orient="portrait"/>
          <w:cols w:equalWidth="0" w:num="2">
            <w:col w:w="5160" w:space="620"/>
            <w:col w:w="5460"/>
          </w:cols>
          <w:pgMar w:left="320" w:top="230" w:right="339" w:bottom="1440" w:gutter="0" w:footer="0" w:header="0"/>
          <w:type w:val="continuous"/>
        </w:sectPr>
      </w:pPr>
    </w:p>
    <w:p>
      <w:pPr>
        <w:spacing w:after="0" w:line="3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table reflects compensation awarded in 2023 to the Company’s Named Executive Officers as identified on page 50. This table does not replace the Summary Compensation Table shown on page 81, as required by the Securities and Exchange Commission (SEC), but is intended to show 2023 compensation awarded to the NEOs from the perspective of the MDCC. See Compensation Discussion and Analysis beginning on page 49 for more details: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tcPr>
          <w:p>
            <w:pPr>
              <w:jc w:val="right"/>
              <w:ind w:right="157"/>
              <w:spacing w:after="0"/>
              <w:rPr>
                <w:sz w:val="20"/>
                <w:szCs w:val="20"/>
                <w:color w:val="auto"/>
              </w:rPr>
            </w:pPr>
            <w:r>
              <w:rPr>
                <w:rFonts w:ascii="Arial" w:cs="Arial" w:eastAsia="Arial" w:hAnsi="Arial"/>
                <w:sz w:val="13"/>
                <w:szCs w:val="13"/>
                <w:b w:val="1"/>
                <w:bCs w:val="1"/>
                <w:color w:val="auto"/>
              </w:rPr>
              <w:t>Annual</w:t>
            </w:r>
          </w:p>
        </w:tc>
        <w:tc>
          <w:tcPr>
            <w:tcW w:w="1240" w:type="dxa"/>
            <w:vAlign w:val="bottom"/>
          </w:tcPr>
          <w:p>
            <w:pPr>
              <w:jc w:val="right"/>
              <w:ind w:right="157"/>
              <w:spacing w:after="0"/>
              <w:rPr>
                <w:sz w:val="20"/>
                <w:szCs w:val="20"/>
                <w:color w:val="auto"/>
              </w:rPr>
            </w:pPr>
            <w:r>
              <w:rPr>
                <w:rFonts w:ascii="Arial" w:cs="Arial" w:eastAsia="Arial" w:hAnsi="Arial"/>
                <w:sz w:val="13"/>
                <w:szCs w:val="13"/>
                <w:b w:val="1"/>
                <w:bCs w:val="1"/>
                <w:color w:val="auto"/>
              </w:rPr>
              <w:t>2023-2025</w:t>
            </w:r>
          </w:p>
        </w:tc>
        <w:tc>
          <w:tcPr>
            <w:tcW w:w="1140" w:type="dxa"/>
            <w:vAlign w:val="bottom"/>
          </w:tcPr>
          <w:p>
            <w:pPr>
              <w:spacing w:after="0"/>
              <w:rPr>
                <w:sz w:val="13"/>
                <w:szCs w:val="13"/>
                <w:color w:val="auto"/>
              </w:rPr>
            </w:pPr>
          </w:p>
        </w:tc>
        <w:tc>
          <w:tcPr>
            <w:tcW w:w="1100" w:type="dxa"/>
            <w:vAlign w:val="bottom"/>
          </w:tcPr>
          <w:p>
            <w:pPr>
              <w:jc w:val="right"/>
              <w:ind w:right="157"/>
              <w:spacing w:after="0"/>
              <w:rPr>
                <w:sz w:val="20"/>
                <w:szCs w:val="20"/>
                <w:color w:val="auto"/>
              </w:rPr>
            </w:pPr>
            <w:r>
              <w:rPr>
                <w:rFonts w:ascii="Arial" w:cs="Arial" w:eastAsia="Arial" w:hAnsi="Arial"/>
                <w:sz w:val="13"/>
                <w:szCs w:val="13"/>
                <w:b w:val="1"/>
                <w:bCs w:val="1"/>
                <w:color w:val="auto"/>
              </w:rPr>
              <w:t>Restricted</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Total Annual</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20" w:type="dxa"/>
            <w:vAlign w:val="bottom"/>
          </w:tcPr>
          <w:p>
            <w:pPr>
              <w:jc w:val="right"/>
              <w:ind w:right="177"/>
              <w:spacing w:after="0"/>
              <w:rPr>
                <w:sz w:val="20"/>
                <w:szCs w:val="20"/>
                <w:color w:val="auto"/>
              </w:rPr>
            </w:pPr>
            <w:r>
              <w:rPr>
                <w:rFonts w:ascii="Arial" w:cs="Arial" w:eastAsia="Arial" w:hAnsi="Arial"/>
                <w:sz w:val="13"/>
                <w:szCs w:val="13"/>
                <w:b w:val="1"/>
                <w:bCs w:val="1"/>
                <w:color w:val="auto"/>
              </w:rPr>
              <w:t>Base</w:t>
            </w:r>
          </w:p>
        </w:tc>
        <w:tc>
          <w:tcPr>
            <w:tcW w:w="1140" w:type="dxa"/>
            <w:vAlign w:val="bottom"/>
          </w:tcPr>
          <w:p>
            <w:pPr>
              <w:jc w:val="right"/>
              <w:ind w:right="157"/>
              <w:spacing w:after="0"/>
              <w:rPr>
                <w:sz w:val="20"/>
                <w:szCs w:val="20"/>
                <w:color w:val="auto"/>
              </w:rPr>
            </w:pPr>
            <w:r>
              <w:rPr>
                <w:rFonts w:ascii="Arial" w:cs="Arial" w:eastAsia="Arial" w:hAnsi="Arial"/>
                <w:sz w:val="13"/>
                <w:szCs w:val="13"/>
                <w:b w:val="1"/>
                <w:bCs w:val="1"/>
                <w:color w:val="auto"/>
              </w:rPr>
              <w:t>Incentive</w:t>
            </w:r>
          </w:p>
        </w:tc>
        <w:tc>
          <w:tcPr>
            <w:tcW w:w="1240" w:type="dxa"/>
            <w:vAlign w:val="bottom"/>
          </w:tcPr>
          <w:p>
            <w:pPr>
              <w:jc w:val="right"/>
              <w:ind w:right="157"/>
              <w:spacing w:after="0"/>
              <w:rPr>
                <w:sz w:val="20"/>
                <w:szCs w:val="20"/>
                <w:color w:val="auto"/>
              </w:rPr>
            </w:pPr>
            <w:r>
              <w:rPr>
                <w:rFonts w:ascii="Arial" w:cs="Arial" w:eastAsia="Arial" w:hAnsi="Arial"/>
                <w:sz w:val="13"/>
                <w:szCs w:val="13"/>
                <w:b w:val="1"/>
                <w:bCs w:val="1"/>
                <w:color w:val="auto"/>
              </w:rPr>
              <w:t>Performance</w:t>
            </w:r>
          </w:p>
        </w:tc>
        <w:tc>
          <w:tcPr>
            <w:tcW w:w="1140" w:type="dxa"/>
            <w:vAlign w:val="bottom"/>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1100" w:type="dxa"/>
            <w:vAlign w:val="bottom"/>
          </w:tcPr>
          <w:p>
            <w:pPr>
              <w:jc w:val="right"/>
              <w:ind w:right="157"/>
              <w:spacing w:after="0"/>
              <w:rPr>
                <w:sz w:val="20"/>
                <w:szCs w:val="20"/>
                <w:color w:val="auto"/>
              </w:rPr>
            </w:pPr>
            <w:r>
              <w:rPr>
                <w:rFonts w:ascii="Arial" w:cs="Arial" w:eastAsia="Arial" w:hAnsi="Arial"/>
                <w:sz w:val="13"/>
                <w:szCs w:val="13"/>
                <w:b w:val="1"/>
                <w:bCs w:val="1"/>
                <w:color w:val="auto"/>
              </w:rPr>
              <w:t>Stock</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Direct</w:t>
            </w:r>
          </w:p>
        </w:tc>
        <w:tc>
          <w:tcPr>
            <w:tcW w:w="0" w:type="dxa"/>
            <w:vAlign w:val="bottom"/>
          </w:tcPr>
          <w:p>
            <w:pPr>
              <w:spacing w:after="0"/>
              <w:rPr>
                <w:sz w:val="1"/>
                <w:szCs w:val="1"/>
                <w:color w:val="auto"/>
              </w:rPr>
            </w:pPr>
          </w:p>
        </w:tc>
      </w:tr>
      <w:tr>
        <w:trPr>
          <w:trHeight w:val="207"/>
        </w:trPr>
        <w:tc>
          <w:tcPr>
            <w:tcW w:w="136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NEO</w:t>
            </w:r>
          </w:p>
        </w:tc>
        <w:tc>
          <w:tcPr>
            <w:tcW w:w="2700" w:type="dxa"/>
            <w:vAlign w:val="bottom"/>
            <w:tcBorders>
              <w:bottom w:val="single" w:sz="8" w:color="D7282F"/>
            </w:tcBorders>
          </w:tcPr>
          <w:p>
            <w:pPr>
              <w:ind w:left="300"/>
              <w:spacing w:after="0"/>
              <w:rPr>
                <w:sz w:val="20"/>
                <w:szCs w:val="20"/>
                <w:color w:val="auto"/>
              </w:rPr>
            </w:pPr>
            <w:r>
              <w:rPr>
                <w:rFonts w:ascii="Arial" w:cs="Arial" w:eastAsia="Arial" w:hAnsi="Arial"/>
                <w:sz w:val="13"/>
                <w:szCs w:val="13"/>
                <w:b w:val="1"/>
                <w:bCs w:val="1"/>
                <w:color w:val="auto"/>
              </w:rPr>
              <w:t>Position</w:t>
            </w:r>
          </w:p>
        </w:tc>
        <w:tc>
          <w:tcPr>
            <w:tcW w:w="1420" w:type="dxa"/>
            <w:vAlign w:val="bottom"/>
            <w:tcBorders>
              <w:bottom w:val="single" w:sz="8" w:color="D7282F"/>
            </w:tcBorders>
          </w:tcPr>
          <w:p>
            <w:pPr>
              <w:jc w:val="right"/>
              <w:ind w:right="177"/>
              <w:spacing w:after="0"/>
              <w:rPr>
                <w:sz w:val="20"/>
                <w:szCs w:val="20"/>
                <w:color w:val="auto"/>
              </w:rPr>
            </w:pPr>
            <w:r>
              <w:rPr>
                <w:rFonts w:ascii="Arial" w:cs="Arial" w:eastAsia="Arial" w:hAnsi="Arial"/>
                <w:sz w:val="13"/>
                <w:szCs w:val="13"/>
                <w:b w:val="1"/>
                <w:bCs w:val="1"/>
                <w:color w:val="auto"/>
              </w:rPr>
              <w:t>Salary</w:t>
            </w:r>
          </w:p>
        </w:tc>
        <w:tc>
          <w:tcPr>
            <w:tcW w:w="1140" w:type="dxa"/>
            <w:vAlign w:val="bottom"/>
            <w:tcBorders>
              <w:bottom w:val="single" w:sz="8" w:color="D7282F"/>
            </w:tcBorders>
          </w:tcPr>
          <w:p>
            <w:pPr>
              <w:jc w:val="right"/>
              <w:ind w:right="157"/>
              <w:spacing w:after="0"/>
              <w:rPr>
                <w:sz w:val="20"/>
                <w:szCs w:val="20"/>
                <w:color w:val="auto"/>
              </w:rPr>
            </w:pPr>
            <w:r>
              <w:rPr>
                <w:rFonts w:ascii="Arial" w:cs="Arial" w:eastAsia="Arial" w:hAnsi="Arial"/>
                <w:sz w:val="13"/>
                <w:szCs w:val="13"/>
                <w:b w:val="1"/>
                <w:bCs w:val="1"/>
                <w:color w:val="auto"/>
              </w:rPr>
              <w:t>Plan (ICP)</w:t>
            </w:r>
            <w:r>
              <w:rPr>
                <w:rFonts w:ascii="Arial" w:cs="Arial" w:eastAsia="Arial" w:hAnsi="Arial"/>
                <w:sz w:val="16"/>
                <w:szCs w:val="16"/>
                <w:b w:val="1"/>
                <w:bCs w:val="1"/>
                <w:color w:val="auto"/>
                <w:vertAlign w:val="superscript"/>
              </w:rPr>
              <w:t>(1)</w:t>
            </w:r>
          </w:p>
        </w:tc>
        <w:tc>
          <w:tcPr>
            <w:tcW w:w="1240" w:type="dxa"/>
            <w:vAlign w:val="bottom"/>
            <w:tcBorders>
              <w:bottom w:val="single" w:sz="8" w:color="D7282F"/>
            </w:tcBorders>
          </w:tcPr>
          <w:p>
            <w:pPr>
              <w:jc w:val="right"/>
              <w:ind w:right="157"/>
              <w:spacing w:after="0"/>
              <w:rPr>
                <w:sz w:val="20"/>
                <w:szCs w:val="20"/>
                <w:color w:val="auto"/>
              </w:rPr>
            </w:pPr>
            <w:r>
              <w:rPr>
                <w:rFonts w:ascii="Arial" w:cs="Arial" w:eastAsia="Arial" w:hAnsi="Arial"/>
                <w:sz w:val="13"/>
                <w:szCs w:val="13"/>
                <w:b w:val="1"/>
                <w:bCs w:val="1"/>
                <w:color w:val="auto"/>
              </w:rPr>
              <w:t>Stock Units</w:t>
            </w:r>
            <w:r>
              <w:rPr>
                <w:rFonts w:ascii="Arial" w:cs="Arial" w:eastAsia="Arial" w:hAnsi="Arial"/>
                <w:sz w:val="16"/>
                <w:szCs w:val="16"/>
                <w:b w:val="1"/>
                <w:bCs w:val="1"/>
                <w:color w:val="auto"/>
                <w:vertAlign w:val="superscript"/>
              </w:rPr>
              <w:t>(2)</w:t>
            </w:r>
          </w:p>
        </w:tc>
        <w:tc>
          <w:tcPr>
            <w:tcW w:w="1140" w:type="dxa"/>
            <w:vAlign w:val="bottom"/>
            <w:tcBorders>
              <w:bottom w:val="single" w:sz="8" w:color="D7282F"/>
            </w:tcBorders>
          </w:tcPr>
          <w:p>
            <w:pPr>
              <w:jc w:val="right"/>
              <w:ind w:right="157"/>
              <w:spacing w:after="0"/>
              <w:rPr>
                <w:sz w:val="20"/>
                <w:szCs w:val="20"/>
                <w:color w:val="auto"/>
              </w:rPr>
            </w:pPr>
            <w:r>
              <w:rPr>
                <w:rFonts w:ascii="Arial" w:cs="Arial" w:eastAsia="Arial" w:hAnsi="Arial"/>
                <w:sz w:val="13"/>
                <w:szCs w:val="13"/>
                <w:b w:val="1"/>
                <w:bCs w:val="1"/>
                <w:color w:val="auto"/>
              </w:rPr>
              <w:t>Options</w:t>
            </w:r>
            <w:r>
              <w:rPr>
                <w:rFonts w:ascii="Arial" w:cs="Arial" w:eastAsia="Arial" w:hAnsi="Arial"/>
                <w:sz w:val="16"/>
                <w:szCs w:val="16"/>
                <w:b w:val="1"/>
                <w:bCs w:val="1"/>
                <w:color w:val="auto"/>
                <w:vertAlign w:val="superscript"/>
              </w:rPr>
              <w:t>(3)</w:t>
            </w:r>
          </w:p>
        </w:tc>
        <w:tc>
          <w:tcPr>
            <w:tcW w:w="1100" w:type="dxa"/>
            <w:vAlign w:val="bottom"/>
            <w:tcBorders>
              <w:bottom w:val="single" w:sz="8" w:color="D7282F"/>
            </w:tcBorders>
          </w:tcPr>
          <w:p>
            <w:pPr>
              <w:jc w:val="right"/>
              <w:ind w:right="157"/>
              <w:spacing w:after="0"/>
              <w:rPr>
                <w:sz w:val="20"/>
                <w:szCs w:val="20"/>
                <w:color w:val="auto"/>
              </w:rPr>
            </w:pPr>
            <w:r>
              <w:rPr>
                <w:rFonts w:ascii="Arial" w:cs="Arial" w:eastAsia="Arial" w:hAnsi="Arial"/>
                <w:sz w:val="13"/>
                <w:szCs w:val="13"/>
                <w:b w:val="1"/>
                <w:bCs w:val="1"/>
                <w:color w:val="auto"/>
              </w:rPr>
              <w:t>Units</w:t>
            </w:r>
            <w:r>
              <w:rPr>
                <w:rFonts w:ascii="Arial" w:cs="Arial" w:eastAsia="Arial" w:hAnsi="Arial"/>
                <w:sz w:val="16"/>
                <w:szCs w:val="16"/>
                <w:b w:val="1"/>
                <w:bCs w:val="1"/>
                <w:color w:val="auto"/>
                <w:vertAlign w:val="superscript"/>
              </w:rPr>
              <w:t>(4)</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Vimal Kapur</w:t>
            </w:r>
          </w:p>
        </w:tc>
        <w:tc>
          <w:tcPr>
            <w:tcW w:w="2700" w:type="dxa"/>
            <w:vAlign w:val="bottom"/>
          </w:tcPr>
          <w:p>
            <w:pPr>
              <w:ind w:left="300"/>
              <w:spacing w:after="0"/>
              <w:rPr>
                <w:sz w:val="20"/>
                <w:szCs w:val="20"/>
                <w:color w:val="auto"/>
              </w:rPr>
            </w:pPr>
            <w:r>
              <w:rPr>
                <w:rFonts w:ascii="Arial" w:cs="Arial" w:eastAsia="Arial" w:hAnsi="Arial"/>
                <w:sz w:val="13"/>
                <w:szCs w:val="13"/>
                <w:color w:val="auto"/>
              </w:rPr>
              <w:t>Chief Executive Officer</w:t>
            </w:r>
          </w:p>
        </w:tc>
        <w:tc>
          <w:tcPr>
            <w:tcW w:w="1420" w:type="dxa"/>
            <w:vAlign w:val="bottom"/>
          </w:tcPr>
          <w:p>
            <w:pPr>
              <w:jc w:val="right"/>
              <w:ind w:right="217"/>
              <w:spacing w:after="0"/>
              <w:rPr>
                <w:sz w:val="20"/>
                <w:szCs w:val="20"/>
                <w:color w:val="auto"/>
              </w:rPr>
            </w:pPr>
            <w:r>
              <w:rPr>
                <w:rFonts w:ascii="Arial" w:cs="Arial" w:eastAsia="Arial" w:hAnsi="Arial"/>
                <w:sz w:val="13"/>
                <w:szCs w:val="13"/>
                <w:color w:val="auto"/>
              </w:rPr>
              <w:t>$1,225,000</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$2,416,500</w:t>
            </w: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$5,020,121</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$2,510,104</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$2,510,102</w:t>
            </w:r>
          </w:p>
        </w:tc>
        <w:tc>
          <w:tcPr>
            <w:tcW w:w="1120" w:type="dxa"/>
            <w:vAlign w:val="bottom"/>
          </w:tcPr>
          <w:p>
            <w:pPr>
              <w:jc w:val="right"/>
              <w:spacing w:after="0"/>
              <w:rPr>
                <w:sz w:val="20"/>
                <w:szCs w:val="20"/>
                <w:color w:val="auto"/>
              </w:rPr>
            </w:pPr>
            <w:r>
              <w:rPr>
                <w:rFonts w:ascii="Arial" w:cs="Arial" w:eastAsia="Arial" w:hAnsi="Arial"/>
                <w:sz w:val="13"/>
                <w:szCs w:val="13"/>
                <w:color w:val="auto"/>
              </w:rPr>
              <w:t>$13,681,827</w:t>
            </w:r>
          </w:p>
        </w:tc>
        <w:tc>
          <w:tcPr>
            <w:tcW w:w="0" w:type="dxa"/>
            <w:vAlign w:val="bottom"/>
          </w:tcPr>
          <w:p>
            <w:pPr>
              <w:spacing w:after="0"/>
              <w:rPr>
                <w:sz w:val="1"/>
                <w:szCs w:val="1"/>
                <w:color w:val="auto"/>
              </w:rPr>
            </w:pPr>
          </w:p>
        </w:tc>
      </w:tr>
      <w:tr>
        <w:trPr>
          <w:trHeight w:val="22"/>
        </w:trPr>
        <w:tc>
          <w:tcPr>
            <w:tcW w:w="1360" w:type="dxa"/>
            <w:vAlign w:val="bottom"/>
            <w:tcBorders>
              <w:bottom w:val="single" w:sz="8" w:color="939598"/>
            </w:tcBorders>
          </w:tcPr>
          <w:p>
            <w:pPr>
              <w:spacing w:after="0" w:line="20" w:lineRule="exact"/>
              <w:rPr>
                <w:sz w:val="1"/>
                <w:szCs w:val="1"/>
                <w:color w:val="auto"/>
              </w:rPr>
            </w:pPr>
          </w:p>
        </w:tc>
        <w:tc>
          <w:tcPr>
            <w:tcW w:w="270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Gregory P. Lewis</w:t>
            </w:r>
          </w:p>
        </w:tc>
        <w:tc>
          <w:tcPr>
            <w:tcW w:w="2700" w:type="dxa"/>
            <w:vAlign w:val="bottom"/>
          </w:tcPr>
          <w:p>
            <w:pPr>
              <w:ind w:left="300"/>
              <w:spacing w:after="0"/>
              <w:rPr>
                <w:sz w:val="20"/>
                <w:szCs w:val="20"/>
                <w:color w:val="auto"/>
              </w:rPr>
            </w:pPr>
            <w:r>
              <w:rPr>
                <w:rFonts w:ascii="Arial" w:cs="Arial" w:eastAsia="Arial" w:hAnsi="Arial"/>
                <w:sz w:val="13"/>
                <w:szCs w:val="13"/>
                <w:color w:val="auto"/>
              </w:rPr>
              <w:t>SVP and Chief Financial Officer</w:t>
            </w:r>
          </w:p>
        </w:tc>
        <w:tc>
          <w:tcPr>
            <w:tcW w:w="1420" w:type="dxa"/>
            <w:vAlign w:val="bottom"/>
          </w:tcPr>
          <w:p>
            <w:pPr>
              <w:jc w:val="right"/>
              <w:ind w:right="217"/>
              <w:spacing w:after="0"/>
              <w:rPr>
                <w:sz w:val="20"/>
                <w:szCs w:val="20"/>
                <w:color w:val="auto"/>
              </w:rPr>
            </w:pPr>
            <w:r>
              <w:rPr>
                <w:rFonts w:ascii="Arial" w:cs="Arial" w:eastAsia="Arial" w:hAnsi="Arial"/>
                <w:sz w:val="13"/>
                <w:szCs w:val="13"/>
                <w:color w:val="auto"/>
              </w:rPr>
              <w:t>920,612</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1,162,900</w:t>
            </w: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2,735,150</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1,367,716</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1,367,260</w:t>
            </w:r>
          </w:p>
        </w:tc>
        <w:tc>
          <w:tcPr>
            <w:tcW w:w="1120" w:type="dxa"/>
            <w:vAlign w:val="bottom"/>
          </w:tcPr>
          <w:p>
            <w:pPr>
              <w:jc w:val="right"/>
              <w:spacing w:after="0"/>
              <w:rPr>
                <w:sz w:val="20"/>
                <w:szCs w:val="20"/>
                <w:color w:val="auto"/>
              </w:rPr>
            </w:pPr>
            <w:r>
              <w:rPr>
                <w:rFonts w:ascii="Arial" w:cs="Arial" w:eastAsia="Arial" w:hAnsi="Arial"/>
                <w:sz w:val="13"/>
                <w:szCs w:val="13"/>
                <w:color w:val="auto"/>
              </w:rPr>
              <w:t>7,553,638</w:t>
            </w:r>
          </w:p>
        </w:tc>
        <w:tc>
          <w:tcPr>
            <w:tcW w:w="0" w:type="dxa"/>
            <w:vAlign w:val="bottom"/>
          </w:tcPr>
          <w:p>
            <w:pPr>
              <w:spacing w:after="0"/>
              <w:rPr>
                <w:sz w:val="1"/>
                <w:szCs w:val="1"/>
                <w:color w:val="auto"/>
              </w:rPr>
            </w:pPr>
          </w:p>
        </w:tc>
      </w:tr>
      <w:tr>
        <w:trPr>
          <w:trHeight w:val="22"/>
        </w:trPr>
        <w:tc>
          <w:tcPr>
            <w:tcW w:w="1360" w:type="dxa"/>
            <w:vAlign w:val="bottom"/>
            <w:tcBorders>
              <w:bottom w:val="single" w:sz="8" w:color="939598"/>
            </w:tcBorders>
          </w:tcPr>
          <w:p>
            <w:pPr>
              <w:spacing w:after="0" w:line="20" w:lineRule="exact"/>
              <w:rPr>
                <w:sz w:val="1"/>
                <w:szCs w:val="1"/>
                <w:color w:val="auto"/>
              </w:rPr>
            </w:pPr>
          </w:p>
        </w:tc>
        <w:tc>
          <w:tcPr>
            <w:tcW w:w="270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Anne T. Madden</w:t>
            </w:r>
          </w:p>
        </w:tc>
        <w:tc>
          <w:tcPr>
            <w:tcW w:w="2700" w:type="dxa"/>
            <w:vAlign w:val="bottom"/>
          </w:tcPr>
          <w:p>
            <w:pPr>
              <w:ind w:left="300"/>
              <w:spacing w:after="0"/>
              <w:rPr>
                <w:sz w:val="20"/>
                <w:szCs w:val="20"/>
                <w:color w:val="auto"/>
              </w:rPr>
            </w:pPr>
            <w:r>
              <w:rPr>
                <w:rFonts w:ascii="Arial" w:cs="Arial" w:eastAsia="Arial" w:hAnsi="Arial"/>
                <w:sz w:val="13"/>
                <w:szCs w:val="13"/>
                <w:color w:val="auto"/>
              </w:rPr>
              <w:t>SVP and General Counsel</w:t>
            </w:r>
          </w:p>
        </w:tc>
        <w:tc>
          <w:tcPr>
            <w:tcW w:w="1420" w:type="dxa"/>
            <w:vAlign w:val="bottom"/>
          </w:tcPr>
          <w:p>
            <w:pPr>
              <w:jc w:val="right"/>
              <w:ind w:right="217"/>
              <w:spacing w:after="0"/>
              <w:rPr>
                <w:sz w:val="20"/>
                <w:szCs w:val="20"/>
                <w:color w:val="auto"/>
              </w:rPr>
            </w:pPr>
            <w:r>
              <w:rPr>
                <w:rFonts w:ascii="Arial" w:cs="Arial" w:eastAsia="Arial" w:hAnsi="Arial"/>
                <w:sz w:val="13"/>
                <w:szCs w:val="13"/>
                <w:color w:val="auto"/>
              </w:rPr>
              <w:t>890,546</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1,076,500</w:t>
            </w: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2,492,481</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1,246,190</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1,246,502</w:t>
            </w:r>
          </w:p>
        </w:tc>
        <w:tc>
          <w:tcPr>
            <w:tcW w:w="1120" w:type="dxa"/>
            <w:vAlign w:val="bottom"/>
          </w:tcPr>
          <w:p>
            <w:pPr>
              <w:jc w:val="right"/>
              <w:spacing w:after="0"/>
              <w:rPr>
                <w:sz w:val="20"/>
                <w:szCs w:val="20"/>
                <w:color w:val="auto"/>
              </w:rPr>
            </w:pPr>
            <w:r>
              <w:rPr>
                <w:rFonts w:ascii="Arial" w:cs="Arial" w:eastAsia="Arial" w:hAnsi="Arial"/>
                <w:sz w:val="13"/>
                <w:szCs w:val="13"/>
                <w:color w:val="auto"/>
              </w:rPr>
              <w:t>6,952,219</w:t>
            </w:r>
          </w:p>
        </w:tc>
        <w:tc>
          <w:tcPr>
            <w:tcW w:w="0" w:type="dxa"/>
            <w:vAlign w:val="bottom"/>
          </w:tcPr>
          <w:p>
            <w:pPr>
              <w:spacing w:after="0"/>
              <w:rPr>
                <w:sz w:val="1"/>
                <w:szCs w:val="1"/>
                <w:color w:val="auto"/>
              </w:rPr>
            </w:pPr>
          </w:p>
        </w:tc>
      </w:tr>
      <w:tr>
        <w:trPr>
          <w:trHeight w:val="22"/>
        </w:trPr>
        <w:tc>
          <w:tcPr>
            <w:tcW w:w="1360" w:type="dxa"/>
            <w:vAlign w:val="bottom"/>
            <w:tcBorders>
              <w:bottom w:val="single" w:sz="8" w:color="939598"/>
            </w:tcBorders>
          </w:tcPr>
          <w:p>
            <w:pPr>
              <w:spacing w:after="0" w:line="20" w:lineRule="exact"/>
              <w:rPr>
                <w:sz w:val="1"/>
                <w:szCs w:val="1"/>
                <w:color w:val="auto"/>
              </w:rPr>
            </w:pPr>
          </w:p>
        </w:tc>
        <w:tc>
          <w:tcPr>
            <w:tcW w:w="270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13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Lucian Boldea</w:t>
            </w:r>
            <w:r>
              <w:rPr>
                <w:rFonts w:ascii="Arial" w:cs="Arial" w:eastAsia="Arial" w:hAnsi="Arial"/>
                <w:sz w:val="16"/>
                <w:szCs w:val="16"/>
                <w:b w:val="1"/>
                <w:bCs w:val="1"/>
                <w:color w:val="auto"/>
                <w:vertAlign w:val="superscript"/>
              </w:rPr>
              <w:t>(5)</w:t>
            </w:r>
          </w:p>
        </w:tc>
        <w:tc>
          <w:tcPr>
            <w:tcW w:w="2700" w:type="dxa"/>
            <w:vAlign w:val="bottom"/>
          </w:tcPr>
          <w:p>
            <w:pPr>
              <w:ind w:left="300"/>
              <w:spacing w:after="0"/>
              <w:rPr>
                <w:sz w:val="20"/>
                <w:szCs w:val="20"/>
                <w:color w:val="auto"/>
              </w:rPr>
            </w:pPr>
            <w:r>
              <w:rPr>
                <w:rFonts w:ascii="Arial" w:cs="Arial" w:eastAsia="Arial" w:hAnsi="Arial"/>
                <w:sz w:val="13"/>
                <w:szCs w:val="13"/>
                <w:color w:val="auto"/>
              </w:rPr>
              <w:t>President and CEO, Performance</w:t>
            </w:r>
          </w:p>
        </w:tc>
        <w:tc>
          <w:tcPr>
            <w:tcW w:w="1420" w:type="dxa"/>
            <w:vAlign w:val="bottom"/>
          </w:tcPr>
          <w:p>
            <w:pPr>
              <w:jc w:val="right"/>
              <w:ind w:right="217"/>
              <w:spacing w:after="0"/>
              <w:rPr>
                <w:sz w:val="20"/>
                <w:szCs w:val="20"/>
                <w:color w:val="auto"/>
              </w:rPr>
            </w:pPr>
            <w:r>
              <w:rPr>
                <w:rFonts w:ascii="Arial" w:cs="Arial" w:eastAsia="Arial" w:hAnsi="Arial"/>
                <w:sz w:val="13"/>
                <w:szCs w:val="13"/>
                <w:color w:val="auto"/>
              </w:rPr>
              <w:t>769,231</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975,200</w:t>
            </w: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1,899,923</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950,058</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950,096</w:t>
            </w:r>
          </w:p>
        </w:tc>
        <w:tc>
          <w:tcPr>
            <w:tcW w:w="1120" w:type="dxa"/>
            <w:vAlign w:val="bottom"/>
          </w:tcPr>
          <w:p>
            <w:pPr>
              <w:jc w:val="right"/>
              <w:spacing w:after="0"/>
              <w:rPr>
                <w:sz w:val="20"/>
                <w:szCs w:val="20"/>
                <w:color w:val="auto"/>
              </w:rPr>
            </w:pPr>
            <w:r>
              <w:rPr>
                <w:rFonts w:ascii="Arial" w:cs="Arial" w:eastAsia="Arial" w:hAnsi="Arial"/>
                <w:sz w:val="13"/>
                <w:szCs w:val="13"/>
                <w:color w:val="auto"/>
              </w:rPr>
              <w:t>5,544,508</w:t>
            </w:r>
          </w:p>
        </w:tc>
        <w:tc>
          <w:tcPr>
            <w:tcW w:w="0" w:type="dxa"/>
            <w:vAlign w:val="bottom"/>
          </w:tcPr>
          <w:p>
            <w:pPr>
              <w:spacing w:after="0"/>
              <w:rPr>
                <w:sz w:val="1"/>
                <w:szCs w:val="1"/>
                <w:color w:val="auto"/>
              </w:rPr>
            </w:pPr>
          </w:p>
        </w:tc>
      </w:tr>
      <w:tr>
        <w:trPr>
          <w:trHeight w:val="186"/>
        </w:trPr>
        <w:tc>
          <w:tcPr>
            <w:tcW w:w="1360" w:type="dxa"/>
            <w:vAlign w:val="bottom"/>
            <w:vMerge w:val="continue"/>
          </w:tcPr>
          <w:p>
            <w:pPr>
              <w:spacing w:after="0"/>
              <w:rPr>
                <w:sz w:val="16"/>
                <w:szCs w:val="16"/>
                <w:color w:val="auto"/>
              </w:rPr>
            </w:pPr>
          </w:p>
        </w:tc>
        <w:tc>
          <w:tcPr>
            <w:tcW w:w="2700" w:type="dxa"/>
            <w:vAlign w:val="bottom"/>
          </w:tcPr>
          <w:p>
            <w:pPr>
              <w:ind w:left="300"/>
              <w:spacing w:after="0"/>
              <w:rPr>
                <w:sz w:val="20"/>
                <w:szCs w:val="20"/>
                <w:color w:val="auto"/>
              </w:rPr>
            </w:pPr>
            <w:r>
              <w:rPr>
                <w:rFonts w:ascii="Arial" w:cs="Arial" w:eastAsia="Arial" w:hAnsi="Arial"/>
                <w:sz w:val="13"/>
                <w:szCs w:val="13"/>
                <w:color w:val="auto"/>
              </w:rPr>
              <w:t>Materials and Technologies</w:t>
            </w: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360" w:type="dxa"/>
            <w:vAlign w:val="bottom"/>
            <w:tcBorders>
              <w:bottom w:val="single" w:sz="8" w:color="939598"/>
            </w:tcBorders>
          </w:tcPr>
          <w:p>
            <w:pPr>
              <w:spacing w:after="0"/>
              <w:rPr>
                <w:sz w:val="6"/>
                <w:szCs w:val="6"/>
                <w:color w:val="auto"/>
              </w:rPr>
            </w:pPr>
          </w:p>
        </w:tc>
        <w:tc>
          <w:tcPr>
            <w:tcW w:w="270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240" w:type="dxa"/>
            <w:vAlign w:val="bottom"/>
            <w:tcBorders>
              <w:bottom w:val="single" w:sz="8" w:color="939598"/>
            </w:tcBorders>
          </w:tcPr>
          <w:p>
            <w:pPr>
              <w:spacing w:after="0"/>
              <w:rPr>
                <w:sz w:val="6"/>
                <w:szCs w:val="6"/>
                <w:color w:val="auto"/>
              </w:rPr>
            </w:pPr>
          </w:p>
        </w:tc>
        <w:tc>
          <w:tcPr>
            <w:tcW w:w="1140" w:type="dxa"/>
            <w:vAlign w:val="bottom"/>
            <w:tcBorders>
              <w:bottom w:val="single" w:sz="8" w:color="939598"/>
            </w:tcBorders>
          </w:tcPr>
          <w:p>
            <w:pPr>
              <w:spacing w:after="0"/>
              <w:rPr>
                <w:sz w:val="6"/>
                <w:szCs w:val="6"/>
                <w:color w:val="auto"/>
              </w:rPr>
            </w:pPr>
          </w:p>
        </w:tc>
        <w:tc>
          <w:tcPr>
            <w:tcW w:w="1100" w:type="dxa"/>
            <w:vAlign w:val="bottom"/>
            <w:tcBorders>
              <w:bottom w:val="single" w:sz="8" w:color="939598"/>
            </w:tcBorders>
          </w:tcPr>
          <w:p>
            <w:pPr>
              <w:spacing w:after="0"/>
              <w:rPr>
                <w:sz w:val="6"/>
                <w:szCs w:val="6"/>
                <w:color w:val="auto"/>
              </w:rPr>
            </w:pPr>
          </w:p>
        </w:tc>
        <w:tc>
          <w:tcPr>
            <w:tcW w:w="11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James Currier</w:t>
            </w:r>
          </w:p>
        </w:tc>
        <w:tc>
          <w:tcPr>
            <w:tcW w:w="2700" w:type="dxa"/>
            <w:vAlign w:val="bottom"/>
          </w:tcPr>
          <w:p>
            <w:pPr>
              <w:ind w:left="300"/>
              <w:spacing w:after="0"/>
              <w:rPr>
                <w:sz w:val="20"/>
                <w:szCs w:val="20"/>
                <w:color w:val="auto"/>
              </w:rPr>
            </w:pPr>
            <w:r>
              <w:rPr>
                <w:rFonts w:ascii="Arial" w:cs="Arial" w:eastAsia="Arial" w:hAnsi="Arial"/>
                <w:sz w:val="13"/>
                <w:szCs w:val="13"/>
                <w:color w:val="auto"/>
              </w:rPr>
              <w:t>President and CEO, Aerospace</w:t>
            </w:r>
          </w:p>
        </w:tc>
        <w:tc>
          <w:tcPr>
            <w:tcW w:w="1420" w:type="dxa"/>
            <w:vAlign w:val="bottom"/>
          </w:tcPr>
          <w:p>
            <w:pPr>
              <w:jc w:val="right"/>
              <w:ind w:right="217"/>
              <w:spacing w:after="0"/>
              <w:rPr>
                <w:sz w:val="20"/>
                <w:szCs w:val="20"/>
                <w:color w:val="auto"/>
              </w:rPr>
            </w:pPr>
            <w:r>
              <w:rPr>
                <w:rFonts w:ascii="Arial" w:cs="Arial" w:eastAsia="Arial" w:hAnsi="Arial"/>
                <w:sz w:val="13"/>
                <w:szCs w:val="13"/>
                <w:color w:val="auto"/>
              </w:rPr>
              <w:t>531,560</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700,800</w:t>
            </w: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1,694,108</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919,053</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919,310</w:t>
            </w:r>
          </w:p>
        </w:tc>
        <w:tc>
          <w:tcPr>
            <w:tcW w:w="1120" w:type="dxa"/>
            <w:vAlign w:val="bottom"/>
          </w:tcPr>
          <w:p>
            <w:pPr>
              <w:jc w:val="right"/>
              <w:spacing w:after="0"/>
              <w:rPr>
                <w:sz w:val="20"/>
                <w:szCs w:val="20"/>
                <w:color w:val="auto"/>
              </w:rPr>
            </w:pPr>
            <w:r>
              <w:rPr>
                <w:rFonts w:ascii="Arial" w:cs="Arial" w:eastAsia="Arial" w:hAnsi="Arial"/>
                <w:sz w:val="13"/>
                <w:szCs w:val="13"/>
                <w:color w:val="auto"/>
              </w:rPr>
              <w:t>4,764,831</w:t>
            </w:r>
          </w:p>
        </w:tc>
        <w:tc>
          <w:tcPr>
            <w:tcW w:w="0" w:type="dxa"/>
            <w:vAlign w:val="bottom"/>
          </w:tcPr>
          <w:p>
            <w:pPr>
              <w:spacing w:after="0"/>
              <w:rPr>
                <w:sz w:val="1"/>
                <w:szCs w:val="1"/>
                <w:color w:val="auto"/>
              </w:rPr>
            </w:pPr>
          </w:p>
        </w:tc>
      </w:tr>
      <w:tr>
        <w:trPr>
          <w:trHeight w:val="22"/>
        </w:trPr>
        <w:tc>
          <w:tcPr>
            <w:tcW w:w="1360" w:type="dxa"/>
            <w:vAlign w:val="bottom"/>
            <w:tcBorders>
              <w:bottom w:val="single" w:sz="8" w:color="939598"/>
            </w:tcBorders>
          </w:tcPr>
          <w:p>
            <w:pPr>
              <w:spacing w:after="0" w:line="20" w:lineRule="exact"/>
              <w:rPr>
                <w:sz w:val="1"/>
                <w:szCs w:val="1"/>
                <w:color w:val="auto"/>
              </w:rPr>
            </w:pPr>
          </w:p>
        </w:tc>
        <w:tc>
          <w:tcPr>
            <w:tcW w:w="270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2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Darius Adamczyk</w:t>
            </w:r>
          </w:p>
        </w:tc>
        <w:tc>
          <w:tcPr>
            <w:tcW w:w="2700" w:type="dxa"/>
            <w:vAlign w:val="bottom"/>
          </w:tcPr>
          <w:p>
            <w:pPr>
              <w:ind w:left="300"/>
              <w:spacing w:after="0"/>
              <w:rPr>
                <w:sz w:val="20"/>
                <w:szCs w:val="20"/>
                <w:color w:val="auto"/>
              </w:rPr>
            </w:pPr>
            <w:r>
              <w:rPr>
                <w:rFonts w:ascii="Arial" w:cs="Arial" w:eastAsia="Arial" w:hAnsi="Arial"/>
                <w:sz w:val="13"/>
                <w:szCs w:val="13"/>
                <w:color w:val="auto"/>
              </w:rPr>
              <w:t>Executive Chairman, Former CEO</w:t>
            </w:r>
          </w:p>
        </w:tc>
        <w:tc>
          <w:tcPr>
            <w:tcW w:w="1420" w:type="dxa"/>
            <w:vAlign w:val="bottom"/>
          </w:tcPr>
          <w:p>
            <w:pPr>
              <w:jc w:val="right"/>
              <w:ind w:right="217"/>
              <w:spacing w:after="0"/>
              <w:rPr>
                <w:sz w:val="20"/>
                <w:szCs w:val="20"/>
                <w:color w:val="auto"/>
              </w:rPr>
            </w:pPr>
            <w:r>
              <w:rPr>
                <w:rFonts w:ascii="Arial" w:cs="Arial" w:eastAsia="Arial" w:hAnsi="Arial"/>
                <w:sz w:val="13"/>
                <w:szCs w:val="13"/>
                <w:color w:val="auto"/>
              </w:rPr>
              <w:t>1,459,712</w:t>
            </w:r>
          </w:p>
        </w:tc>
        <w:tc>
          <w:tcPr>
            <w:tcW w:w="1140" w:type="dxa"/>
            <w:vAlign w:val="bottom"/>
          </w:tcPr>
          <w:p>
            <w:pPr>
              <w:jc w:val="right"/>
              <w:ind w:right="197"/>
              <w:spacing w:after="0"/>
              <w:rPr>
                <w:sz w:val="20"/>
                <w:szCs w:val="20"/>
                <w:color w:val="auto"/>
              </w:rPr>
            </w:pPr>
            <w:r>
              <w:rPr>
                <w:rFonts w:ascii="Arial" w:cs="Arial" w:eastAsia="Arial" w:hAnsi="Arial"/>
                <w:sz w:val="13"/>
                <w:szCs w:val="13"/>
                <w:color w:val="auto"/>
              </w:rPr>
              <w:t>2,834,000</w:t>
            </w:r>
          </w:p>
        </w:tc>
        <w:tc>
          <w:tcPr>
            <w:tcW w:w="1240" w:type="dxa"/>
            <w:vAlign w:val="bottom"/>
          </w:tcPr>
          <w:p>
            <w:pPr>
              <w:jc w:val="right"/>
              <w:ind w:right="217"/>
              <w:spacing w:after="0"/>
              <w:rPr>
                <w:sz w:val="20"/>
                <w:szCs w:val="20"/>
                <w:color w:val="auto"/>
              </w:rPr>
            </w:pPr>
            <w:r>
              <w:rPr>
                <w:rFonts w:ascii="Arial" w:cs="Arial" w:eastAsia="Arial" w:hAnsi="Arial"/>
                <w:sz w:val="13"/>
                <w:szCs w:val="13"/>
                <w:color w:val="auto"/>
              </w:rPr>
              <w:t>9,000,265</w:t>
            </w: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$4,500,052</w:t>
            </w:r>
          </w:p>
        </w:tc>
        <w:tc>
          <w:tcPr>
            <w:tcW w:w="1100" w:type="dxa"/>
            <w:vAlign w:val="bottom"/>
          </w:tcPr>
          <w:p>
            <w:pPr>
              <w:jc w:val="right"/>
              <w:ind w:right="197"/>
              <w:spacing w:after="0"/>
              <w:rPr>
                <w:sz w:val="20"/>
                <w:szCs w:val="20"/>
                <w:color w:val="auto"/>
              </w:rPr>
            </w:pPr>
            <w:r>
              <w:rPr>
                <w:rFonts w:ascii="Arial" w:cs="Arial" w:eastAsia="Arial" w:hAnsi="Arial"/>
                <w:sz w:val="13"/>
                <w:szCs w:val="13"/>
                <w:color w:val="auto"/>
              </w:rPr>
              <w:t>4,499,982</w:t>
            </w:r>
          </w:p>
        </w:tc>
        <w:tc>
          <w:tcPr>
            <w:tcW w:w="1120" w:type="dxa"/>
            <w:vAlign w:val="bottom"/>
          </w:tcPr>
          <w:p>
            <w:pPr>
              <w:jc w:val="right"/>
              <w:spacing w:after="0"/>
              <w:rPr>
                <w:sz w:val="20"/>
                <w:szCs w:val="20"/>
                <w:color w:val="auto"/>
              </w:rPr>
            </w:pPr>
            <w:r>
              <w:rPr>
                <w:rFonts w:ascii="Arial" w:cs="Arial" w:eastAsia="Arial" w:hAnsi="Arial"/>
                <w:sz w:val="13"/>
                <w:szCs w:val="13"/>
                <w:color w:val="auto"/>
              </w:rPr>
              <w:t>22,294,011</w:t>
            </w:r>
          </w:p>
        </w:tc>
        <w:tc>
          <w:tcPr>
            <w:tcW w:w="0" w:type="dxa"/>
            <w:vAlign w:val="bottom"/>
          </w:tcPr>
          <w:p>
            <w:pPr>
              <w:spacing w:after="0"/>
              <w:rPr>
                <w:sz w:val="1"/>
                <w:szCs w:val="1"/>
                <w:color w:val="auto"/>
              </w:rPr>
            </w:pPr>
          </w:p>
        </w:tc>
      </w:tr>
      <w:tr>
        <w:trPr>
          <w:trHeight w:val="22"/>
        </w:trPr>
        <w:tc>
          <w:tcPr>
            <w:tcW w:w="1360" w:type="dxa"/>
            <w:vAlign w:val="bottom"/>
            <w:tcBorders>
              <w:bottom w:val="single" w:sz="8" w:color="D7282F"/>
            </w:tcBorders>
          </w:tcPr>
          <w:p>
            <w:pPr>
              <w:spacing w:after="0" w:line="20" w:lineRule="exact"/>
              <w:rPr>
                <w:sz w:val="1"/>
                <w:szCs w:val="1"/>
                <w:color w:val="auto"/>
              </w:rPr>
            </w:pPr>
          </w:p>
        </w:tc>
        <w:tc>
          <w:tcPr>
            <w:tcW w:w="2700" w:type="dxa"/>
            <w:vAlign w:val="bottom"/>
            <w:tcBorders>
              <w:bottom w:val="single" w:sz="8" w:color="D7282F"/>
            </w:tcBorders>
          </w:tcPr>
          <w:p>
            <w:pPr>
              <w:spacing w:after="0" w:line="20" w:lineRule="exact"/>
              <w:rPr>
                <w:sz w:val="1"/>
                <w:szCs w:val="1"/>
                <w:color w:val="auto"/>
              </w:rPr>
            </w:pPr>
          </w:p>
        </w:tc>
        <w:tc>
          <w:tcPr>
            <w:tcW w:w="1420" w:type="dxa"/>
            <w:vAlign w:val="bottom"/>
            <w:tcBorders>
              <w:bottom w:val="single" w:sz="8" w:color="D7282F"/>
            </w:tcBorders>
          </w:tcPr>
          <w:p>
            <w:pPr>
              <w:spacing w:after="0" w:line="20" w:lineRule="exact"/>
              <w:rPr>
                <w:sz w:val="1"/>
                <w:szCs w:val="1"/>
                <w:color w:val="auto"/>
              </w:rPr>
            </w:pPr>
          </w:p>
        </w:tc>
        <w:tc>
          <w:tcPr>
            <w:tcW w:w="1140" w:type="dxa"/>
            <w:vAlign w:val="bottom"/>
            <w:tcBorders>
              <w:bottom w:val="single" w:sz="8" w:color="D7282F"/>
            </w:tcBorders>
          </w:tcPr>
          <w:p>
            <w:pPr>
              <w:spacing w:after="0" w:line="20" w:lineRule="exact"/>
              <w:rPr>
                <w:sz w:val="1"/>
                <w:szCs w:val="1"/>
                <w:color w:val="auto"/>
              </w:rPr>
            </w:pPr>
          </w:p>
        </w:tc>
        <w:tc>
          <w:tcPr>
            <w:tcW w:w="1240" w:type="dxa"/>
            <w:vAlign w:val="bottom"/>
            <w:tcBorders>
              <w:bottom w:val="single" w:sz="8" w:color="D7282F"/>
            </w:tcBorders>
          </w:tcPr>
          <w:p>
            <w:pPr>
              <w:spacing w:after="0" w:line="20" w:lineRule="exact"/>
              <w:rPr>
                <w:sz w:val="1"/>
                <w:szCs w:val="1"/>
                <w:color w:val="auto"/>
              </w:rPr>
            </w:pPr>
          </w:p>
        </w:tc>
        <w:tc>
          <w:tcPr>
            <w:tcW w:w="114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c>
          <w:tcPr>
            <w:tcW w:w="112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20" w:hanging="192"/>
        <w:spacing w:after="0" w:line="226" w:lineRule="auto"/>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Annual ICP payouts determined 80% based on a calculation against 2023 ICP financial goals. The remaining 20% was based 15% on individual assessments and 5% on a group assessment against 2023 ESG goals.</w:t>
      </w:r>
    </w:p>
    <w:p>
      <w:pPr>
        <w:spacing w:after="0" w:line="40"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Grant date value of annual performance stock units (PSUs) issued under the Performance Plan for the three-year period of</w:t>
      </w:r>
    </w:p>
    <w:p>
      <w:pPr>
        <w:ind w:left="200"/>
        <w:spacing w:after="0"/>
        <w:rPr>
          <w:rFonts w:ascii="Arial" w:cs="Arial" w:eastAsia="Arial" w:hAnsi="Arial"/>
          <w:sz w:val="16"/>
          <w:szCs w:val="16"/>
          <w:color w:val="auto"/>
          <w:vertAlign w:val="superscript"/>
        </w:rPr>
      </w:pPr>
      <w:r>
        <w:rPr>
          <w:rFonts w:ascii="Arial" w:cs="Arial" w:eastAsia="Arial" w:hAnsi="Arial"/>
          <w:sz w:val="13"/>
          <w:szCs w:val="13"/>
          <w:color w:val="auto"/>
        </w:rPr>
        <w:t>January 1, 2023–December 31, 2025. Value for Mr. Currier includes 2023–2025 performance cash units awarded prior to him becoming an officer.</w:t>
      </w:r>
    </w:p>
    <w:p>
      <w:pPr>
        <w:spacing w:after="0" w:line="36"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Stock option grants awarded to NEOs vest ratably over four years, have a 10-year term, and are subject to stock ownership and post-exercise holding requirements.</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Restricted Stock Units vest over a four-year period and are subject to stock ownership and post-vesting holding requirements.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Effective January 1, 2024, Mr. Boldea transitioned to the role of President and CEO, Industrial Automation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728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23430" cy="728980"/>
                    </a:xfrm>
                    <a:prstGeom prst="rect">
                      <a:avLst/>
                    </a:prstGeom>
                    <a:noFill/>
                  </pic:spPr>
                </pic:pic>
              </a:graphicData>
            </a:graphic>
          </wp:anchor>
        </w:drawing>
      </w:r>
    </w:p>
    <w:p>
      <w:pPr>
        <w:spacing w:after="0" w:line="387" w:lineRule="exact"/>
        <w:rPr>
          <w:sz w:val="20"/>
          <w:szCs w:val="20"/>
          <w:color w:val="auto"/>
        </w:rPr>
      </w:pPr>
    </w:p>
    <w:tbl>
      <w:tblPr>
        <w:tblLayout w:type="fixed"/>
        <w:tblInd w:w="640" w:type="dxa"/>
        <w:tblCellMar>
          <w:top w:w="0" w:type="dxa"/>
          <w:left w:w="0" w:type="dxa"/>
          <w:bottom w:w="0" w:type="dxa"/>
          <w:right w:w="0" w:type="dxa"/>
        </w:tblCellMar>
      </w:tblPr>
      <w:tr>
        <w:trPr>
          <w:trHeight w:val="287"/>
        </w:trPr>
        <w:tc>
          <w:tcPr>
            <w:tcW w:w="1360" w:type="dxa"/>
            <w:vAlign w:val="bottom"/>
          </w:tcPr>
          <w:p>
            <w:pPr>
              <w:spacing w:after="0"/>
              <w:rPr>
                <w:sz w:val="20"/>
                <w:szCs w:val="20"/>
                <w:color w:val="auto"/>
              </w:rPr>
            </w:pPr>
            <w:r>
              <w:rPr>
                <w:rFonts w:ascii="Arial" w:cs="Arial" w:eastAsia="Arial" w:hAnsi="Arial"/>
                <w:sz w:val="17"/>
                <w:szCs w:val="17"/>
                <w:b w:val="1"/>
                <w:bCs w:val="1"/>
                <w:color w:val="FFFFFF"/>
              </w:rPr>
              <w:t>PROPOSAL</w:t>
            </w:r>
          </w:p>
        </w:tc>
        <w:tc>
          <w:tcPr>
            <w:tcW w:w="6620" w:type="dxa"/>
            <w:vAlign w:val="bottom"/>
          </w:tcPr>
          <w:p>
            <w:pPr>
              <w:ind w:left="380"/>
              <w:spacing w:after="0"/>
              <w:rPr>
                <w:sz w:val="20"/>
                <w:szCs w:val="20"/>
                <w:color w:val="auto"/>
              </w:rPr>
            </w:pPr>
            <w:r>
              <w:rPr>
                <w:rFonts w:ascii="Arial" w:cs="Arial" w:eastAsia="Arial" w:hAnsi="Arial"/>
                <w:sz w:val="25"/>
                <w:szCs w:val="25"/>
                <w:b w:val="1"/>
                <w:bCs w:val="1"/>
                <w:color w:val="auto"/>
              </w:rPr>
              <w:t>APPROVAL OF INDEPENDENT ACCOUNTANTS</w:t>
            </w:r>
          </w:p>
        </w:tc>
        <w:tc>
          <w:tcPr>
            <w:tcW w:w="1080" w:type="dxa"/>
            <w:vAlign w:val="bottom"/>
          </w:tcPr>
          <w:p>
            <w:pPr>
              <w:ind w:left="560"/>
              <w:spacing w:after="0"/>
              <w:rPr>
                <w:sz w:val="20"/>
                <w:szCs w:val="20"/>
                <w:color w:val="auto"/>
              </w:rPr>
            </w:pPr>
            <w:r>
              <w:rPr>
                <w:rFonts w:ascii="Arial" w:cs="Arial" w:eastAsia="Arial" w:hAnsi="Arial"/>
                <w:sz w:val="25"/>
                <w:szCs w:val="25"/>
                <w:b w:val="1"/>
                <w:bCs w:val="1"/>
                <w:color w:val="D7282F"/>
                <w:w w:val="94"/>
              </w:rPr>
              <w:t>FOR</w:t>
            </w:r>
          </w:p>
        </w:tc>
      </w:tr>
    </w:tbl>
    <w:p>
      <w:pPr>
        <w:ind w:left="960"/>
        <w:spacing w:after="0"/>
        <w:rPr>
          <w:sz w:val="20"/>
          <w:szCs w:val="20"/>
          <w:color w:val="auto"/>
        </w:rPr>
      </w:pPr>
      <w:r>
        <w:rPr>
          <w:rFonts w:ascii="Arial" w:cs="Arial" w:eastAsia="Arial" w:hAnsi="Arial"/>
          <w:sz w:val="58"/>
          <w:szCs w:val="58"/>
          <w:b w:val="1"/>
          <w:bCs w:val="1"/>
          <w:color w:val="FFFFFF"/>
        </w:rPr>
        <w:t>3</w:t>
      </w:r>
    </w:p>
    <w:p>
      <w:pPr>
        <w:spacing w:after="0" w:line="97" w:lineRule="exact"/>
        <w:rPr>
          <w:sz w:val="20"/>
          <w:szCs w:val="20"/>
          <w:color w:val="auto"/>
        </w:rPr>
      </w:pPr>
    </w:p>
    <w:p>
      <w:pPr>
        <w:ind w:left="360" w:right="500" w:hanging="204"/>
        <w:spacing w:after="0" w:line="304" w:lineRule="auto"/>
        <w:tabs>
          <w:tab w:leader="none" w:pos="357"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Approve Deloitte &amp; Touche LLP (Deloitte) as independent accountants for Honeywell to audit its consolidated financial statements for 2024 and to perform audit-related services.</w:t>
      </w:r>
    </w:p>
    <w:p>
      <w:pPr>
        <w:spacing w:after="0" w:line="6" w:lineRule="exact"/>
        <w:rPr>
          <w:rFonts w:ascii="Arial" w:cs="Arial" w:eastAsia="Arial" w:hAnsi="Arial"/>
          <w:sz w:val="16"/>
          <w:szCs w:val="16"/>
          <w:b w:val="1"/>
          <w:bCs w:val="1"/>
          <w:color w:val="D7282F"/>
        </w:rPr>
      </w:pPr>
    </w:p>
    <w:p>
      <w:pPr>
        <w:ind w:left="360" w:right="540" w:hanging="204"/>
        <w:spacing w:after="0" w:line="286" w:lineRule="auto"/>
        <w:tabs>
          <w:tab w:leader="none" w:pos="357" w:val="left"/>
        </w:tabs>
        <w:numPr>
          <w:ilvl w:val="0"/>
          <w:numId w:val="21"/>
        </w:numPr>
        <w:rPr>
          <w:rFonts w:ascii="Arial" w:cs="Arial" w:eastAsia="Arial" w:hAnsi="Arial"/>
          <w:sz w:val="16"/>
          <w:szCs w:val="16"/>
          <w:b w:val="1"/>
          <w:bCs w:val="1"/>
          <w:color w:val="D7282F"/>
        </w:rPr>
      </w:pPr>
      <w:r>
        <w:rPr>
          <w:rFonts w:ascii="Arial" w:cs="Arial" w:eastAsia="Arial" w:hAnsi="Arial"/>
          <w:sz w:val="16"/>
          <w:szCs w:val="16"/>
          <w:color w:val="auto"/>
        </w:rPr>
        <w:t>Honeywell's Board of Directors and its Audit Committee believe that the continued retention of Deloitte as the Company's independent registered public accounting firm is in the best interests of the Company and its shareowners.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3"/>
          <w:szCs w:val="13"/>
          <w:b w:val="1"/>
          <w:bCs w:val="1"/>
          <w:color w:val="6D6E71"/>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7123430" cy="728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34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40" w:type="dxa"/>
        <w:tblCellMar>
          <w:top w:w="0" w:type="dxa"/>
          <w:left w:w="0" w:type="dxa"/>
          <w:bottom w:w="0" w:type="dxa"/>
          <w:right w:w="0" w:type="dxa"/>
        </w:tblCellMar>
      </w:tblPr>
      <w:tr>
        <w:trPr>
          <w:trHeight w:val="287"/>
        </w:trPr>
        <w:tc>
          <w:tcPr>
            <w:tcW w:w="1360" w:type="dxa"/>
            <w:vAlign w:val="bottom"/>
          </w:tcPr>
          <w:p>
            <w:pPr>
              <w:spacing w:after="0"/>
              <w:rPr>
                <w:sz w:val="20"/>
                <w:szCs w:val="20"/>
                <w:color w:val="auto"/>
              </w:rPr>
            </w:pPr>
            <w:r>
              <w:rPr>
                <w:rFonts w:ascii="Arial" w:cs="Arial" w:eastAsia="Arial" w:hAnsi="Arial"/>
                <w:sz w:val="17"/>
                <w:szCs w:val="17"/>
                <w:b w:val="1"/>
                <w:bCs w:val="1"/>
                <w:color w:val="FFFFFF"/>
              </w:rPr>
              <w:t>PROPOSAL</w:t>
            </w:r>
          </w:p>
        </w:tc>
        <w:tc>
          <w:tcPr>
            <w:tcW w:w="6780" w:type="dxa"/>
            <w:vAlign w:val="bottom"/>
          </w:tcPr>
          <w:p>
            <w:pPr>
              <w:ind w:left="380"/>
              <w:spacing w:after="0"/>
              <w:rPr>
                <w:sz w:val="20"/>
                <w:szCs w:val="20"/>
                <w:color w:val="auto"/>
              </w:rPr>
            </w:pPr>
            <w:r>
              <w:rPr>
                <w:rFonts w:ascii="Arial" w:cs="Arial" w:eastAsia="Arial" w:hAnsi="Arial"/>
                <w:sz w:val="25"/>
                <w:szCs w:val="25"/>
                <w:b w:val="1"/>
                <w:bCs w:val="1"/>
                <w:color w:val="auto"/>
              </w:rPr>
              <w:t>SHAREOWNER PROPOSAL — Independent Board</w:t>
            </w:r>
          </w:p>
        </w:tc>
        <w:tc>
          <w:tcPr>
            <w:tcW w:w="1520" w:type="dxa"/>
            <w:vAlign w:val="bottom"/>
          </w:tcPr>
          <w:p>
            <w:pPr>
              <w:ind w:left="400"/>
              <w:spacing w:after="0"/>
              <w:rPr>
                <w:sz w:val="20"/>
                <w:szCs w:val="20"/>
                <w:color w:val="auto"/>
              </w:rPr>
            </w:pPr>
            <w:r>
              <w:rPr>
                <w:rFonts w:ascii="Arial" w:cs="Arial" w:eastAsia="Arial" w:hAnsi="Arial"/>
                <w:sz w:val="25"/>
                <w:szCs w:val="25"/>
                <w:b w:val="1"/>
                <w:bCs w:val="1"/>
                <w:color w:val="929292"/>
                <w:w w:val="97"/>
              </w:rPr>
              <w:t>AGAINST</w:t>
            </w:r>
          </w:p>
        </w:tc>
      </w:tr>
    </w:tbl>
    <w:p>
      <w:pPr>
        <w:ind w:left="2380" w:hanging="1418"/>
        <w:spacing w:after="0" w:line="182" w:lineRule="auto"/>
        <w:tabs>
          <w:tab w:leader="none" w:pos="2380" w:val="left"/>
        </w:tabs>
        <w:numPr>
          <w:ilvl w:val="0"/>
          <w:numId w:val="22"/>
        </w:numPr>
        <w:rPr>
          <w:rFonts w:ascii="Arial" w:cs="Arial" w:eastAsia="Arial" w:hAnsi="Arial"/>
          <w:sz w:val="41"/>
          <w:szCs w:val="41"/>
          <w:b w:val="1"/>
          <w:bCs w:val="1"/>
          <w:color w:val="FFFFFF"/>
        </w:rPr>
      </w:pPr>
      <w:r>
        <w:rPr>
          <w:rFonts w:ascii="Arial" w:cs="Arial" w:eastAsia="Arial" w:hAnsi="Arial"/>
          <w:sz w:val="21"/>
          <w:szCs w:val="21"/>
          <w:b w:val="1"/>
          <w:bCs w:val="1"/>
          <w:color w:val="auto"/>
        </w:rPr>
        <w:t>Chairman</w:t>
      </w:r>
    </w:p>
    <w:p>
      <w:pPr>
        <w:spacing w:after="0" w:line="200" w:lineRule="exact"/>
        <w:rPr>
          <w:sz w:val="20"/>
          <w:szCs w:val="20"/>
          <w:color w:val="auto"/>
        </w:rPr>
      </w:pPr>
    </w:p>
    <w:p>
      <w:pPr>
        <w:spacing w:after="0" w:line="206" w:lineRule="exact"/>
        <w:rPr>
          <w:sz w:val="20"/>
          <w:szCs w:val="20"/>
          <w:color w:val="auto"/>
        </w:rPr>
      </w:pPr>
    </w:p>
    <w:p>
      <w:pPr>
        <w:ind w:left="160" w:right="280"/>
        <w:spacing w:after="0" w:line="286" w:lineRule="auto"/>
        <w:rPr>
          <w:sz w:val="20"/>
          <w:szCs w:val="20"/>
          <w:color w:val="auto"/>
        </w:rPr>
      </w:pPr>
      <w:r>
        <w:rPr>
          <w:rFonts w:ascii="Arial" w:cs="Arial" w:eastAsia="Arial" w:hAnsi="Arial"/>
          <w:sz w:val="16"/>
          <w:szCs w:val="16"/>
          <w:color w:val="auto"/>
        </w:rPr>
        <w:t>Shareowner proposal requests that the Board adopt an enduring policy requiring that two separate people will hold the office of the Chairman of the Board and the office of the CEO and that whenever possible, the Chairman of the Board shall be an independent director.</w:t>
      </w:r>
    </w:p>
    <w:p>
      <w:pPr>
        <w:spacing w:after="0" w:line="61" w:lineRule="exact"/>
        <w:rPr>
          <w:sz w:val="20"/>
          <w:szCs w:val="20"/>
          <w:color w:val="auto"/>
        </w:rPr>
      </w:pPr>
    </w:p>
    <w:p>
      <w:pPr>
        <w:ind w:left="340" w:hanging="184"/>
        <w:spacing w:after="0"/>
        <w:tabs>
          <w:tab w:leader="none" w:pos="340"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Honeywell's Board recommends “</w:t>
      </w:r>
      <w:r>
        <w:rPr>
          <w:rFonts w:ascii="Arial" w:cs="Arial" w:eastAsia="Arial" w:hAnsi="Arial"/>
          <w:sz w:val="16"/>
          <w:szCs w:val="16"/>
          <w:b w:val="1"/>
          <w:bCs w:val="1"/>
          <w:color w:val="D7282F"/>
        </w:rPr>
        <w:t>AGAINST</w:t>
      </w:r>
      <w:r>
        <w:rPr>
          <w:rFonts w:ascii="Arial" w:cs="Arial" w:eastAsia="Arial" w:hAnsi="Arial"/>
          <w:sz w:val="16"/>
          <w:szCs w:val="16"/>
          <w:color w:val="auto"/>
        </w:rPr>
        <w:t>” this proposal.</w:t>
      </w:r>
    </w:p>
    <w:p>
      <w:pPr>
        <w:spacing w:after="0" w:line="86" w:lineRule="exact"/>
        <w:rPr>
          <w:rFonts w:ascii="Arial" w:cs="Arial" w:eastAsia="Arial" w:hAnsi="Arial"/>
          <w:sz w:val="16"/>
          <w:szCs w:val="16"/>
          <w:b w:val="1"/>
          <w:bCs w:val="1"/>
          <w:color w:val="D7282F"/>
        </w:rPr>
      </w:pPr>
    </w:p>
    <w:p>
      <w:pPr>
        <w:ind w:left="360" w:right="100" w:hanging="204"/>
        <w:spacing w:after="0" w:line="286" w:lineRule="auto"/>
        <w:tabs>
          <w:tab w:leader="none" w:pos="357"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It is important for the Board to have the flexibility to determine the most effective leadership structure using its best business judgment in light of the Company's circumstances at any given time.</w:t>
      </w:r>
    </w:p>
    <w:p>
      <w:pPr>
        <w:spacing w:after="0" w:line="20" w:lineRule="exact"/>
        <w:rPr>
          <w:rFonts w:ascii="Arial" w:cs="Arial" w:eastAsia="Arial" w:hAnsi="Arial"/>
          <w:sz w:val="16"/>
          <w:szCs w:val="16"/>
          <w:b w:val="1"/>
          <w:bCs w:val="1"/>
          <w:color w:val="D7282F"/>
        </w:rPr>
      </w:pPr>
    </w:p>
    <w:p>
      <w:pPr>
        <w:ind w:left="340" w:hanging="184"/>
        <w:spacing w:after="0"/>
        <w:tabs>
          <w:tab w:leader="none" w:pos="340"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A one-size-fits-all leadership structure is not in the best interests of the Company or its shareowners.</w:t>
      </w:r>
    </w:p>
    <w:p>
      <w:pPr>
        <w:spacing w:after="0" w:line="72" w:lineRule="exact"/>
        <w:rPr>
          <w:rFonts w:ascii="Arial" w:cs="Arial" w:eastAsia="Arial" w:hAnsi="Arial"/>
          <w:sz w:val="16"/>
          <w:szCs w:val="16"/>
          <w:b w:val="1"/>
          <w:bCs w:val="1"/>
          <w:color w:val="D7282F"/>
        </w:rPr>
      </w:pPr>
    </w:p>
    <w:p>
      <w:pPr>
        <w:ind w:left="340" w:hanging="184"/>
        <w:spacing w:after="0"/>
        <w:tabs>
          <w:tab w:leader="none" w:pos="340"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An independent Lead Director will be maintained whenever the Chairman is not an independent director.</w:t>
      </w:r>
    </w:p>
    <w:p>
      <w:pPr>
        <w:spacing w:after="0" w:line="86" w:lineRule="exact"/>
        <w:rPr>
          <w:rFonts w:ascii="Arial" w:cs="Arial" w:eastAsia="Arial" w:hAnsi="Arial"/>
          <w:sz w:val="16"/>
          <w:szCs w:val="16"/>
          <w:b w:val="1"/>
          <w:bCs w:val="1"/>
          <w:color w:val="D7282F"/>
        </w:rPr>
      </w:pPr>
    </w:p>
    <w:p>
      <w:pPr>
        <w:ind w:left="360" w:hanging="204"/>
        <w:spacing w:after="0" w:line="286" w:lineRule="auto"/>
        <w:tabs>
          <w:tab w:leader="none" w:pos="357"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The roles, responsibilities, and authorities of the Company's independent Lead Director are equivalent to that of an independent Chairman, providing for an effective counterweight when the Chairman is not an independent director.</w:t>
      </w:r>
    </w:p>
    <w:p>
      <w:pPr>
        <w:spacing w:after="0" w:line="20" w:lineRule="exact"/>
        <w:rPr>
          <w:rFonts w:ascii="Arial" w:cs="Arial" w:eastAsia="Arial" w:hAnsi="Arial"/>
          <w:sz w:val="16"/>
          <w:szCs w:val="16"/>
          <w:b w:val="1"/>
          <w:bCs w:val="1"/>
          <w:color w:val="D7282F"/>
        </w:rPr>
      </w:pPr>
    </w:p>
    <w:p>
      <w:pPr>
        <w:ind w:left="360" w:right="160" w:hanging="204"/>
        <w:spacing w:after="0" w:line="299" w:lineRule="auto"/>
        <w:tabs>
          <w:tab w:leader="none" w:pos="357"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In 2024, the Board augmented the independent Lead Director role to include the right to approve all Board meeting agendas (in addition to already existing rights to unilaterally call a Board meeting and make agenda changes).</w:t>
      </w:r>
    </w:p>
    <w:p>
      <w:pPr>
        <w:ind w:left="360" w:hanging="204"/>
        <w:spacing w:after="0" w:line="299" w:lineRule="auto"/>
        <w:tabs>
          <w:tab w:leader="none" w:pos="357"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The Board understands the importance of Lead Director independence and has elected William S. Ayer, who has nine years of service on the Board, to serve as Lead Director, effective as of the Annual Meeting.</w:t>
      </w:r>
    </w:p>
    <w:p>
      <w:pPr>
        <w:ind w:left="360" w:right="360" w:hanging="204"/>
        <w:spacing w:after="0" w:line="304" w:lineRule="auto"/>
        <w:tabs>
          <w:tab w:leader="none" w:pos="357" w:val="left"/>
        </w:tabs>
        <w:numPr>
          <w:ilvl w:val="0"/>
          <w:numId w:val="23"/>
        </w:numPr>
        <w:rPr>
          <w:rFonts w:ascii="Arial" w:cs="Arial" w:eastAsia="Arial" w:hAnsi="Arial"/>
          <w:sz w:val="16"/>
          <w:szCs w:val="16"/>
          <w:b w:val="1"/>
          <w:bCs w:val="1"/>
          <w:color w:val="D7282F"/>
        </w:rPr>
      </w:pPr>
      <w:r>
        <w:rPr>
          <w:rFonts w:ascii="Arial" w:cs="Arial" w:eastAsia="Arial" w:hAnsi="Arial"/>
          <w:sz w:val="16"/>
          <w:szCs w:val="16"/>
          <w:color w:val="auto"/>
        </w:rPr>
        <w:t>The Company sought shareowner feedback on this topic as part of its fall shareowner engagement program. In those discussions, shareowners representing over 65% of the shares held by the firms we spoke with indicated that they would not support an independent chair proposal.</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sz w:val="1"/>
          <w:szCs w:val="1"/>
          <w:color w:val="auto"/>
        </w:rPr>
        <w:drawing>
          <wp:inline distT="0" distB="0" distL="0" distR="0">
            <wp:extent cx="548640" cy="10287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bookmarkStart w:id="20" w:name="page21"/>
    <w:bookmarkEnd w:id="20"/>
    <w:p>
      <w:pPr>
        <w:spacing w:after="0"/>
        <w:rPr>
          <w:sz w:val="20"/>
          <w:szCs w:val="20"/>
          <w:color w:val="auto"/>
        </w:rPr>
      </w:pPr>
      <w:r>
        <w:rPr>
          <w:rFonts w:ascii="Arial" w:cs="Arial" w:eastAsia="Arial" w:hAnsi="Arial"/>
          <w:sz w:val="45"/>
          <w:szCs w:val="45"/>
          <w:b w:val="1"/>
          <w:bCs w:val="1"/>
          <w:color w:val="auto"/>
        </w:rPr>
        <w:t>PROPOSAL 1:</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ELECTION OF DIRECTORS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Honeywell’s Corporate Governance Guidelines set forth a clear vision statement for the composition of the Board:</w:t>
      </w:r>
    </w:p>
    <w:p>
      <w:pPr>
        <w:spacing w:after="0" w:line="127" w:lineRule="exact"/>
        <w:rPr>
          <w:sz w:val="20"/>
          <w:szCs w:val="20"/>
          <w:color w:val="auto"/>
        </w:rPr>
      </w:pPr>
    </w:p>
    <w:p>
      <w:pPr>
        <w:ind w:left="140" w:right="320"/>
        <w:spacing w:after="0" w:line="265" w:lineRule="auto"/>
        <w:rPr>
          <w:sz w:val="20"/>
          <w:szCs w:val="20"/>
          <w:color w:val="auto"/>
        </w:rPr>
      </w:pPr>
      <w:r>
        <w:rPr>
          <w:rFonts w:ascii="Arial" w:cs="Arial" w:eastAsia="Arial" w:hAnsi="Arial"/>
          <w:sz w:val="16"/>
          <w:szCs w:val="16"/>
          <w:color w:val="auto"/>
        </w:rPr>
        <w:t>“The composition of Honeywell’s Board, as well as the perspective and skills of its individual members, needs to effectively support Honeywell’s growth and commercial strategy. Collectively, the Board must also be capable of overseeing risk management, capital allocation, and leadership succession. Board composition and the members’ perspective and skills should evolve at an appropriate pace to meet the challenges of Honeywell’s changing commercial and strategic goals.”</w:t>
      </w:r>
    </w:p>
    <w:p>
      <w:pPr>
        <w:spacing w:after="0" w:line="65"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Consistent with this vision, the Corporate Governance and Responsibility Committee (CGRC) has responsibility for identifying a slate of director nominees who collectively have the complementary experience, qualifications, skills, and attributes to guide the Company and function effectively as a Board.</w:t>
      </w:r>
    </w:p>
    <w:p>
      <w:pPr>
        <w:spacing w:after="0" w:line="33"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CGRC believes that each of the nominees presented in this proxy has key personal attributes that are important to an effective Board: integrity, candor, analytical skills, willingness to engage management and each other in a constructive and collaborative fashion, and ability and commitment to devote significant time and energy to service on the Board and its committees. The CGRC also considered specific experiences, qualifications, and skills that Honeywell believes are critical in light of its strategic priorities, business objectives, operations, and structure.</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Honeywell’s directors are elected at each Annual Meeting of Shareowners and hold office for one-year terms until the next Annual Meeting of Shareowners and until their successors have been duly elected and qualified. Honeywell’s By-laws provide that in any uncontested election of directors (an election in which the number of nominees does not exceed the number of directors to be elected), any nominee who receives a greater number of votes cast “FOR” his or her election than votes cast “AGAINST” his or her election (excluding abstentions) will be elected to the Board of Directors. The By-laws also provide that any incumbent nominee who does not receive a majority of votes cast in an uncontested election is expected to promptly tender his or her resignation to the Chairman of the Board following the certification of the shareowner vote. This resignation will be promptly considered through a process managed by the CGRC, excluding any director nominees who did not receive a majority of votes cast to elect him or her to the Board.</w:t>
      </w:r>
    </w:p>
    <w:p>
      <w:pPr>
        <w:spacing w:after="0" w:line="68"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Board has nominated 12 candidates for election as directors. If any nominee should become unavailable to serve prior to the Annual Meeting, the shares represented by a properly signed and returned proxy card or voted by telephone, via the Internet, or by scanning the QR code will be voted for the election of such other person as may be designated by the Board. The Board may also determine to leave the vacancy temporarily unfilled or reduce the authorized number of directors in accordance with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158750</wp:posOffset>
            </wp:positionV>
            <wp:extent cx="34290" cy="419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19735"/>
                    </a:xfrm>
                    <a:prstGeom prst="rect">
                      <a:avLst/>
                    </a:prstGeom>
                    <a:noFill/>
                  </pic:spPr>
                </pic:pic>
              </a:graphicData>
            </a:graphic>
          </wp:anchor>
        </w:drawing>
      </w:r>
    </w:p>
    <w:p>
      <w:pPr>
        <w:spacing w:after="0" w:line="232" w:lineRule="exact"/>
        <w:rPr>
          <w:sz w:val="20"/>
          <w:szCs w:val="20"/>
          <w:color w:val="auto"/>
        </w:rPr>
      </w:pPr>
    </w:p>
    <w:p>
      <w:pPr>
        <w:ind w:left="160" w:right="24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THE ELECTION OF EACH NOMINEE.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0"/>
          <w:szCs w:val="30"/>
          <w:b w:val="1"/>
          <w:bCs w:val="1"/>
          <w:color w:val="D7282F"/>
        </w:rPr>
        <w:t>DIRECTOR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405765</wp:posOffset>
            </wp:positionV>
            <wp:extent cx="342900" cy="37890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0" cy="37890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-327025</wp:posOffset>
            </wp:positionV>
            <wp:extent cx="17145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b w:val="1"/>
          <w:bCs w:val="1"/>
          <w:color w:val="auto"/>
        </w:rPr>
        <w:t>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Growing sales outside of the United States, particularly in what we consider high-growth regions (HGRs), is a central part of our long-term strategy for growth. Hence, exposure to markets and economies outside of the United States is an important qualification for our directors. This exposure can take many forms, including government affairs, regulatory, managerial,</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or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92075</wp:posOffset>
            </wp:positionV>
            <wp:extent cx="65493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2380" w:space="720"/>
            <w:col w:w="8140"/>
          </w:cols>
          <w:pgMar w:left="320" w:top="230" w:right="339" w:bottom="1440" w:gutter="0" w:footer="0" w:header="0"/>
          <w:type w:val="continuous"/>
        </w:sectPr>
      </w:pP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8600" w:type="dxa"/>
            <w:vAlign w:val="bottom"/>
          </w:tcPr>
          <w:p>
            <w:pPr>
              <w:ind w:left="460"/>
              <w:spacing w:after="0"/>
              <w:rPr>
                <w:sz w:val="20"/>
                <w:szCs w:val="20"/>
                <w:color w:val="auto"/>
              </w:rPr>
            </w:pPr>
            <w:r>
              <w:rPr>
                <w:rFonts w:ascii="Arial" w:cs="Arial" w:eastAsia="Arial" w:hAnsi="Arial"/>
                <w:sz w:val="14"/>
                <w:szCs w:val="14"/>
                <w:color w:val="auto"/>
              </w:rPr>
              <w:t>Honeywell is subject to a broad array of government regulations, and demand for our products and services can be impacted</w:t>
            </w:r>
          </w:p>
        </w:tc>
      </w:tr>
      <w:tr>
        <w:trPr>
          <w:trHeight w:val="162"/>
        </w:trPr>
        <w:tc>
          <w:tcPr>
            <w:tcW w:w="1720" w:type="dxa"/>
            <w:vAlign w:val="bottom"/>
          </w:tcPr>
          <w:p>
            <w:pPr>
              <w:spacing w:after="0"/>
              <w:rPr>
                <w:sz w:val="14"/>
                <w:szCs w:val="14"/>
                <w:color w:val="auto"/>
              </w:rPr>
            </w:pPr>
          </w:p>
        </w:tc>
        <w:tc>
          <w:tcPr>
            <w:tcW w:w="8600" w:type="dxa"/>
            <w:vAlign w:val="bottom"/>
          </w:tcPr>
          <w:p>
            <w:pPr>
              <w:ind w:left="460"/>
              <w:spacing w:after="0"/>
              <w:rPr>
                <w:sz w:val="20"/>
                <w:szCs w:val="20"/>
                <w:color w:val="auto"/>
              </w:rPr>
            </w:pPr>
            <w:r>
              <w:rPr>
                <w:rFonts w:ascii="Arial" w:cs="Arial" w:eastAsia="Arial" w:hAnsi="Arial"/>
                <w:sz w:val="14"/>
                <w:szCs w:val="14"/>
                <w:color w:val="auto"/>
              </w:rPr>
              <w:t>by changes in law or regulation in areas such as aviation safety, security, and energy efficiency. It is important to have directors</w:t>
            </w: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REGULATED</w:t>
            </w:r>
          </w:p>
        </w:tc>
        <w:tc>
          <w:tcPr>
            <w:tcW w:w="8600" w:type="dxa"/>
            <w:vAlign w:val="bottom"/>
          </w:tcPr>
          <w:p>
            <w:pPr>
              <w:ind w:left="460"/>
              <w:spacing w:after="0"/>
              <w:rPr>
                <w:sz w:val="20"/>
                <w:szCs w:val="20"/>
                <w:color w:val="auto"/>
              </w:rPr>
            </w:pPr>
            <w:r>
              <w:rPr>
                <w:rFonts w:ascii="Arial" w:cs="Arial" w:eastAsia="Arial" w:hAnsi="Arial"/>
                <w:sz w:val="14"/>
                <w:szCs w:val="14"/>
                <w:color w:val="auto"/>
              </w:rPr>
              <w:t>with experience in government and regulated industries that provide them with insight and perspective in working constructively</w:t>
            </w:r>
          </w:p>
        </w:tc>
      </w:tr>
      <w:tr>
        <w:trPr>
          <w:trHeight w:val="19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INDUSTRIES/</w:t>
            </w:r>
          </w:p>
        </w:tc>
        <w:tc>
          <w:tcPr>
            <w:tcW w:w="8600" w:type="dxa"/>
            <w:vAlign w:val="bottom"/>
          </w:tcPr>
          <w:p>
            <w:pPr>
              <w:ind w:left="460"/>
              <w:spacing w:after="0"/>
              <w:rPr>
                <w:sz w:val="20"/>
                <w:szCs w:val="20"/>
                <w:color w:val="auto"/>
              </w:rPr>
            </w:pPr>
            <w:r>
              <w:rPr>
                <w:rFonts w:ascii="Arial" w:cs="Arial" w:eastAsia="Arial" w:hAnsi="Arial"/>
                <w:sz w:val="14"/>
                <w:szCs w:val="14"/>
                <w:color w:val="auto"/>
              </w:rPr>
              <w:t>and proactively with governments and agencies globally.</w:t>
            </w:r>
          </w:p>
        </w:tc>
      </w:tr>
      <w:tr>
        <w:trPr>
          <w:trHeight w:val="175"/>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GOVERNMENT</w:t>
            </w:r>
          </w:p>
        </w:tc>
        <w:tc>
          <w:tcPr>
            <w:tcW w:w="8600" w:type="dxa"/>
            <w:vAlign w:val="bottom"/>
          </w:tcPr>
          <w:p>
            <w:pPr>
              <w:spacing w:after="0"/>
              <w:rPr>
                <w:sz w:val="15"/>
                <w:szCs w:val="15"/>
                <w:color w:val="auto"/>
              </w:rPr>
            </w:pPr>
          </w:p>
        </w:tc>
      </w:tr>
      <w:tr>
        <w:trPr>
          <w:trHeight w:val="196"/>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EXPERIENCE</w:t>
            </w:r>
          </w:p>
        </w:tc>
        <w:tc>
          <w:tcPr>
            <w:tcW w:w="8600" w:type="dxa"/>
            <w:vAlign w:val="bottom"/>
          </w:tcPr>
          <w:p>
            <w:pPr>
              <w:spacing w:after="0"/>
              <w:rPr>
                <w:sz w:val="17"/>
                <w:szCs w:val="17"/>
                <w:color w:val="auto"/>
              </w:rPr>
            </w:pPr>
          </w:p>
        </w:tc>
      </w:tr>
      <w:tr>
        <w:trPr>
          <w:trHeight w:val="70"/>
        </w:trPr>
        <w:tc>
          <w:tcPr>
            <w:tcW w:w="1720" w:type="dxa"/>
            <w:vAlign w:val="bottom"/>
            <w:tcBorders>
              <w:bottom w:val="single" w:sz="8" w:color="D7282F"/>
            </w:tcBorders>
          </w:tcPr>
          <w:p>
            <w:pPr>
              <w:spacing w:after="0"/>
              <w:rPr>
                <w:sz w:val="6"/>
                <w:szCs w:val="6"/>
                <w:color w:val="auto"/>
              </w:rPr>
            </w:pPr>
          </w:p>
        </w:tc>
        <w:tc>
          <w:tcPr>
            <w:tcW w:w="8600" w:type="dxa"/>
            <w:vAlign w:val="bottom"/>
            <w:tcBorders>
              <w:bottom w:val="single" w:sz="8" w:color="D7282F"/>
            </w:tcBorders>
          </w:tcPr>
          <w:p>
            <w:pPr>
              <w:spacing w:after="0"/>
              <w:rPr>
                <w:sz w:val="6"/>
                <w:szCs w:val="6"/>
                <w:color w:val="auto"/>
              </w:rPr>
            </w:pPr>
          </w:p>
        </w:tc>
      </w:tr>
      <w:tr>
        <w:trPr>
          <w:trHeight w:val="268"/>
        </w:trPr>
        <w:tc>
          <w:tcPr>
            <w:tcW w:w="1720" w:type="dxa"/>
            <w:vAlign w:val="bottom"/>
          </w:tcPr>
          <w:p>
            <w:pPr>
              <w:spacing w:after="0"/>
              <w:rPr>
                <w:sz w:val="23"/>
                <w:szCs w:val="23"/>
                <w:color w:val="auto"/>
              </w:rPr>
            </w:pPr>
          </w:p>
        </w:tc>
        <w:tc>
          <w:tcPr>
            <w:tcW w:w="8600" w:type="dxa"/>
            <w:vAlign w:val="bottom"/>
          </w:tcPr>
          <w:p>
            <w:pPr>
              <w:ind w:left="460"/>
              <w:spacing w:after="0"/>
              <w:rPr>
                <w:sz w:val="20"/>
                <w:szCs w:val="20"/>
                <w:color w:val="auto"/>
              </w:rPr>
            </w:pPr>
            <w:r>
              <w:rPr>
                <w:rFonts w:ascii="Arial" w:cs="Arial" w:eastAsia="Arial" w:hAnsi="Arial"/>
                <w:sz w:val="14"/>
                <w:szCs w:val="14"/>
                <w:color w:val="auto"/>
              </w:rPr>
              <w:t>With Honeywell’s transformation to a software-industrial company in the digital age, expertise in combining software</w:t>
            </w:r>
          </w:p>
        </w:tc>
      </w:tr>
      <w:tr>
        <w:trPr>
          <w:trHeight w:val="162"/>
        </w:trPr>
        <w:tc>
          <w:tcPr>
            <w:tcW w:w="1720" w:type="dxa"/>
            <w:vAlign w:val="bottom"/>
          </w:tcPr>
          <w:p>
            <w:pPr>
              <w:spacing w:after="0"/>
              <w:rPr>
                <w:sz w:val="14"/>
                <w:szCs w:val="14"/>
                <w:color w:val="auto"/>
              </w:rPr>
            </w:pPr>
          </w:p>
        </w:tc>
        <w:tc>
          <w:tcPr>
            <w:tcW w:w="8600" w:type="dxa"/>
            <w:vAlign w:val="bottom"/>
          </w:tcPr>
          <w:p>
            <w:pPr>
              <w:ind w:left="460"/>
              <w:spacing w:after="0"/>
              <w:rPr>
                <w:sz w:val="20"/>
                <w:szCs w:val="20"/>
                <w:color w:val="auto"/>
              </w:rPr>
            </w:pPr>
            <w:r>
              <w:rPr>
                <w:rFonts w:ascii="Arial" w:cs="Arial" w:eastAsia="Arial" w:hAnsi="Arial"/>
                <w:sz w:val="14"/>
                <w:szCs w:val="14"/>
                <w:color w:val="auto"/>
              </w:rPr>
              <w:t>programming capabilities with leading-edge physical products and domain knowledge is critical to opening and securing new</w:t>
            </w:r>
          </w:p>
        </w:tc>
      </w:tr>
      <w:tr>
        <w:trPr>
          <w:trHeight w:val="189"/>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INNOVATION AND</w:t>
            </w:r>
          </w:p>
        </w:tc>
        <w:tc>
          <w:tcPr>
            <w:tcW w:w="8600" w:type="dxa"/>
            <w:vAlign w:val="bottom"/>
          </w:tcPr>
          <w:p>
            <w:pPr>
              <w:ind w:left="460"/>
              <w:spacing w:after="0"/>
              <w:rPr>
                <w:sz w:val="20"/>
                <w:szCs w:val="20"/>
                <w:color w:val="auto"/>
              </w:rPr>
            </w:pPr>
            <w:r>
              <w:rPr>
                <w:rFonts w:ascii="Arial" w:cs="Arial" w:eastAsia="Arial" w:hAnsi="Arial"/>
                <w:sz w:val="14"/>
                <w:szCs w:val="14"/>
                <w:color w:val="auto"/>
              </w:rPr>
              <w:t>growth paths for all of our businesses.</w:t>
            </w:r>
          </w:p>
        </w:tc>
      </w:tr>
      <w:tr>
        <w:trPr>
          <w:trHeight w:val="196"/>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TECHNOLOGY</w:t>
            </w:r>
          </w:p>
        </w:tc>
        <w:tc>
          <w:tcPr>
            <w:tcW w:w="8600" w:type="dxa"/>
            <w:vAlign w:val="bottom"/>
          </w:tcPr>
          <w:p>
            <w:pPr>
              <w:spacing w:after="0"/>
              <w:rPr>
                <w:sz w:val="17"/>
                <w:szCs w:val="17"/>
                <w:color w:val="auto"/>
              </w:rPr>
            </w:pPr>
          </w:p>
        </w:tc>
      </w:tr>
      <w:tr>
        <w:trPr>
          <w:trHeight w:val="110"/>
        </w:trPr>
        <w:tc>
          <w:tcPr>
            <w:tcW w:w="1720" w:type="dxa"/>
            <w:vAlign w:val="bottom"/>
            <w:tcBorders>
              <w:bottom w:val="single" w:sz="8" w:color="D7282F"/>
            </w:tcBorders>
          </w:tcPr>
          <w:p>
            <w:pPr>
              <w:spacing w:after="0"/>
              <w:rPr>
                <w:sz w:val="9"/>
                <w:szCs w:val="9"/>
                <w:color w:val="auto"/>
              </w:rPr>
            </w:pPr>
          </w:p>
        </w:tc>
        <w:tc>
          <w:tcPr>
            <w:tcW w:w="8600" w:type="dxa"/>
            <w:vAlign w:val="bottom"/>
            <w:tcBorders>
              <w:bottom w:val="single" w:sz="8" w:color="D7282F"/>
            </w:tcBorders>
          </w:tcPr>
          <w:p>
            <w:pPr>
              <w:spacing w:after="0"/>
              <w:rPr>
                <w:sz w:val="9"/>
                <w:szCs w:val="9"/>
                <w:color w:val="auto"/>
              </w:rPr>
            </w:pPr>
          </w:p>
        </w:tc>
      </w:tr>
      <w:tr>
        <w:trPr>
          <w:trHeight w:val="268"/>
        </w:trPr>
        <w:tc>
          <w:tcPr>
            <w:tcW w:w="1720" w:type="dxa"/>
            <w:vAlign w:val="bottom"/>
          </w:tcPr>
          <w:p>
            <w:pPr>
              <w:spacing w:after="0"/>
              <w:rPr>
                <w:sz w:val="23"/>
                <w:szCs w:val="23"/>
                <w:color w:val="auto"/>
              </w:rPr>
            </w:pPr>
          </w:p>
        </w:tc>
        <w:tc>
          <w:tcPr>
            <w:tcW w:w="8600" w:type="dxa"/>
            <w:vAlign w:val="bottom"/>
          </w:tcPr>
          <w:p>
            <w:pPr>
              <w:ind w:left="460"/>
              <w:spacing w:after="0"/>
              <w:rPr>
                <w:sz w:val="20"/>
                <w:szCs w:val="20"/>
                <w:color w:val="auto"/>
              </w:rPr>
            </w:pPr>
            <w:r>
              <w:rPr>
                <w:rFonts w:ascii="Arial" w:cs="Arial" w:eastAsia="Arial" w:hAnsi="Arial"/>
                <w:sz w:val="14"/>
                <w:szCs w:val="14"/>
                <w:color w:val="auto"/>
              </w:rPr>
              <w:t>Developing new markets for products and services is critical for driving growth. Honeywell directors who have that expertise</w:t>
            </w:r>
          </w:p>
        </w:tc>
      </w:tr>
      <w:tr>
        <w:trPr>
          <w:trHeight w:val="190"/>
        </w:trPr>
        <w:tc>
          <w:tcPr>
            <w:tcW w:w="1720" w:type="dxa"/>
            <w:vAlign w:val="bottom"/>
          </w:tcPr>
          <w:p>
            <w:pPr>
              <w:spacing w:after="0"/>
              <w:rPr>
                <w:sz w:val="16"/>
                <w:szCs w:val="16"/>
                <w:color w:val="auto"/>
              </w:rPr>
            </w:pPr>
          </w:p>
        </w:tc>
        <w:tc>
          <w:tcPr>
            <w:tcW w:w="8600" w:type="dxa"/>
            <w:vAlign w:val="bottom"/>
          </w:tcPr>
          <w:p>
            <w:pPr>
              <w:ind w:left="460"/>
              <w:spacing w:after="0"/>
              <w:rPr>
                <w:sz w:val="20"/>
                <w:szCs w:val="20"/>
                <w:color w:val="auto"/>
              </w:rPr>
            </w:pPr>
            <w:r>
              <w:rPr>
                <w:rFonts w:ascii="Arial" w:cs="Arial" w:eastAsia="Arial" w:hAnsi="Arial"/>
                <w:sz w:val="14"/>
                <w:szCs w:val="14"/>
                <w:color w:val="auto"/>
              </w:rPr>
              <w:t>provide a much-desired perspective on how to better market and brand our products and services.</w:t>
            </w:r>
          </w:p>
        </w:tc>
      </w:tr>
      <w:tr>
        <w:trPr>
          <w:trHeight w:val="20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MARKETING</w:t>
            </w:r>
          </w:p>
        </w:tc>
        <w:tc>
          <w:tcPr>
            <w:tcW w:w="86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61595</wp:posOffset>
            </wp:positionV>
            <wp:extent cx="65493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-1764030</wp:posOffset>
            </wp:positionV>
            <wp:extent cx="171450" cy="1797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0"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-358140</wp:posOffset>
            </wp:positionV>
            <wp:extent cx="197485" cy="1797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7485" cy="17970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-327025</wp:posOffset>
            </wp:positionV>
            <wp:extent cx="17145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b w:val="1"/>
          <w:bCs w:val="1"/>
          <w:color w:val="auto"/>
        </w:rPr>
        <w:t>END MARKETS, AND</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GROWTH AREAS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00"/>
        <w:spacing w:after="0" w:line="269" w:lineRule="auto"/>
        <w:rPr>
          <w:sz w:val="20"/>
          <w:szCs w:val="20"/>
          <w:color w:val="auto"/>
        </w:rPr>
      </w:pPr>
      <w:r>
        <w:rPr>
          <w:rFonts w:ascii="Arial" w:cs="Arial" w:eastAsia="Arial" w:hAnsi="Arial"/>
          <w:sz w:val="14"/>
          <w:szCs w:val="14"/>
          <w:color w:val="auto"/>
        </w:rPr>
        <w:t>Experience in industries, end markets, and growth areas that Honeywell serves enables a better understanding of the issues facing these businesses. These areas include our Commercial Aerospace, Industrial Productivity, Non-Residential, Oil and Gas/Petrochemical, Defense and Space, and Specialty Chemicals end markets as well as growth areas such as life sciences and sustainable technology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181610</wp:posOffset>
            </wp:positionV>
            <wp:extent cx="65493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2380" w:space="720"/>
            <w:col w:w="8140"/>
          </w:cols>
          <w:pgMar w:left="320" w:top="230" w:right="339" w:bottom="1440" w:gutter="0" w:footer="0" w:header="0"/>
          <w:type w:val="continuous"/>
        </w:sectPr>
      </w:pPr>
    </w:p>
    <w:p>
      <w:pPr>
        <w:spacing w:after="0" w:line="44"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Experience in environmental, social, and governance (ESG) matters enables management of ESG risks and opportunities as</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strategic business imperatives. With ESG at the forefront of Honeywell’s long-term strategy, it is important to have directors with</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ESG</w:t>
            </w:r>
          </w:p>
        </w:tc>
        <w:tc>
          <w:tcPr>
            <w:tcW w:w="8480" w:type="dxa"/>
            <w:vAlign w:val="bottom"/>
          </w:tcPr>
          <w:p>
            <w:pPr>
              <w:ind w:left="340"/>
              <w:spacing w:after="0"/>
              <w:rPr>
                <w:sz w:val="20"/>
                <w:szCs w:val="20"/>
                <w:color w:val="auto"/>
              </w:rPr>
            </w:pPr>
            <w:r>
              <w:rPr>
                <w:rFonts w:ascii="Arial" w:cs="Arial" w:eastAsia="Arial" w:hAnsi="Arial"/>
                <w:sz w:val="14"/>
                <w:szCs w:val="14"/>
                <w:color w:val="auto"/>
              </w:rPr>
              <w:t>expertise in products and solutions that support more sustainable outcomes, climate change drivers and impacts, corporate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social responsibility, human capital management, inclusion and diversity, and corporate ethics.</w:t>
            </w:r>
          </w:p>
        </w:tc>
        <w:tc>
          <w:tcPr>
            <w:tcW w:w="0" w:type="dxa"/>
            <w:vAlign w:val="bottom"/>
          </w:tcPr>
          <w:p>
            <w:pPr>
              <w:spacing w:after="0"/>
              <w:rPr>
                <w:sz w:val="1"/>
                <w:szCs w:val="1"/>
                <w:color w:val="auto"/>
              </w:rPr>
            </w:pPr>
          </w:p>
        </w:tc>
      </w:tr>
      <w:tr>
        <w:trPr>
          <w:trHeight w:val="278"/>
        </w:trPr>
        <w:tc>
          <w:tcPr>
            <w:tcW w:w="1840" w:type="dxa"/>
            <w:vAlign w:val="bottom"/>
            <w:tcBorders>
              <w:bottom w:val="single" w:sz="8" w:color="D7282F"/>
            </w:tcBorders>
          </w:tcPr>
          <w:p>
            <w:pPr>
              <w:spacing w:after="0"/>
              <w:rPr>
                <w:sz w:val="24"/>
                <w:szCs w:val="24"/>
                <w:color w:val="auto"/>
              </w:rPr>
            </w:pPr>
          </w:p>
        </w:tc>
        <w:tc>
          <w:tcPr>
            <w:tcW w:w="84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Experience serving as CEO or a senior executive as well as hands-on leadership experience in core management areas —</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such as strategic and operational planning, financial reporting, compliance, risk management, and leadership development —</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Arial" w:cs="Arial" w:eastAsia="Arial" w:hAnsi="Arial"/>
                <w:sz w:val="14"/>
                <w:szCs w:val="14"/>
                <w:b w:val="1"/>
                <w:bCs w:val="1"/>
                <w:color w:val="D7282F"/>
              </w:rPr>
              <w:t>SENIOR</w:t>
            </w:r>
          </w:p>
        </w:tc>
        <w:tc>
          <w:tcPr>
            <w:tcW w:w="8480" w:type="dxa"/>
            <w:vAlign w:val="bottom"/>
          </w:tcPr>
          <w:p>
            <w:pPr>
              <w:ind w:left="340"/>
              <w:spacing w:after="0"/>
              <w:rPr>
                <w:sz w:val="20"/>
                <w:szCs w:val="20"/>
                <w:color w:val="auto"/>
              </w:rPr>
            </w:pPr>
            <w:r>
              <w:rPr>
                <w:rFonts w:ascii="Arial" w:cs="Arial" w:eastAsia="Arial" w:hAnsi="Arial"/>
                <w:sz w:val="14"/>
                <w:szCs w:val="14"/>
                <w:color w:val="auto"/>
              </w:rPr>
              <w:t>provide a practical understanding of complex organizations like Honeywell.</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rPr>
                <w:sz w:val="20"/>
                <w:szCs w:val="20"/>
                <w:color w:val="auto"/>
              </w:rPr>
            </w:pPr>
            <w:r>
              <w:rPr>
                <w:rFonts w:ascii="Arial" w:cs="Arial" w:eastAsia="Arial" w:hAnsi="Arial"/>
                <w:sz w:val="14"/>
                <w:szCs w:val="14"/>
                <w:b w:val="1"/>
                <w:bCs w:val="1"/>
                <w:color w:val="D7282F"/>
              </w:rPr>
              <w:t>LEADERSHIP</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Arial" w:cs="Arial" w:eastAsia="Arial" w:hAnsi="Arial"/>
                <w:sz w:val="14"/>
                <w:szCs w:val="14"/>
                <w:b w:val="1"/>
                <w:bCs w:val="1"/>
                <w:color w:val="D7282F"/>
              </w:rPr>
              <w:t>EXPERIENCE</w:t>
            </w: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840" w:type="dxa"/>
            <w:vAlign w:val="bottom"/>
            <w:tcBorders>
              <w:bottom w:val="single" w:sz="8" w:color="D7282F"/>
            </w:tcBorders>
          </w:tcPr>
          <w:p>
            <w:pPr>
              <w:spacing w:after="0"/>
              <w:rPr>
                <w:sz w:val="9"/>
                <w:szCs w:val="9"/>
                <w:color w:val="auto"/>
              </w:rPr>
            </w:pPr>
          </w:p>
        </w:tc>
        <w:tc>
          <w:tcPr>
            <w:tcW w:w="8480" w:type="dxa"/>
            <w:vAlign w:val="bottom"/>
            <w:tcBorders>
              <w:bottom w:val="single" w:sz="8" w:color="D7282F"/>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Service on the boards and board committees of other public companies provides an understanding of corporate governance</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practices and trends and insights into board management, relations between the board, the CEO, and senior management,</w:t>
            </w:r>
          </w:p>
        </w:tc>
        <w:tc>
          <w:tcPr>
            <w:tcW w:w="0" w:type="dxa"/>
            <w:vAlign w:val="bottom"/>
          </w:tcPr>
          <w:p>
            <w:pPr>
              <w:spacing w:after="0"/>
              <w:rPr>
                <w:sz w:val="1"/>
                <w:szCs w:val="1"/>
                <w:color w:val="auto"/>
              </w:rPr>
            </w:pPr>
          </w:p>
        </w:tc>
      </w:tr>
      <w:tr>
        <w:trPr>
          <w:trHeight w:val="216"/>
        </w:trPr>
        <w:tc>
          <w:tcPr>
            <w:tcW w:w="1840" w:type="dxa"/>
            <w:vAlign w:val="bottom"/>
          </w:tcPr>
          <w:p>
            <w:pPr>
              <w:ind w:left="20"/>
              <w:spacing w:after="0"/>
              <w:rPr>
                <w:sz w:val="20"/>
                <w:szCs w:val="20"/>
                <w:color w:val="auto"/>
              </w:rPr>
            </w:pPr>
            <w:r>
              <w:rPr>
                <w:rFonts w:ascii="Arial" w:cs="Arial" w:eastAsia="Arial" w:hAnsi="Arial"/>
                <w:sz w:val="14"/>
                <w:szCs w:val="14"/>
                <w:b w:val="1"/>
                <w:bCs w:val="1"/>
                <w:color w:val="D7282F"/>
              </w:rPr>
              <w:t>PUBLIC COMPANY</w:t>
            </w:r>
          </w:p>
        </w:tc>
        <w:tc>
          <w:tcPr>
            <w:tcW w:w="8480" w:type="dxa"/>
            <w:vAlign w:val="bottom"/>
          </w:tcPr>
          <w:p>
            <w:pPr>
              <w:ind w:left="340"/>
              <w:spacing w:after="0"/>
              <w:rPr>
                <w:sz w:val="20"/>
                <w:szCs w:val="20"/>
                <w:color w:val="auto"/>
              </w:rPr>
            </w:pPr>
            <w:r>
              <w:rPr>
                <w:rFonts w:ascii="Arial" w:cs="Arial" w:eastAsia="Arial" w:hAnsi="Arial"/>
                <w:sz w:val="14"/>
                <w:szCs w:val="14"/>
                <w:color w:val="auto"/>
              </w:rPr>
              <w:t>agenda setting, and succession planning.</w:t>
            </w:r>
          </w:p>
        </w:tc>
        <w:tc>
          <w:tcPr>
            <w:tcW w:w="0" w:type="dxa"/>
            <w:vAlign w:val="bottom"/>
          </w:tcPr>
          <w:p>
            <w:pPr>
              <w:spacing w:after="0"/>
              <w:rPr>
                <w:sz w:val="1"/>
                <w:szCs w:val="1"/>
                <w:color w:val="auto"/>
              </w:rPr>
            </w:pPr>
          </w:p>
        </w:tc>
      </w:tr>
      <w:tr>
        <w:trPr>
          <w:trHeight w:val="196"/>
        </w:trPr>
        <w:tc>
          <w:tcPr>
            <w:tcW w:w="1840" w:type="dxa"/>
            <w:vAlign w:val="bottom"/>
          </w:tcPr>
          <w:p>
            <w:pPr>
              <w:ind w:left="20"/>
              <w:spacing w:after="0"/>
              <w:rPr>
                <w:sz w:val="20"/>
                <w:szCs w:val="20"/>
                <w:color w:val="auto"/>
              </w:rPr>
            </w:pPr>
            <w:r>
              <w:rPr>
                <w:rFonts w:ascii="Arial" w:cs="Arial" w:eastAsia="Arial" w:hAnsi="Arial"/>
                <w:sz w:val="14"/>
                <w:szCs w:val="14"/>
                <w:b w:val="1"/>
                <w:bCs w:val="1"/>
                <w:color w:val="D7282F"/>
              </w:rPr>
              <w:t>BOARD EXPERIENCE</w:t>
            </w:r>
          </w:p>
        </w:tc>
        <w:tc>
          <w:tcPr>
            <w:tcW w:w="8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1840" w:type="dxa"/>
            <w:vAlign w:val="bottom"/>
            <w:tcBorders>
              <w:bottom w:val="single" w:sz="8" w:color="D7282F"/>
            </w:tcBorders>
          </w:tcPr>
          <w:p>
            <w:pPr>
              <w:spacing w:after="0"/>
              <w:rPr>
                <w:sz w:val="9"/>
                <w:szCs w:val="9"/>
                <w:color w:val="auto"/>
              </w:rPr>
            </w:pPr>
          </w:p>
        </w:tc>
        <w:tc>
          <w:tcPr>
            <w:tcW w:w="8480" w:type="dxa"/>
            <w:vAlign w:val="bottom"/>
            <w:tcBorders>
              <w:bottom w:val="single" w:sz="8" w:color="D7282F"/>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In light of the Board’s role in risk oversight and the Company’s robust Enterprise Risk Management (ERM) program,</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480" w:type="dxa"/>
            <w:vAlign w:val="bottom"/>
          </w:tcPr>
          <w:p>
            <w:pPr>
              <w:ind w:left="340"/>
              <w:spacing w:after="0"/>
              <w:rPr>
                <w:sz w:val="20"/>
                <w:szCs w:val="20"/>
                <w:color w:val="auto"/>
              </w:rPr>
            </w:pPr>
            <w:r>
              <w:rPr>
                <w:rFonts w:ascii="Arial" w:cs="Arial" w:eastAsia="Arial" w:hAnsi="Arial"/>
                <w:sz w:val="14"/>
                <w:szCs w:val="14"/>
                <w:color w:val="auto"/>
              </w:rPr>
              <w:t>Honeywell seeks directors who can help identify, manage, and mitigate key risks, including cybersecurity, regulatory</w:t>
            </w:r>
          </w:p>
        </w:tc>
        <w:tc>
          <w:tcPr>
            <w:tcW w:w="0" w:type="dxa"/>
            <w:vAlign w:val="bottom"/>
          </w:tcPr>
          <w:p>
            <w:pPr>
              <w:spacing w:after="0"/>
              <w:rPr>
                <w:sz w:val="1"/>
                <w:szCs w:val="1"/>
                <w:color w:val="auto"/>
              </w:rPr>
            </w:pPr>
          </w:p>
        </w:tc>
      </w:tr>
      <w:tr>
        <w:trPr>
          <w:trHeight w:val="190"/>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D7282F"/>
              </w:rPr>
              <w:t>RISK MANAGEMENT</w:t>
            </w:r>
          </w:p>
        </w:tc>
        <w:tc>
          <w:tcPr>
            <w:tcW w:w="8480" w:type="dxa"/>
            <w:vAlign w:val="bottom"/>
          </w:tcPr>
          <w:p>
            <w:pPr>
              <w:ind w:left="340"/>
              <w:spacing w:after="0"/>
              <w:rPr>
                <w:sz w:val="20"/>
                <w:szCs w:val="20"/>
                <w:color w:val="auto"/>
              </w:rPr>
            </w:pPr>
            <w:r>
              <w:rPr>
                <w:rFonts w:ascii="Arial" w:cs="Arial" w:eastAsia="Arial" w:hAnsi="Arial"/>
                <w:sz w:val="14"/>
                <w:szCs w:val="14"/>
                <w:color w:val="auto"/>
              </w:rPr>
              <w:t>compliance, competition, brand integrity, human capital, sustainability, and intellectual property.</w:t>
            </w:r>
          </w:p>
        </w:tc>
        <w:tc>
          <w:tcPr>
            <w:tcW w:w="0" w:type="dxa"/>
            <w:vAlign w:val="bottom"/>
          </w:tcPr>
          <w:p>
            <w:pPr>
              <w:spacing w:after="0"/>
              <w:rPr>
                <w:sz w:val="1"/>
                <w:szCs w:val="1"/>
                <w:color w:val="auto"/>
              </w:rPr>
            </w:pPr>
          </w:p>
        </w:tc>
      </w:tr>
      <w:tr>
        <w:trPr>
          <w:trHeight w:val="60"/>
        </w:trPr>
        <w:tc>
          <w:tcPr>
            <w:tcW w:w="1840" w:type="dxa"/>
            <w:vAlign w:val="bottom"/>
            <w:vMerge w:val="continue"/>
          </w:tcPr>
          <w:p>
            <w:pPr>
              <w:spacing w:after="0"/>
              <w:rPr>
                <w:sz w:val="5"/>
                <w:szCs w:val="5"/>
                <w:color w:val="auto"/>
              </w:rPr>
            </w:pPr>
          </w:p>
        </w:tc>
        <w:tc>
          <w:tcPr>
            <w:tcW w:w="8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-2381250</wp:posOffset>
            </wp:positionV>
            <wp:extent cx="7123430" cy="31635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23430" cy="31635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-2381250</wp:posOffset>
            </wp:positionV>
            <wp:extent cx="7123430" cy="31635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23430" cy="31635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D7282F"/>
        </w:rPr>
        <w:t>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-353060</wp:posOffset>
            </wp:positionV>
            <wp:extent cx="102870" cy="197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000000"/>
                        </a:clrFrom>
                        <a:clrTo>
                          <a:srgbClr val="000000">
                            <a:alpha val="0"/>
                          </a:srgbClr>
                        </a:clrTo>
                      </a:clrChange>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-353060</wp:posOffset>
            </wp:positionV>
            <wp:extent cx="102870" cy="1974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9748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b w:val="1"/>
          <w:bCs w:val="1"/>
          <w:color w:val="D7282F"/>
        </w:rPr>
        <w:t>EXPERTISE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The Company believes an understanding of finance, investment, mergers and acquisitions, and financial reporting processes is important for its directors to enable them to monitor and assess the Company’s operating and strategic performance and to ensure accurate financial reporting and robust controls. Honeywell seeks directors with background and experience in institutional investing, private equity, M&amp;A, capital markets, corporate finance, accounting, and financial reporting.</w:t>
      </w:r>
    </w:p>
    <w:p>
      <w:pPr>
        <w:spacing w:after="0" w:line="220" w:lineRule="exact"/>
        <w:rPr>
          <w:sz w:val="20"/>
          <w:szCs w:val="20"/>
          <w:color w:val="auto"/>
        </w:rPr>
      </w:pPr>
    </w:p>
    <w:p>
      <w:pPr>
        <w:sectPr>
          <w:pgSz w:w="11900" w:h="16838" w:orient="portrait"/>
          <w:cols w:equalWidth="0" w:num="2">
            <w:col w:w="2380" w:space="720"/>
            <w:col w:w="8140"/>
          </w:cols>
          <w:pgMar w:left="320" w:top="230" w:right="339" w:bottom="1440" w:gutter="0" w:footer="0" w:header="0"/>
          <w:type w:val="continuous"/>
        </w:sectPr>
      </w:pPr>
    </w:p>
    <w:p>
      <w:pPr>
        <w:spacing w:after="0" w:line="27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sz w:val="1"/>
          <w:szCs w:val="1"/>
          <w:color w:val="auto"/>
        </w:rPr>
        <w:drawing>
          <wp:inline distT="0" distB="0" distL="0" distR="0">
            <wp:extent cx="548640" cy="10287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SKILLSET MATRIX</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The Honeywell Board adopted a skills and experience matrix to facilitate the comparison of its directors’ skills versus those deemed necessary to oversee the Company’s current strategy. The skills included in the matrix are evaluated against the Company’s articulated strategy each year so that the matrix can serve as an up-to-date tool for identifying director nominees who collectively have the complementary experience, qualifications, skills, and attributes to guide the Company. Honeywell’s 2024 Board Skillset Matrix reflecting the characteristics of its director nominees is below.</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65582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23430" cy="655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203835</wp:posOffset>
            </wp:positionV>
            <wp:extent cx="67976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306705</wp:posOffset>
            </wp:positionV>
            <wp:extent cx="22288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306705</wp:posOffset>
            </wp:positionV>
            <wp:extent cx="222885"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306705</wp:posOffset>
            </wp:positionV>
            <wp:extent cx="222885"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306705</wp:posOffset>
            </wp:positionV>
            <wp:extent cx="222885"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306705</wp:posOffset>
            </wp:positionV>
            <wp:extent cx="222885"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306705</wp:posOffset>
            </wp:positionV>
            <wp:extent cx="222885"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306705</wp:posOffset>
            </wp:positionV>
            <wp:extent cx="222885"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306705</wp:posOffset>
            </wp:positionV>
            <wp:extent cx="222885"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306705</wp:posOffset>
            </wp:positionV>
            <wp:extent cx="222885"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306705</wp:posOffset>
            </wp:positionV>
            <wp:extent cx="222885"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306705</wp:posOffset>
            </wp:positionV>
            <wp:extent cx="222885"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306705</wp:posOffset>
            </wp:positionV>
            <wp:extent cx="222885" cy="2146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306705</wp:posOffset>
            </wp:positionV>
            <wp:extent cx="222885"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306705</wp:posOffset>
            </wp:positionV>
            <wp:extent cx="222885"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306705</wp:posOffset>
            </wp:positionV>
            <wp:extent cx="222885"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306705</wp:posOffset>
            </wp:positionV>
            <wp:extent cx="222885"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306705</wp:posOffset>
            </wp:positionV>
            <wp:extent cx="222885"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306705</wp:posOffset>
            </wp:positionV>
            <wp:extent cx="222885"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306705</wp:posOffset>
            </wp:positionV>
            <wp:extent cx="222885"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306705</wp:posOffset>
            </wp:positionV>
            <wp:extent cx="222885"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306705</wp:posOffset>
            </wp:positionV>
            <wp:extent cx="222885"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306705</wp:posOffset>
            </wp:positionV>
            <wp:extent cx="222885"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306705</wp:posOffset>
            </wp:positionV>
            <wp:extent cx="222885"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306705</wp:posOffset>
            </wp:positionV>
            <wp:extent cx="222885"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620" w:right="8960"/>
        <w:spacing w:after="0" w:line="314" w:lineRule="auto"/>
        <w:rPr>
          <w:sz w:val="20"/>
          <w:szCs w:val="20"/>
          <w:color w:val="auto"/>
        </w:rPr>
      </w:pPr>
      <w:r>
        <w:rPr>
          <w:rFonts w:ascii="Arial" w:cs="Arial" w:eastAsia="Arial" w:hAnsi="Arial"/>
          <w:sz w:val="14"/>
          <w:szCs w:val="14"/>
          <w:b w:val="1"/>
          <w:bCs w:val="1"/>
          <w:color w:val="auto"/>
        </w:rPr>
        <w:t>Regulated Industries/ Government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89535</wp:posOffset>
            </wp:positionV>
            <wp:extent cx="67976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192405</wp:posOffset>
            </wp:positionV>
            <wp:extent cx="222885"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192405</wp:posOffset>
            </wp:positionV>
            <wp:extent cx="222885"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192405</wp:posOffset>
            </wp:positionV>
            <wp:extent cx="222885"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192405</wp:posOffset>
            </wp:positionV>
            <wp:extent cx="222885"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192405</wp:posOffset>
            </wp:positionV>
            <wp:extent cx="222885"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192405</wp:posOffset>
            </wp:positionV>
            <wp:extent cx="222885"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192405</wp:posOffset>
            </wp:positionV>
            <wp:extent cx="222885"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192405</wp:posOffset>
            </wp:positionV>
            <wp:extent cx="222885"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192405</wp:posOffset>
            </wp:positionV>
            <wp:extent cx="222885"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192405</wp:posOffset>
            </wp:positionV>
            <wp:extent cx="222885"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192405</wp:posOffset>
            </wp:positionV>
            <wp:extent cx="222885"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192405</wp:posOffset>
            </wp:positionV>
            <wp:extent cx="222885"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192405</wp:posOffset>
            </wp:positionV>
            <wp:extent cx="222885"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192405</wp:posOffset>
            </wp:positionV>
            <wp:extent cx="222885"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192405</wp:posOffset>
            </wp:positionV>
            <wp:extent cx="222885"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192405</wp:posOffset>
            </wp:positionV>
            <wp:extent cx="222885"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192405</wp:posOffset>
            </wp:positionV>
            <wp:extent cx="222885"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192405</wp:posOffset>
            </wp:positionV>
            <wp:extent cx="222885"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192405</wp:posOffset>
            </wp:positionV>
            <wp:extent cx="222885"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192405</wp:posOffset>
            </wp:positionV>
            <wp:extent cx="222885"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192405</wp:posOffset>
            </wp:positionV>
            <wp:extent cx="222885" cy="2146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192405</wp:posOffset>
            </wp:positionV>
            <wp:extent cx="222885"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192405</wp:posOffset>
            </wp:positionV>
            <wp:extent cx="222885"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192405</wp:posOffset>
            </wp:positionV>
            <wp:extent cx="222885"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31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Innovation and</w:t>
      </w:r>
    </w:p>
    <w:p>
      <w:pPr>
        <w:spacing w:after="0" w:line="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134620</wp:posOffset>
            </wp:positionV>
            <wp:extent cx="67976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237490</wp:posOffset>
            </wp:positionV>
            <wp:extent cx="222885"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237490</wp:posOffset>
            </wp:positionV>
            <wp:extent cx="222885"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237490</wp:posOffset>
            </wp:positionV>
            <wp:extent cx="222885"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237490</wp:posOffset>
            </wp:positionV>
            <wp:extent cx="222885" cy="214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237490</wp:posOffset>
            </wp:positionV>
            <wp:extent cx="222885"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237490</wp:posOffset>
            </wp:positionV>
            <wp:extent cx="222885"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237490</wp:posOffset>
            </wp:positionV>
            <wp:extent cx="222885" cy="214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237490</wp:posOffset>
            </wp:positionV>
            <wp:extent cx="222885" cy="2146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237490</wp:posOffset>
            </wp:positionV>
            <wp:extent cx="222885"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237490</wp:posOffset>
            </wp:positionV>
            <wp:extent cx="222885" cy="214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237490</wp:posOffset>
            </wp:positionV>
            <wp:extent cx="222885"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237490</wp:posOffset>
            </wp:positionV>
            <wp:extent cx="222885"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237490</wp:posOffset>
            </wp:positionV>
            <wp:extent cx="222885"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237490</wp:posOffset>
            </wp:positionV>
            <wp:extent cx="222885" cy="2146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237490</wp:posOffset>
            </wp:positionV>
            <wp:extent cx="222885"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237490</wp:posOffset>
            </wp:positionV>
            <wp:extent cx="222885" cy="2146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237490</wp:posOffset>
            </wp:positionV>
            <wp:extent cx="222885"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237490</wp:posOffset>
            </wp:positionV>
            <wp:extent cx="222885"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237490</wp:posOffset>
            </wp:positionV>
            <wp:extent cx="222885"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237490</wp:posOffset>
            </wp:positionV>
            <wp:extent cx="222885"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237490</wp:posOffset>
            </wp:positionV>
            <wp:extent cx="222885"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237490</wp:posOffset>
            </wp:positionV>
            <wp:extent cx="222885" cy="2146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203835</wp:posOffset>
            </wp:positionV>
            <wp:extent cx="67976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-69850</wp:posOffset>
            </wp:positionV>
            <wp:extent cx="222885" cy="2146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-69850</wp:posOffset>
            </wp:positionV>
            <wp:extent cx="222885" cy="214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-69850</wp:posOffset>
            </wp:positionV>
            <wp:extent cx="222885"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-69850</wp:posOffset>
            </wp:positionV>
            <wp:extent cx="222885"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-69850</wp:posOffset>
            </wp:positionV>
            <wp:extent cx="222885" cy="2146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-69850</wp:posOffset>
            </wp:positionV>
            <wp:extent cx="222885" cy="214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-69850</wp:posOffset>
            </wp:positionV>
            <wp:extent cx="222885" cy="2146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-69850</wp:posOffset>
            </wp:positionV>
            <wp:extent cx="222885" cy="214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-69850</wp:posOffset>
            </wp:positionV>
            <wp:extent cx="222885" cy="2146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-69850</wp:posOffset>
            </wp:positionV>
            <wp:extent cx="222885"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-69850</wp:posOffset>
            </wp:positionV>
            <wp:extent cx="222885" cy="2146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-69850</wp:posOffset>
            </wp:positionV>
            <wp:extent cx="222885"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-69850</wp:posOffset>
            </wp:positionV>
            <wp:extent cx="222885" cy="2146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-69850</wp:posOffset>
            </wp:positionV>
            <wp:extent cx="222885"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-69850</wp:posOffset>
            </wp:positionV>
            <wp:extent cx="222885" cy="2146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-69850</wp:posOffset>
            </wp:positionV>
            <wp:extent cx="222885"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-69850</wp:posOffset>
            </wp:positionV>
            <wp:extent cx="222885" cy="2146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-69850</wp:posOffset>
            </wp:positionV>
            <wp:extent cx="222885"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-69850</wp:posOffset>
            </wp:positionV>
            <wp:extent cx="222885" cy="2228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-69850</wp:posOffset>
            </wp:positionV>
            <wp:extent cx="222885" cy="2228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-69850</wp:posOffset>
            </wp:positionV>
            <wp:extent cx="222885" cy="2228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-69850</wp:posOffset>
            </wp:positionV>
            <wp:extent cx="222885" cy="2228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-69850</wp:posOffset>
            </wp:positionV>
            <wp:extent cx="222885" cy="2146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-69850</wp:posOffset>
            </wp:positionV>
            <wp:extent cx="222885" cy="2146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End-Markets,</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and Growth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92075</wp:posOffset>
            </wp:positionV>
            <wp:extent cx="67976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194945</wp:posOffset>
            </wp:positionV>
            <wp:extent cx="222885"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194945</wp:posOffset>
            </wp:positionV>
            <wp:extent cx="222885" cy="214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194945</wp:posOffset>
            </wp:positionV>
            <wp:extent cx="222885" cy="2228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194945</wp:posOffset>
            </wp:positionV>
            <wp:extent cx="222885" cy="2228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194945</wp:posOffset>
            </wp:positionV>
            <wp:extent cx="222885"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194945</wp:posOffset>
            </wp:positionV>
            <wp:extent cx="222885"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194945</wp:posOffset>
            </wp:positionV>
            <wp:extent cx="222885" cy="2228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194945</wp:posOffset>
            </wp:positionV>
            <wp:extent cx="222885" cy="2228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194945</wp:posOffset>
            </wp:positionV>
            <wp:extent cx="222885" cy="2146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194945</wp:posOffset>
            </wp:positionV>
            <wp:extent cx="222885" cy="2146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194945</wp:posOffset>
            </wp:positionV>
            <wp:extent cx="222885" cy="2146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194945</wp:posOffset>
            </wp:positionV>
            <wp:extent cx="222885" cy="2146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194945</wp:posOffset>
            </wp:positionV>
            <wp:extent cx="222885" cy="2228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194945</wp:posOffset>
            </wp:positionV>
            <wp:extent cx="222885" cy="2228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194945</wp:posOffset>
            </wp:positionV>
            <wp:extent cx="222885" cy="2146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194945</wp:posOffset>
            </wp:positionV>
            <wp:extent cx="222885" cy="2146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194945</wp:posOffset>
            </wp:positionV>
            <wp:extent cx="222885" cy="2146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194945</wp:posOffset>
            </wp:positionV>
            <wp:extent cx="222885" cy="214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194945</wp:posOffset>
            </wp:positionV>
            <wp:extent cx="222885" cy="2146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194945</wp:posOffset>
            </wp:positionV>
            <wp:extent cx="222885" cy="2146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194945</wp:posOffset>
            </wp:positionV>
            <wp:extent cx="222885" cy="2146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194945</wp:posOffset>
            </wp:positionV>
            <wp:extent cx="222885" cy="2146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194945</wp:posOffset>
            </wp:positionV>
            <wp:extent cx="222885" cy="2146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194945</wp:posOffset>
            </wp:positionV>
            <wp:extent cx="222885" cy="2146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203835</wp:posOffset>
            </wp:positionV>
            <wp:extent cx="67976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373" w:lineRule="exact"/>
        <w:rPr>
          <w:sz w:val="20"/>
          <w:szCs w:val="20"/>
          <w:color w:val="auto"/>
        </w:rPr>
      </w:pPr>
    </w:p>
    <w:tbl>
      <w:tblPr>
        <w:tblLayout w:type="fixed"/>
        <w:tblInd w:w="540" w:type="dxa"/>
        <w:tblCellMar>
          <w:top w:w="0" w:type="dxa"/>
          <w:left w:w="0" w:type="dxa"/>
          <w:bottom w:w="0" w:type="dxa"/>
          <w:right w:w="0" w:type="dxa"/>
        </w:tblCellMar>
      </w:tblPr>
      <w:tr>
        <w:trPr>
          <w:trHeight w:val="176"/>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Senior Leadership</w:t>
            </w:r>
          </w:p>
        </w:tc>
        <w:tc>
          <w:tcPr>
            <w:tcW w:w="960" w:type="dxa"/>
            <w:vAlign w:val="bottom"/>
            <w:vMerge w:val="restart"/>
          </w:tcPr>
          <w:p>
            <w:pPr>
              <w:jc w:val="center"/>
              <w:ind w:left="188"/>
              <w:spacing w:after="0"/>
              <w:rPr>
                <w:sz w:val="20"/>
                <w:szCs w:val="20"/>
                <w:color w:val="auto"/>
              </w:rPr>
            </w:pPr>
            <w:r>
              <w:rPr>
                <w:rFonts w:ascii="Arial" w:cs="Arial" w:eastAsia="Arial" w:hAnsi="Arial"/>
                <w:sz w:val="14"/>
                <w:szCs w:val="14"/>
                <w:color w:val="auto"/>
              </w:rPr>
              <w:t>Chair</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7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Experience</w:t>
            </w: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820" w:type="dxa"/>
            <w:vAlign w:val="bottom"/>
            <w:vMerge w:val="continue"/>
          </w:tcPr>
          <w:p>
            <w:pPr>
              <w:spacing w:after="0"/>
              <w:rPr>
                <w:sz w:val="7"/>
                <w:szCs w:val="7"/>
                <w:color w:val="auto"/>
              </w:rPr>
            </w:pPr>
          </w:p>
        </w:tc>
        <w:tc>
          <w:tcPr>
            <w:tcW w:w="960" w:type="dxa"/>
            <w:vAlign w:val="bottom"/>
            <w:vMerge w:val="restart"/>
          </w:tcPr>
          <w:p>
            <w:pPr>
              <w:jc w:val="center"/>
              <w:ind w:left="208"/>
              <w:spacing w:after="0"/>
              <w:rPr>
                <w:sz w:val="20"/>
                <w:szCs w:val="20"/>
                <w:color w:val="auto"/>
              </w:rPr>
            </w:pPr>
            <w:r>
              <w:rPr>
                <w:rFonts w:ascii="Arial" w:cs="Arial" w:eastAsia="Arial" w:hAnsi="Arial"/>
                <w:sz w:val="14"/>
                <w:szCs w:val="14"/>
                <w:color w:val="auto"/>
              </w:rPr>
              <w:t>and</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and</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VP</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CFO</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CEO</w:t>
            </w:r>
          </w:p>
        </w:tc>
        <w:tc>
          <w:tcPr>
            <w:tcW w:w="0" w:type="dxa"/>
            <w:vAlign w:val="bottom"/>
          </w:tcPr>
          <w:p>
            <w:pPr>
              <w:spacing w:after="0"/>
              <w:rPr>
                <w:sz w:val="1"/>
                <w:szCs w:val="1"/>
                <w:color w:val="auto"/>
              </w:rPr>
            </w:pPr>
          </w:p>
        </w:tc>
      </w:tr>
      <w:tr>
        <w:trPr>
          <w:trHeight w:val="81"/>
        </w:trPr>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(Most Senior</w:t>
            </w:r>
          </w:p>
        </w:tc>
        <w:tc>
          <w:tcPr>
            <w:tcW w:w="9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820" w:type="dxa"/>
            <w:vAlign w:val="bottom"/>
            <w:vMerge w:val="continue"/>
          </w:tcPr>
          <w:p>
            <w:pPr>
              <w:spacing w:after="0"/>
              <w:rPr>
                <w:sz w:val="8"/>
                <w:szCs w:val="8"/>
                <w:color w:val="auto"/>
              </w:rPr>
            </w:pPr>
          </w:p>
        </w:tc>
        <w:tc>
          <w:tcPr>
            <w:tcW w:w="960" w:type="dxa"/>
            <w:vAlign w:val="bottom"/>
            <w:vMerge w:val="restart"/>
          </w:tcPr>
          <w:p>
            <w:pPr>
              <w:jc w:val="center"/>
              <w:ind w:left="188"/>
              <w:spacing w:after="0"/>
              <w:rPr>
                <w:sz w:val="20"/>
                <w:szCs w:val="20"/>
                <w:color w:val="auto"/>
              </w:rPr>
            </w:pPr>
            <w:r>
              <w:rPr>
                <w:rFonts w:ascii="Arial" w:cs="Arial" w:eastAsia="Arial" w:hAnsi="Arial"/>
                <w:sz w:val="14"/>
                <w:szCs w:val="14"/>
                <w:color w:val="auto"/>
                <w:w w:val="98"/>
              </w:rPr>
              <w:t>CEO</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78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w w:val="98"/>
              </w:rPr>
              <w:t>CEO</w:t>
            </w: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Position Held)</w:t>
            </w:r>
          </w:p>
        </w:tc>
        <w:tc>
          <w:tcPr>
            <w:tcW w:w="9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8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820" w:type="dxa"/>
            <w:vAlign w:val="bottom"/>
            <w:tcBorders>
              <w:bottom w:val="single" w:sz="8" w:color="939598"/>
            </w:tcBorders>
          </w:tcPr>
          <w:p>
            <w:pPr>
              <w:spacing w:after="0"/>
              <w:rPr>
                <w:sz w:val="6"/>
                <w:szCs w:val="6"/>
                <w:color w:val="auto"/>
              </w:rPr>
            </w:pPr>
          </w:p>
        </w:tc>
        <w:tc>
          <w:tcPr>
            <w:tcW w:w="960" w:type="dxa"/>
            <w:vAlign w:val="bottom"/>
            <w:tcBorders>
              <w:bottom w:val="single" w:sz="8" w:color="939598"/>
            </w:tcBorders>
          </w:tcPr>
          <w:p>
            <w:pPr>
              <w:spacing w:after="0"/>
              <w:rPr>
                <w:sz w:val="6"/>
                <w:szCs w:val="6"/>
                <w:color w:val="auto"/>
              </w:rPr>
            </w:pPr>
          </w:p>
        </w:tc>
        <w:tc>
          <w:tcPr>
            <w:tcW w:w="700" w:type="dxa"/>
            <w:vAlign w:val="bottom"/>
            <w:tcBorders>
              <w:bottom w:val="single" w:sz="8" w:color="939598"/>
            </w:tcBorders>
          </w:tcPr>
          <w:p>
            <w:pPr>
              <w:spacing w:after="0"/>
              <w:rPr>
                <w:sz w:val="6"/>
                <w:szCs w:val="6"/>
                <w:color w:val="auto"/>
              </w:rPr>
            </w:pPr>
          </w:p>
        </w:tc>
        <w:tc>
          <w:tcPr>
            <w:tcW w:w="720" w:type="dxa"/>
            <w:vAlign w:val="bottom"/>
            <w:tcBorders>
              <w:bottom w:val="single" w:sz="8" w:color="939598"/>
            </w:tcBorders>
          </w:tcPr>
          <w:p>
            <w:pPr>
              <w:spacing w:after="0"/>
              <w:rPr>
                <w:sz w:val="6"/>
                <w:szCs w:val="6"/>
                <w:color w:val="auto"/>
              </w:rPr>
            </w:pPr>
          </w:p>
        </w:tc>
        <w:tc>
          <w:tcPr>
            <w:tcW w:w="720" w:type="dxa"/>
            <w:vAlign w:val="bottom"/>
            <w:tcBorders>
              <w:bottom w:val="single" w:sz="8" w:color="939598"/>
            </w:tcBorders>
          </w:tcPr>
          <w:p>
            <w:pPr>
              <w:spacing w:after="0"/>
              <w:rPr>
                <w:sz w:val="6"/>
                <w:szCs w:val="6"/>
                <w:color w:val="auto"/>
              </w:rPr>
            </w:pPr>
          </w:p>
        </w:tc>
        <w:tc>
          <w:tcPr>
            <w:tcW w:w="720" w:type="dxa"/>
            <w:vAlign w:val="bottom"/>
            <w:tcBorders>
              <w:bottom w:val="single" w:sz="8" w:color="939598"/>
            </w:tcBorders>
          </w:tcPr>
          <w:p>
            <w:pPr>
              <w:spacing w:after="0"/>
              <w:rPr>
                <w:sz w:val="6"/>
                <w:szCs w:val="6"/>
                <w:color w:val="auto"/>
              </w:rPr>
            </w:pPr>
          </w:p>
        </w:tc>
        <w:tc>
          <w:tcPr>
            <w:tcW w:w="68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c>
          <w:tcPr>
            <w:tcW w:w="660" w:type="dxa"/>
            <w:vAlign w:val="bottom"/>
            <w:tcBorders>
              <w:bottom w:val="single" w:sz="8" w:color="939598"/>
            </w:tcBorders>
          </w:tcPr>
          <w:p>
            <w:pPr>
              <w:spacing w:after="0"/>
              <w:rPr>
                <w:sz w:val="6"/>
                <w:szCs w:val="6"/>
                <w:color w:val="auto"/>
              </w:rPr>
            </w:pPr>
          </w:p>
        </w:tc>
        <w:tc>
          <w:tcPr>
            <w:tcW w:w="740" w:type="dxa"/>
            <w:vAlign w:val="bottom"/>
            <w:tcBorders>
              <w:bottom w:val="single" w:sz="8" w:color="939598"/>
            </w:tcBorders>
          </w:tcPr>
          <w:p>
            <w:pPr>
              <w:spacing w:after="0"/>
              <w:rPr>
                <w:sz w:val="6"/>
                <w:szCs w:val="6"/>
                <w:color w:val="auto"/>
              </w:rPr>
            </w:pPr>
          </w:p>
        </w:tc>
        <w:tc>
          <w:tcPr>
            <w:tcW w:w="780" w:type="dxa"/>
            <w:vAlign w:val="bottom"/>
            <w:tcBorders>
              <w:bottom w:val="single" w:sz="8" w:color="939598"/>
            </w:tcBorders>
          </w:tcPr>
          <w:p>
            <w:pPr>
              <w:spacing w:after="0"/>
              <w:rPr>
                <w:sz w:val="6"/>
                <w:szCs w:val="6"/>
                <w:color w:val="auto"/>
              </w:rPr>
            </w:pPr>
          </w:p>
        </w:tc>
        <w:tc>
          <w:tcPr>
            <w:tcW w:w="720" w:type="dxa"/>
            <w:vAlign w:val="bottom"/>
            <w:tcBorders>
              <w:bottom w:val="single" w:sz="8" w:color="939598"/>
            </w:tcBorders>
          </w:tcPr>
          <w:p>
            <w:pPr>
              <w:spacing w:after="0"/>
              <w:rPr>
                <w:sz w:val="6"/>
                <w:szCs w:val="6"/>
                <w:color w:val="auto"/>
              </w:rPr>
            </w:pPr>
          </w:p>
        </w:tc>
        <w:tc>
          <w:tcPr>
            <w:tcW w:w="70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No. of Public</w:t>
            </w: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1</w:t>
            </w:r>
          </w:p>
        </w:tc>
        <w:tc>
          <w:tcPr>
            <w:tcW w:w="0" w:type="dxa"/>
            <w:vAlign w:val="bottom"/>
          </w:tcPr>
          <w:p>
            <w:pPr>
              <w:spacing w:after="0"/>
              <w:rPr>
                <w:sz w:val="1"/>
                <w:szCs w:val="1"/>
                <w:color w:val="auto"/>
              </w:rPr>
            </w:pPr>
          </w:p>
        </w:tc>
      </w:tr>
      <w:tr>
        <w:trPr>
          <w:trHeight w:val="162"/>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Company Boards</w:t>
            </w: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D7282F"/>
              </w:rPr>
              <w:t xml:space="preserve">2 </w:t>
            </w:r>
            <w:r>
              <w:rPr>
                <w:rFonts w:ascii="Arial" w:cs="Arial" w:eastAsia="Arial" w:hAnsi="Arial"/>
                <w:sz w:val="14"/>
                <w:szCs w:val="14"/>
                <w:color w:val="000000"/>
              </w:rPr>
              <w:t>I 1</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2</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0</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1</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2 </w:t>
            </w:r>
            <w:r>
              <w:rPr>
                <w:rFonts w:ascii="Arial" w:cs="Arial" w:eastAsia="Arial" w:hAnsi="Arial"/>
                <w:sz w:val="14"/>
                <w:szCs w:val="14"/>
                <w:color w:val="000000"/>
              </w:rPr>
              <w:t>I 2</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0</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3 </w:t>
            </w:r>
            <w:r>
              <w:rPr>
                <w:rFonts w:ascii="Arial" w:cs="Arial" w:eastAsia="Arial" w:hAnsi="Arial"/>
                <w:sz w:val="14"/>
                <w:szCs w:val="14"/>
                <w:color w:val="000000"/>
              </w:rPr>
              <w:t>I 3</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1 </w:t>
            </w:r>
            <w:r>
              <w:rPr>
                <w:rFonts w:ascii="Arial" w:cs="Arial" w:eastAsia="Arial" w:hAnsi="Arial"/>
                <w:sz w:val="14"/>
                <w:szCs w:val="14"/>
                <w:color w:val="000000"/>
              </w:rPr>
              <w:t>I 2</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EE2724"/>
              </w:rPr>
              <w:t xml:space="preserve">2 </w:t>
            </w:r>
            <w:r>
              <w:rPr>
                <w:rFonts w:ascii="Arial" w:cs="Arial" w:eastAsia="Arial" w:hAnsi="Arial"/>
                <w:sz w:val="14"/>
                <w:szCs w:val="14"/>
                <w:color w:val="000000"/>
              </w:rPr>
              <w:t>I 1</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D7282F"/>
              </w:rPr>
              <w:t xml:space="preserve">4 </w:t>
            </w:r>
            <w:r>
              <w:rPr>
                <w:rFonts w:ascii="Arial" w:cs="Arial" w:eastAsia="Arial" w:hAnsi="Arial"/>
                <w:sz w:val="14"/>
                <w:szCs w:val="14"/>
                <w:color w:val="000000"/>
              </w:rPr>
              <w:t>I 2</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color w:val="BF2115"/>
              </w:rPr>
              <w:t>Current</w:t>
            </w:r>
            <w:r>
              <w:rPr>
                <w:rFonts w:ascii="Arial" w:cs="Arial" w:eastAsia="Arial" w:hAnsi="Arial"/>
                <w:sz w:val="14"/>
                <w:szCs w:val="14"/>
                <w:b w:val="1"/>
                <w:bCs w:val="1"/>
                <w:color w:val="auto"/>
              </w:rPr>
              <w:t xml:space="preserve"> I Past)</w:t>
            </w:r>
            <w:r>
              <w:rPr>
                <w:rFonts w:ascii="Arial" w:cs="Arial" w:eastAsia="Arial" w:hAnsi="Arial"/>
                <w:sz w:val="9"/>
                <w:szCs w:val="9"/>
                <w:b w:val="1"/>
                <w:bCs w:val="1"/>
                <w:color w:val="auto"/>
              </w:rPr>
              <w:t>(2)</w:t>
            </w: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1820" w:type="dxa"/>
            <w:vAlign w:val="bottom"/>
            <w:tcBorders>
              <w:bottom w:val="single" w:sz="8" w:color="939598"/>
            </w:tcBorders>
          </w:tcPr>
          <w:p>
            <w:pPr>
              <w:spacing w:after="0"/>
              <w:rPr>
                <w:sz w:val="7"/>
                <w:szCs w:val="7"/>
                <w:color w:val="auto"/>
              </w:rPr>
            </w:pPr>
          </w:p>
        </w:tc>
        <w:tc>
          <w:tcPr>
            <w:tcW w:w="960" w:type="dxa"/>
            <w:vAlign w:val="bottom"/>
            <w:tcBorders>
              <w:bottom w:val="single" w:sz="8" w:color="939598"/>
            </w:tcBorders>
          </w:tcPr>
          <w:p>
            <w:pPr>
              <w:spacing w:after="0"/>
              <w:rPr>
                <w:sz w:val="7"/>
                <w:szCs w:val="7"/>
                <w:color w:val="auto"/>
              </w:rPr>
            </w:pPr>
          </w:p>
        </w:tc>
        <w:tc>
          <w:tcPr>
            <w:tcW w:w="700" w:type="dxa"/>
            <w:vAlign w:val="bottom"/>
            <w:tcBorders>
              <w:bottom w:val="single" w:sz="8" w:color="939598"/>
            </w:tcBorders>
          </w:tcPr>
          <w:p>
            <w:pPr>
              <w:spacing w:after="0"/>
              <w:rPr>
                <w:sz w:val="7"/>
                <w:szCs w:val="7"/>
                <w:color w:val="auto"/>
              </w:rPr>
            </w:pPr>
          </w:p>
        </w:tc>
        <w:tc>
          <w:tcPr>
            <w:tcW w:w="720" w:type="dxa"/>
            <w:vAlign w:val="bottom"/>
            <w:tcBorders>
              <w:bottom w:val="single" w:sz="8" w:color="939598"/>
            </w:tcBorders>
          </w:tcPr>
          <w:p>
            <w:pPr>
              <w:spacing w:after="0"/>
              <w:rPr>
                <w:sz w:val="7"/>
                <w:szCs w:val="7"/>
                <w:color w:val="auto"/>
              </w:rPr>
            </w:pPr>
          </w:p>
        </w:tc>
        <w:tc>
          <w:tcPr>
            <w:tcW w:w="720" w:type="dxa"/>
            <w:vAlign w:val="bottom"/>
            <w:tcBorders>
              <w:bottom w:val="single" w:sz="8" w:color="939598"/>
            </w:tcBorders>
          </w:tcPr>
          <w:p>
            <w:pPr>
              <w:spacing w:after="0"/>
              <w:rPr>
                <w:sz w:val="7"/>
                <w:szCs w:val="7"/>
                <w:color w:val="auto"/>
              </w:rPr>
            </w:pPr>
          </w:p>
        </w:tc>
        <w:tc>
          <w:tcPr>
            <w:tcW w:w="720" w:type="dxa"/>
            <w:vAlign w:val="bottom"/>
            <w:tcBorders>
              <w:bottom w:val="single" w:sz="8" w:color="939598"/>
            </w:tcBorders>
          </w:tcPr>
          <w:p>
            <w:pPr>
              <w:spacing w:after="0"/>
              <w:rPr>
                <w:sz w:val="7"/>
                <w:szCs w:val="7"/>
                <w:color w:val="auto"/>
              </w:rPr>
            </w:pPr>
          </w:p>
        </w:tc>
        <w:tc>
          <w:tcPr>
            <w:tcW w:w="680" w:type="dxa"/>
            <w:vAlign w:val="bottom"/>
            <w:tcBorders>
              <w:bottom w:val="single" w:sz="8" w:color="939598"/>
            </w:tcBorders>
          </w:tcPr>
          <w:p>
            <w:pPr>
              <w:spacing w:after="0"/>
              <w:rPr>
                <w:sz w:val="7"/>
                <w:szCs w:val="7"/>
                <w:color w:val="auto"/>
              </w:rPr>
            </w:pPr>
          </w:p>
        </w:tc>
        <w:tc>
          <w:tcPr>
            <w:tcW w:w="780" w:type="dxa"/>
            <w:vAlign w:val="bottom"/>
            <w:tcBorders>
              <w:bottom w:val="single" w:sz="8" w:color="939598"/>
            </w:tcBorders>
          </w:tcPr>
          <w:p>
            <w:pPr>
              <w:spacing w:after="0"/>
              <w:rPr>
                <w:sz w:val="7"/>
                <w:szCs w:val="7"/>
                <w:color w:val="auto"/>
              </w:rPr>
            </w:pPr>
          </w:p>
        </w:tc>
        <w:tc>
          <w:tcPr>
            <w:tcW w:w="660" w:type="dxa"/>
            <w:vAlign w:val="bottom"/>
            <w:tcBorders>
              <w:bottom w:val="single" w:sz="8" w:color="939598"/>
            </w:tcBorders>
          </w:tcPr>
          <w:p>
            <w:pPr>
              <w:spacing w:after="0"/>
              <w:rPr>
                <w:sz w:val="7"/>
                <w:szCs w:val="7"/>
                <w:color w:val="auto"/>
              </w:rPr>
            </w:pPr>
          </w:p>
        </w:tc>
        <w:tc>
          <w:tcPr>
            <w:tcW w:w="740" w:type="dxa"/>
            <w:vAlign w:val="bottom"/>
            <w:tcBorders>
              <w:bottom w:val="single" w:sz="8" w:color="939598"/>
            </w:tcBorders>
          </w:tcPr>
          <w:p>
            <w:pPr>
              <w:spacing w:after="0"/>
              <w:rPr>
                <w:sz w:val="7"/>
                <w:szCs w:val="7"/>
                <w:color w:val="auto"/>
              </w:rPr>
            </w:pPr>
          </w:p>
        </w:tc>
        <w:tc>
          <w:tcPr>
            <w:tcW w:w="780" w:type="dxa"/>
            <w:vAlign w:val="bottom"/>
            <w:tcBorders>
              <w:bottom w:val="single" w:sz="8" w:color="939598"/>
            </w:tcBorders>
          </w:tcPr>
          <w:p>
            <w:pPr>
              <w:spacing w:after="0"/>
              <w:rPr>
                <w:sz w:val="7"/>
                <w:szCs w:val="7"/>
                <w:color w:val="auto"/>
              </w:rPr>
            </w:pPr>
          </w:p>
        </w:tc>
        <w:tc>
          <w:tcPr>
            <w:tcW w:w="720" w:type="dxa"/>
            <w:vAlign w:val="bottom"/>
            <w:tcBorders>
              <w:bottom w:val="single" w:sz="8" w:color="939598"/>
            </w:tcBorders>
          </w:tcPr>
          <w:p>
            <w:pPr>
              <w:spacing w:after="0"/>
              <w:rPr>
                <w:sz w:val="7"/>
                <w:szCs w:val="7"/>
                <w:color w:val="auto"/>
              </w:rPr>
            </w:pPr>
          </w:p>
        </w:tc>
        <w:tc>
          <w:tcPr>
            <w:tcW w:w="70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464"/>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Risk Management</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20" w:type="dxa"/>
            <w:vAlign w:val="bottom"/>
            <w:tcBorders>
              <w:bottom w:val="single" w:sz="8" w:color="939598"/>
            </w:tcBorders>
          </w:tcPr>
          <w:p>
            <w:pPr>
              <w:spacing w:after="0"/>
              <w:rPr>
                <w:sz w:val="24"/>
                <w:szCs w:val="24"/>
                <w:color w:val="auto"/>
              </w:rPr>
            </w:pPr>
          </w:p>
        </w:tc>
        <w:tc>
          <w:tcPr>
            <w:tcW w:w="96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680" w:type="dxa"/>
            <w:vAlign w:val="bottom"/>
            <w:tcBorders>
              <w:bottom w:val="single" w:sz="8" w:color="939598"/>
            </w:tcBorders>
          </w:tcPr>
          <w:p>
            <w:pPr>
              <w:spacing w:after="0"/>
              <w:rPr>
                <w:sz w:val="24"/>
                <w:szCs w:val="24"/>
                <w:color w:val="auto"/>
              </w:rPr>
            </w:pPr>
          </w:p>
        </w:tc>
        <w:tc>
          <w:tcPr>
            <w:tcW w:w="78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78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Financial Expertise</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820" w:type="dxa"/>
            <w:vAlign w:val="bottom"/>
            <w:tcBorders>
              <w:bottom w:val="single" w:sz="8" w:color="939598"/>
            </w:tcBorders>
          </w:tcPr>
          <w:p>
            <w:pPr>
              <w:spacing w:after="0"/>
              <w:rPr>
                <w:sz w:val="24"/>
                <w:szCs w:val="24"/>
                <w:color w:val="auto"/>
              </w:rPr>
            </w:pPr>
          </w:p>
        </w:tc>
        <w:tc>
          <w:tcPr>
            <w:tcW w:w="96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680" w:type="dxa"/>
            <w:vAlign w:val="bottom"/>
            <w:tcBorders>
              <w:bottom w:val="single" w:sz="8" w:color="939598"/>
            </w:tcBorders>
          </w:tcPr>
          <w:p>
            <w:pPr>
              <w:spacing w:after="0"/>
              <w:rPr>
                <w:sz w:val="24"/>
                <w:szCs w:val="24"/>
                <w:color w:val="auto"/>
              </w:rPr>
            </w:pPr>
          </w:p>
        </w:tc>
        <w:tc>
          <w:tcPr>
            <w:tcW w:w="780" w:type="dxa"/>
            <w:vAlign w:val="bottom"/>
            <w:tcBorders>
              <w:bottom w:val="single" w:sz="8" w:color="939598"/>
            </w:tcBorders>
          </w:tcPr>
          <w:p>
            <w:pPr>
              <w:spacing w:after="0"/>
              <w:rPr>
                <w:sz w:val="24"/>
                <w:szCs w:val="24"/>
                <w:color w:val="auto"/>
              </w:rPr>
            </w:pPr>
          </w:p>
        </w:tc>
        <w:tc>
          <w:tcPr>
            <w:tcW w:w="660" w:type="dxa"/>
            <w:vAlign w:val="bottom"/>
            <w:tcBorders>
              <w:bottom w:val="single" w:sz="8" w:color="939598"/>
            </w:tcBorders>
          </w:tcPr>
          <w:p>
            <w:pPr>
              <w:spacing w:after="0"/>
              <w:rPr>
                <w:sz w:val="24"/>
                <w:szCs w:val="24"/>
                <w:color w:val="auto"/>
              </w:rPr>
            </w:pPr>
          </w:p>
        </w:tc>
        <w:tc>
          <w:tcPr>
            <w:tcW w:w="740" w:type="dxa"/>
            <w:vAlign w:val="bottom"/>
            <w:tcBorders>
              <w:bottom w:val="single" w:sz="8" w:color="939598"/>
            </w:tcBorders>
          </w:tcPr>
          <w:p>
            <w:pPr>
              <w:spacing w:after="0"/>
              <w:rPr>
                <w:sz w:val="24"/>
                <w:szCs w:val="24"/>
                <w:color w:val="auto"/>
              </w:rPr>
            </w:pPr>
          </w:p>
        </w:tc>
        <w:tc>
          <w:tcPr>
            <w:tcW w:w="780" w:type="dxa"/>
            <w:vAlign w:val="bottom"/>
            <w:tcBorders>
              <w:bottom w:val="single" w:sz="8" w:color="939598"/>
            </w:tcBorders>
          </w:tcPr>
          <w:p>
            <w:pPr>
              <w:spacing w:after="0"/>
              <w:rPr>
                <w:sz w:val="24"/>
                <w:szCs w:val="24"/>
                <w:color w:val="auto"/>
              </w:rPr>
            </w:pPr>
          </w:p>
        </w:tc>
        <w:tc>
          <w:tcPr>
            <w:tcW w:w="720" w:type="dxa"/>
            <w:vAlign w:val="bottom"/>
            <w:tcBorders>
              <w:bottom w:val="single" w:sz="8" w:color="939598"/>
            </w:tcBorders>
          </w:tcPr>
          <w:p>
            <w:pPr>
              <w:spacing w:after="0"/>
              <w:rPr>
                <w:sz w:val="24"/>
                <w:szCs w:val="24"/>
                <w:color w:val="auto"/>
              </w:rPr>
            </w:pPr>
          </w:p>
        </w:tc>
        <w:tc>
          <w:tcPr>
            <w:tcW w:w="700" w:type="dxa"/>
            <w:vAlign w:val="bottom"/>
            <w:tcBorders>
              <w:bottom w:val="single" w:sz="8" w:color="939598"/>
            </w:tcBorders>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Gender</w:t>
            </w:r>
          </w:p>
        </w:tc>
        <w:tc>
          <w:tcPr>
            <w:tcW w:w="960" w:type="dxa"/>
            <w:vAlign w:val="bottom"/>
          </w:tcPr>
          <w:p>
            <w:pPr>
              <w:jc w:val="center"/>
              <w:ind w:left="188"/>
              <w:spacing w:after="0"/>
              <w:rPr>
                <w:sz w:val="20"/>
                <w:szCs w:val="20"/>
                <w:color w:val="auto"/>
              </w:rPr>
            </w:pPr>
            <w:r>
              <w:rPr>
                <w:rFonts w:ascii="Arial" w:cs="Arial" w:eastAsia="Arial" w:hAnsi="Arial"/>
                <w:sz w:val="14"/>
                <w:szCs w:val="14"/>
                <w:color w:val="auto"/>
                <w:w w:val="98"/>
              </w:rPr>
              <w:t>Male</w:t>
            </w:r>
          </w:p>
        </w:tc>
        <w:tc>
          <w:tcPr>
            <w:tcW w:w="70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720" w:type="dxa"/>
            <w:vAlign w:val="bottom"/>
          </w:tcPr>
          <w:p>
            <w:pPr>
              <w:jc w:val="center"/>
              <w:spacing w:after="0"/>
              <w:rPr>
                <w:sz w:val="20"/>
                <w:szCs w:val="20"/>
                <w:color w:val="auto"/>
              </w:rPr>
            </w:pPr>
            <w:r>
              <w:rPr>
                <w:rFonts w:ascii="Arial" w:cs="Arial" w:eastAsia="Arial" w:hAnsi="Arial"/>
                <w:sz w:val="14"/>
                <w:szCs w:val="14"/>
                <w:color w:val="auto"/>
              </w:rPr>
              <w:t>Male</w:t>
            </w:r>
          </w:p>
        </w:tc>
        <w:tc>
          <w:tcPr>
            <w:tcW w:w="720" w:type="dxa"/>
            <w:vAlign w:val="bottom"/>
          </w:tcPr>
          <w:p>
            <w:pPr>
              <w:jc w:val="center"/>
              <w:spacing w:after="0"/>
              <w:rPr>
                <w:sz w:val="20"/>
                <w:szCs w:val="20"/>
                <w:color w:val="auto"/>
              </w:rPr>
            </w:pPr>
            <w:r>
              <w:rPr>
                <w:rFonts w:ascii="Arial" w:cs="Arial" w:eastAsia="Arial" w:hAnsi="Arial"/>
                <w:sz w:val="14"/>
                <w:szCs w:val="14"/>
                <w:color w:val="auto"/>
              </w:rPr>
              <w:t>Male</w:t>
            </w:r>
          </w:p>
        </w:tc>
        <w:tc>
          <w:tcPr>
            <w:tcW w:w="72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68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780" w:type="dxa"/>
            <w:vAlign w:val="bottom"/>
          </w:tcPr>
          <w:p>
            <w:pPr>
              <w:jc w:val="center"/>
              <w:spacing w:after="0"/>
              <w:rPr>
                <w:sz w:val="20"/>
                <w:szCs w:val="20"/>
                <w:color w:val="auto"/>
              </w:rPr>
            </w:pPr>
            <w:r>
              <w:rPr>
                <w:rFonts w:ascii="Arial" w:cs="Arial" w:eastAsia="Arial" w:hAnsi="Arial"/>
                <w:sz w:val="14"/>
                <w:szCs w:val="14"/>
                <w:color w:val="auto"/>
              </w:rPr>
              <w:t>Female</w:t>
            </w:r>
          </w:p>
        </w:tc>
        <w:tc>
          <w:tcPr>
            <w:tcW w:w="660" w:type="dxa"/>
            <w:vAlign w:val="bottom"/>
          </w:tcPr>
          <w:p>
            <w:pPr>
              <w:jc w:val="center"/>
              <w:spacing w:after="0"/>
              <w:rPr>
                <w:sz w:val="20"/>
                <w:szCs w:val="20"/>
                <w:color w:val="auto"/>
              </w:rPr>
            </w:pPr>
            <w:r>
              <w:rPr>
                <w:rFonts w:ascii="Arial" w:cs="Arial" w:eastAsia="Arial" w:hAnsi="Arial"/>
                <w:sz w:val="14"/>
                <w:szCs w:val="14"/>
                <w:color w:val="auto"/>
                <w:w w:val="98"/>
              </w:rPr>
              <w:t>Male</w:t>
            </w:r>
          </w:p>
        </w:tc>
        <w:tc>
          <w:tcPr>
            <w:tcW w:w="740" w:type="dxa"/>
            <w:vAlign w:val="bottom"/>
          </w:tcPr>
          <w:p>
            <w:pPr>
              <w:jc w:val="center"/>
              <w:spacing w:after="0"/>
              <w:rPr>
                <w:sz w:val="20"/>
                <w:szCs w:val="20"/>
                <w:color w:val="auto"/>
              </w:rPr>
            </w:pPr>
            <w:r>
              <w:rPr>
                <w:rFonts w:ascii="Arial" w:cs="Arial" w:eastAsia="Arial" w:hAnsi="Arial"/>
                <w:sz w:val="14"/>
                <w:szCs w:val="14"/>
                <w:color w:val="auto"/>
              </w:rPr>
              <w:t>Female</w:t>
            </w:r>
          </w:p>
        </w:tc>
        <w:tc>
          <w:tcPr>
            <w:tcW w:w="780" w:type="dxa"/>
            <w:vAlign w:val="bottom"/>
          </w:tcPr>
          <w:p>
            <w:pPr>
              <w:jc w:val="center"/>
              <w:spacing w:after="0"/>
              <w:rPr>
                <w:sz w:val="20"/>
                <w:szCs w:val="20"/>
                <w:color w:val="auto"/>
              </w:rPr>
            </w:pPr>
            <w:r>
              <w:rPr>
                <w:rFonts w:ascii="Arial" w:cs="Arial" w:eastAsia="Arial" w:hAnsi="Arial"/>
                <w:sz w:val="14"/>
                <w:szCs w:val="14"/>
                <w:color w:val="auto"/>
              </w:rPr>
              <w:t>Female</w:t>
            </w:r>
          </w:p>
        </w:tc>
        <w:tc>
          <w:tcPr>
            <w:tcW w:w="720" w:type="dxa"/>
            <w:vAlign w:val="bottom"/>
          </w:tcPr>
          <w:p>
            <w:pPr>
              <w:jc w:val="center"/>
              <w:spacing w:after="0"/>
              <w:rPr>
                <w:sz w:val="20"/>
                <w:szCs w:val="20"/>
                <w:color w:val="auto"/>
              </w:rPr>
            </w:pPr>
            <w:r>
              <w:rPr>
                <w:rFonts w:ascii="Arial" w:cs="Arial" w:eastAsia="Arial" w:hAnsi="Arial"/>
                <w:sz w:val="14"/>
                <w:szCs w:val="14"/>
                <w:color w:val="auto"/>
              </w:rPr>
              <w:t>Female</w:t>
            </w:r>
          </w:p>
        </w:tc>
        <w:tc>
          <w:tcPr>
            <w:tcW w:w="700" w:type="dxa"/>
            <w:vAlign w:val="bottom"/>
          </w:tcPr>
          <w:p>
            <w:pPr>
              <w:jc w:val="center"/>
              <w:spacing w:after="0"/>
              <w:rPr>
                <w:sz w:val="20"/>
                <w:szCs w:val="20"/>
                <w:color w:val="auto"/>
              </w:rPr>
            </w:pPr>
            <w:r>
              <w:rPr>
                <w:rFonts w:ascii="Arial" w:cs="Arial" w:eastAsia="Arial" w:hAnsi="Arial"/>
                <w:sz w:val="14"/>
                <w:szCs w:val="14"/>
                <w:color w:val="auto"/>
              </w:rPr>
              <w:t>Male</w:t>
            </w:r>
          </w:p>
        </w:tc>
        <w:tc>
          <w:tcPr>
            <w:tcW w:w="0" w:type="dxa"/>
            <w:vAlign w:val="bottom"/>
          </w:tcPr>
          <w:p>
            <w:pPr>
              <w:spacing w:after="0"/>
              <w:rPr>
                <w:sz w:val="1"/>
                <w:szCs w:val="1"/>
                <w:color w:val="auto"/>
              </w:rPr>
            </w:pPr>
          </w:p>
        </w:tc>
      </w:tr>
      <w:tr>
        <w:trPr>
          <w:trHeight w:val="204"/>
        </w:trPr>
        <w:tc>
          <w:tcPr>
            <w:tcW w:w="1820" w:type="dxa"/>
            <w:vAlign w:val="bottom"/>
            <w:tcBorders>
              <w:bottom w:val="single" w:sz="8" w:color="939598"/>
            </w:tcBorders>
          </w:tcPr>
          <w:p>
            <w:pPr>
              <w:spacing w:after="0"/>
              <w:rPr>
                <w:sz w:val="17"/>
                <w:szCs w:val="17"/>
                <w:color w:val="auto"/>
              </w:rPr>
            </w:pPr>
          </w:p>
        </w:tc>
        <w:tc>
          <w:tcPr>
            <w:tcW w:w="960" w:type="dxa"/>
            <w:vAlign w:val="bottom"/>
            <w:tcBorders>
              <w:bottom w:val="single" w:sz="8" w:color="939598"/>
            </w:tcBorders>
          </w:tcPr>
          <w:p>
            <w:pPr>
              <w:spacing w:after="0"/>
              <w:rPr>
                <w:sz w:val="17"/>
                <w:szCs w:val="17"/>
                <w:color w:val="auto"/>
              </w:rPr>
            </w:pPr>
          </w:p>
        </w:tc>
        <w:tc>
          <w:tcPr>
            <w:tcW w:w="70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c>
          <w:tcPr>
            <w:tcW w:w="680" w:type="dxa"/>
            <w:vAlign w:val="bottom"/>
            <w:tcBorders>
              <w:bottom w:val="single" w:sz="8" w:color="939598"/>
            </w:tcBorders>
          </w:tcPr>
          <w:p>
            <w:pPr>
              <w:spacing w:after="0"/>
              <w:rPr>
                <w:sz w:val="17"/>
                <w:szCs w:val="17"/>
                <w:color w:val="auto"/>
              </w:rPr>
            </w:pPr>
          </w:p>
        </w:tc>
        <w:tc>
          <w:tcPr>
            <w:tcW w:w="780" w:type="dxa"/>
            <w:vAlign w:val="bottom"/>
            <w:tcBorders>
              <w:bottom w:val="single" w:sz="8" w:color="939598"/>
            </w:tcBorders>
          </w:tcPr>
          <w:p>
            <w:pPr>
              <w:spacing w:after="0"/>
              <w:rPr>
                <w:sz w:val="17"/>
                <w:szCs w:val="17"/>
                <w:color w:val="auto"/>
              </w:rPr>
            </w:pPr>
          </w:p>
        </w:tc>
        <w:tc>
          <w:tcPr>
            <w:tcW w:w="660" w:type="dxa"/>
            <w:vAlign w:val="bottom"/>
            <w:tcBorders>
              <w:bottom w:val="single" w:sz="8" w:color="939598"/>
            </w:tcBorders>
          </w:tcPr>
          <w:p>
            <w:pPr>
              <w:spacing w:after="0"/>
              <w:rPr>
                <w:sz w:val="17"/>
                <w:szCs w:val="17"/>
                <w:color w:val="auto"/>
              </w:rPr>
            </w:pPr>
          </w:p>
        </w:tc>
        <w:tc>
          <w:tcPr>
            <w:tcW w:w="740" w:type="dxa"/>
            <w:vAlign w:val="bottom"/>
            <w:tcBorders>
              <w:bottom w:val="single" w:sz="8" w:color="939598"/>
            </w:tcBorders>
          </w:tcPr>
          <w:p>
            <w:pPr>
              <w:spacing w:after="0"/>
              <w:rPr>
                <w:sz w:val="17"/>
                <w:szCs w:val="17"/>
                <w:color w:val="auto"/>
              </w:rPr>
            </w:pPr>
          </w:p>
        </w:tc>
        <w:tc>
          <w:tcPr>
            <w:tcW w:w="78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c>
          <w:tcPr>
            <w:tcW w:w="700" w:type="dxa"/>
            <w:vAlign w:val="bottom"/>
            <w:tcBorders>
              <w:bottom w:val="single" w:sz="8" w:color="939598"/>
            </w:tcBorders>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1820" w:type="dxa"/>
            <w:vAlign w:val="bottom"/>
          </w:tcPr>
          <w:p>
            <w:pPr>
              <w:ind w:left="80"/>
              <w:spacing w:after="0"/>
              <w:rPr>
                <w:sz w:val="20"/>
                <w:szCs w:val="20"/>
                <w:color w:val="auto"/>
              </w:rPr>
            </w:pPr>
            <w:r>
              <w:rPr>
                <w:rFonts w:ascii="Arial" w:cs="Arial" w:eastAsia="Arial" w:hAnsi="Arial"/>
                <w:sz w:val="14"/>
                <w:szCs w:val="14"/>
                <w:b w:val="1"/>
                <w:bCs w:val="1"/>
                <w:color w:val="auto"/>
              </w:rPr>
              <w:t>Race/Ethnicity</w:t>
            </w:r>
          </w:p>
        </w:tc>
        <w:tc>
          <w:tcPr>
            <w:tcW w:w="960" w:type="dxa"/>
            <w:vAlign w:val="bottom"/>
          </w:tcPr>
          <w:p>
            <w:pPr>
              <w:jc w:val="center"/>
              <w:ind w:left="188"/>
              <w:spacing w:after="0"/>
              <w:rPr>
                <w:sz w:val="20"/>
                <w:szCs w:val="20"/>
                <w:color w:val="auto"/>
              </w:rPr>
            </w:pPr>
            <w:r>
              <w:rPr>
                <w:rFonts w:ascii="Arial" w:cs="Arial" w:eastAsia="Arial" w:hAnsi="Arial"/>
                <w:sz w:val="14"/>
                <w:szCs w:val="14"/>
                <w:color w:val="auto"/>
              </w:rPr>
              <w:t>White</w:t>
            </w:r>
          </w:p>
        </w:tc>
        <w:tc>
          <w:tcPr>
            <w:tcW w:w="700" w:type="dxa"/>
            <w:vAlign w:val="bottom"/>
          </w:tcPr>
          <w:p>
            <w:pPr>
              <w:jc w:val="center"/>
              <w:spacing w:after="0"/>
              <w:rPr>
                <w:sz w:val="20"/>
                <w:szCs w:val="20"/>
                <w:color w:val="auto"/>
              </w:rPr>
            </w:pPr>
            <w:r>
              <w:rPr>
                <w:rFonts w:ascii="Arial" w:cs="Arial" w:eastAsia="Arial" w:hAnsi="Arial"/>
                <w:sz w:val="14"/>
                <w:szCs w:val="14"/>
                <w:color w:val="auto"/>
              </w:rPr>
              <w:t>White</w:t>
            </w:r>
          </w:p>
        </w:tc>
        <w:tc>
          <w:tcPr>
            <w:tcW w:w="720" w:type="dxa"/>
            <w:vAlign w:val="bottom"/>
          </w:tcPr>
          <w:p>
            <w:pPr>
              <w:jc w:val="center"/>
              <w:spacing w:after="0"/>
              <w:rPr>
                <w:sz w:val="20"/>
                <w:szCs w:val="20"/>
                <w:color w:val="auto"/>
              </w:rPr>
            </w:pPr>
            <w:r>
              <w:rPr>
                <w:rFonts w:ascii="Arial" w:cs="Arial" w:eastAsia="Arial" w:hAnsi="Arial"/>
                <w:sz w:val="14"/>
                <w:szCs w:val="14"/>
                <w:color w:val="auto"/>
              </w:rPr>
              <w:t>Asian</w:t>
            </w:r>
          </w:p>
        </w:tc>
        <w:tc>
          <w:tcPr>
            <w:tcW w:w="720" w:type="dxa"/>
            <w:vAlign w:val="bottom"/>
          </w:tcPr>
          <w:p>
            <w:pPr>
              <w:jc w:val="center"/>
              <w:spacing w:after="0"/>
              <w:rPr>
                <w:sz w:val="20"/>
                <w:szCs w:val="20"/>
                <w:color w:val="auto"/>
              </w:rPr>
            </w:pPr>
            <w:r>
              <w:rPr>
                <w:rFonts w:ascii="Arial" w:cs="Arial" w:eastAsia="Arial" w:hAnsi="Arial"/>
                <w:sz w:val="14"/>
                <w:szCs w:val="14"/>
                <w:color w:val="auto"/>
              </w:rPr>
              <w:t>White</w:t>
            </w:r>
          </w:p>
        </w:tc>
        <w:tc>
          <w:tcPr>
            <w:tcW w:w="720" w:type="dxa"/>
            <w:vAlign w:val="bottom"/>
          </w:tcPr>
          <w:p>
            <w:pPr>
              <w:jc w:val="center"/>
              <w:spacing w:after="0"/>
              <w:rPr>
                <w:sz w:val="20"/>
                <w:szCs w:val="20"/>
                <w:color w:val="auto"/>
              </w:rPr>
            </w:pPr>
            <w:r>
              <w:rPr>
                <w:rFonts w:ascii="Arial" w:cs="Arial" w:eastAsia="Arial" w:hAnsi="Arial"/>
                <w:sz w:val="14"/>
                <w:szCs w:val="14"/>
                <w:color w:val="auto"/>
              </w:rPr>
              <w:t>White</w:t>
            </w:r>
          </w:p>
        </w:tc>
        <w:tc>
          <w:tcPr>
            <w:tcW w:w="680" w:type="dxa"/>
            <w:vAlign w:val="bottom"/>
          </w:tcPr>
          <w:p>
            <w:pPr>
              <w:jc w:val="center"/>
              <w:spacing w:after="0"/>
              <w:rPr>
                <w:sz w:val="20"/>
                <w:szCs w:val="20"/>
                <w:color w:val="auto"/>
              </w:rPr>
            </w:pPr>
            <w:r>
              <w:rPr>
                <w:rFonts w:ascii="Arial" w:cs="Arial" w:eastAsia="Arial" w:hAnsi="Arial"/>
                <w:sz w:val="14"/>
                <w:szCs w:val="14"/>
                <w:color w:val="auto"/>
              </w:rPr>
              <w:t>White</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Black</w:t>
            </w:r>
          </w:p>
        </w:tc>
        <w:tc>
          <w:tcPr>
            <w:tcW w:w="660" w:type="dxa"/>
            <w:vAlign w:val="bottom"/>
          </w:tcPr>
          <w:p>
            <w:pPr>
              <w:jc w:val="center"/>
              <w:spacing w:after="0"/>
              <w:rPr>
                <w:sz w:val="20"/>
                <w:szCs w:val="20"/>
                <w:color w:val="auto"/>
              </w:rPr>
            </w:pPr>
            <w:r>
              <w:rPr>
                <w:rFonts w:ascii="Arial" w:cs="Arial" w:eastAsia="Arial" w:hAnsi="Arial"/>
                <w:sz w:val="14"/>
                <w:szCs w:val="14"/>
                <w:color w:val="auto"/>
              </w:rPr>
              <w:t>White</w:t>
            </w:r>
          </w:p>
        </w:tc>
        <w:tc>
          <w:tcPr>
            <w:tcW w:w="740" w:type="dxa"/>
            <w:vAlign w:val="bottom"/>
          </w:tcPr>
          <w:p>
            <w:pPr>
              <w:jc w:val="center"/>
              <w:spacing w:after="0"/>
              <w:rPr>
                <w:sz w:val="20"/>
                <w:szCs w:val="20"/>
                <w:color w:val="auto"/>
              </w:rPr>
            </w:pPr>
            <w:r>
              <w:rPr>
                <w:rFonts w:ascii="Arial" w:cs="Arial" w:eastAsia="Arial" w:hAnsi="Arial"/>
                <w:sz w:val="14"/>
                <w:szCs w:val="14"/>
                <w:color w:val="auto"/>
              </w:rPr>
              <w:t>Asian</w:t>
            </w:r>
          </w:p>
        </w:tc>
        <w:tc>
          <w:tcPr>
            <w:tcW w:w="780" w:type="dxa"/>
            <w:vAlign w:val="bottom"/>
          </w:tcPr>
          <w:p>
            <w:pPr>
              <w:jc w:val="center"/>
              <w:spacing w:after="0"/>
              <w:rPr>
                <w:sz w:val="20"/>
                <w:szCs w:val="20"/>
                <w:color w:val="auto"/>
              </w:rPr>
            </w:pPr>
            <w:r>
              <w:rPr>
                <w:rFonts w:ascii="Arial" w:cs="Arial" w:eastAsia="Arial" w:hAnsi="Arial"/>
                <w:sz w:val="14"/>
                <w:szCs w:val="14"/>
                <w:color w:val="auto"/>
              </w:rPr>
              <w:t>Hispanic</w:t>
            </w:r>
          </w:p>
        </w:tc>
        <w:tc>
          <w:tcPr>
            <w:tcW w:w="720" w:type="dxa"/>
            <w:vAlign w:val="bottom"/>
          </w:tcPr>
          <w:p>
            <w:pPr>
              <w:jc w:val="center"/>
              <w:spacing w:after="0"/>
              <w:rPr>
                <w:sz w:val="20"/>
                <w:szCs w:val="20"/>
                <w:color w:val="auto"/>
              </w:rPr>
            </w:pPr>
            <w:r>
              <w:rPr>
                <w:rFonts w:ascii="Arial" w:cs="Arial" w:eastAsia="Arial" w:hAnsi="Arial"/>
                <w:sz w:val="14"/>
                <w:szCs w:val="14"/>
                <w:color w:val="auto"/>
              </w:rPr>
              <w:t>Black</w:t>
            </w:r>
          </w:p>
        </w:tc>
        <w:tc>
          <w:tcPr>
            <w:tcW w:w="700" w:type="dxa"/>
            <w:vAlign w:val="bottom"/>
          </w:tcPr>
          <w:p>
            <w:pPr>
              <w:jc w:val="center"/>
              <w:spacing w:after="0"/>
              <w:rPr>
                <w:sz w:val="20"/>
                <w:szCs w:val="20"/>
                <w:color w:val="auto"/>
              </w:rPr>
            </w:pPr>
            <w:r>
              <w:rPr>
                <w:rFonts w:ascii="Arial" w:cs="Arial" w:eastAsia="Arial" w:hAnsi="Arial"/>
                <w:sz w:val="14"/>
                <w:szCs w:val="14"/>
                <w:color w:val="auto"/>
              </w:rPr>
              <w:t>White</w:t>
            </w:r>
          </w:p>
        </w:tc>
        <w:tc>
          <w:tcPr>
            <w:tcW w:w="0" w:type="dxa"/>
            <w:vAlign w:val="bottom"/>
          </w:tcPr>
          <w:p>
            <w:pPr>
              <w:spacing w:after="0"/>
              <w:rPr>
                <w:sz w:val="1"/>
                <w:szCs w:val="1"/>
                <w:color w:val="auto"/>
              </w:rPr>
            </w:pPr>
          </w:p>
        </w:tc>
      </w:tr>
      <w:tr>
        <w:trPr>
          <w:trHeight w:val="204"/>
        </w:trPr>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-1637030</wp:posOffset>
            </wp:positionV>
            <wp:extent cx="222885" cy="2146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-1637030</wp:posOffset>
            </wp:positionV>
            <wp:extent cx="222885" cy="2146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-1637030</wp:posOffset>
            </wp:positionV>
            <wp:extent cx="222885" cy="2146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-1637030</wp:posOffset>
            </wp:positionV>
            <wp:extent cx="222885" cy="2146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-1637030</wp:posOffset>
            </wp:positionV>
            <wp:extent cx="222885" cy="2146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-1637030</wp:posOffset>
            </wp:positionV>
            <wp:extent cx="222885" cy="2146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-1637030</wp:posOffset>
            </wp:positionV>
            <wp:extent cx="222885" cy="2146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-1637030</wp:posOffset>
            </wp:positionV>
            <wp:extent cx="222885" cy="2146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-1637030</wp:posOffset>
            </wp:positionV>
            <wp:extent cx="222885" cy="2146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-1637030</wp:posOffset>
            </wp:positionV>
            <wp:extent cx="222885" cy="2146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-1637030</wp:posOffset>
            </wp:positionV>
            <wp:extent cx="222885" cy="2146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-1637030</wp:posOffset>
            </wp:positionV>
            <wp:extent cx="222885"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-1637030</wp:posOffset>
            </wp:positionV>
            <wp:extent cx="222885" cy="2146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-1637030</wp:posOffset>
            </wp:positionV>
            <wp:extent cx="222885" cy="2146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-1637030</wp:posOffset>
            </wp:positionV>
            <wp:extent cx="222885" cy="2146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-1637030</wp:posOffset>
            </wp:positionV>
            <wp:extent cx="222885" cy="2146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-1637030</wp:posOffset>
            </wp:positionV>
            <wp:extent cx="222885" cy="2146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-1637030</wp:posOffset>
            </wp:positionV>
            <wp:extent cx="222885" cy="2146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-1637030</wp:posOffset>
            </wp:positionV>
            <wp:extent cx="222885" cy="2228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-1637030</wp:posOffset>
            </wp:positionV>
            <wp:extent cx="222885" cy="2228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-1637030</wp:posOffset>
            </wp:positionV>
            <wp:extent cx="222885" cy="2146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-1637030</wp:posOffset>
            </wp:positionV>
            <wp:extent cx="222885" cy="2146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-1637030</wp:posOffset>
            </wp:positionV>
            <wp:extent cx="222885" cy="2146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-1637030</wp:posOffset>
            </wp:positionV>
            <wp:extent cx="222885" cy="2146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-1148080</wp:posOffset>
            </wp:positionV>
            <wp:extent cx="222885" cy="2146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-1148080</wp:posOffset>
            </wp:positionV>
            <wp:extent cx="222885" cy="2146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-1148080</wp:posOffset>
            </wp:positionV>
            <wp:extent cx="222885" cy="214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-1148080</wp:posOffset>
            </wp:positionV>
            <wp:extent cx="222885" cy="2146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-1148080</wp:posOffset>
            </wp:positionV>
            <wp:extent cx="222885" cy="2146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-1148080</wp:posOffset>
            </wp:positionV>
            <wp:extent cx="222885" cy="2146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-1148080</wp:posOffset>
            </wp:positionV>
            <wp:extent cx="222885" cy="2146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-1148080</wp:posOffset>
            </wp:positionV>
            <wp:extent cx="222885" cy="2146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-1148080</wp:posOffset>
            </wp:positionV>
            <wp:extent cx="222885" cy="2146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-1148080</wp:posOffset>
            </wp:positionV>
            <wp:extent cx="222885" cy="2146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-1148080</wp:posOffset>
            </wp:positionV>
            <wp:extent cx="222885" cy="2146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-1148080</wp:posOffset>
            </wp:positionV>
            <wp:extent cx="222885" cy="2146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-1148080</wp:posOffset>
            </wp:positionV>
            <wp:extent cx="222885" cy="2146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-1148080</wp:posOffset>
            </wp:positionV>
            <wp:extent cx="222885" cy="2146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-1148080</wp:posOffset>
            </wp:positionV>
            <wp:extent cx="222885" cy="2146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-1148080</wp:posOffset>
            </wp:positionV>
            <wp:extent cx="222885" cy="2146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-1148080</wp:posOffset>
            </wp:positionV>
            <wp:extent cx="222885" cy="2146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-1148080</wp:posOffset>
            </wp:positionV>
            <wp:extent cx="222885" cy="2146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-1148080</wp:posOffset>
            </wp:positionV>
            <wp:extent cx="222885" cy="2228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000000"/>
                        </a:clrFrom>
                        <a:clrTo>
                          <a:srgbClr val="000000">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-1148080</wp:posOffset>
            </wp:positionV>
            <wp:extent cx="222885" cy="2228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-1148080</wp:posOffset>
            </wp:positionV>
            <wp:extent cx="222885" cy="2146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-1148080</wp:posOffset>
            </wp:positionV>
            <wp:extent cx="222885" cy="2146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-1148080</wp:posOffset>
            </wp:positionV>
            <wp:extent cx="222885" cy="2146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000000"/>
                        </a:clrFrom>
                        <a:clrTo>
                          <a:srgbClr val="000000">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-1148080</wp:posOffset>
            </wp:positionV>
            <wp:extent cx="222885" cy="2146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146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222885" cy="2146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Technical expertise: has direct hands-on experience or was a subject-matter expert during his/her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222885" cy="2146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2885" cy="214630"/>
                    </a:xfrm>
                    <a:prstGeom prst="rect">
                      <a:avLst/>
                    </a:prstGeom>
                    <a:noFill/>
                  </pic:spPr>
                </pic:pic>
              </a:graphicData>
            </a:graphic>
          </wp:anchor>
        </w:drawing>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Managerial expertise: expertise derived through direct managerial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wp:posOffset>
            </wp:positionV>
            <wp:extent cx="222885" cy="2228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134" w:lineRule="exact"/>
        <w:rPr>
          <w:sz w:val="20"/>
          <w:szCs w:val="20"/>
          <w:color w:val="auto"/>
        </w:rPr>
      </w:pPr>
    </w:p>
    <w:p>
      <w:pPr>
        <w:jc w:val="both"/>
        <w:ind w:left="620" w:right="180"/>
        <w:spacing w:after="0" w:line="286" w:lineRule="auto"/>
        <w:rPr>
          <w:sz w:val="20"/>
          <w:szCs w:val="20"/>
          <w:color w:val="auto"/>
        </w:rPr>
      </w:pPr>
      <w:r>
        <w:rPr>
          <w:rFonts w:ascii="Arial" w:cs="Arial" w:eastAsia="Arial" w:hAnsi="Arial"/>
          <w:sz w:val="16"/>
          <w:szCs w:val="16"/>
          <w:color w:val="auto"/>
        </w:rPr>
        <w:t>Working knowledge: experience derived through investment banking, private equity investing, serving as a member of a relevant board committee at Honeywell or at another public company, or serving as an executive officer or on the board of a public company in the relevant industry.</w:t>
      </w:r>
    </w:p>
    <w:p>
      <w:pPr>
        <w:spacing w:after="0" w:line="80"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Mr. Ayer will become Lead Director, effective May 14, 2024. Mr. Adamczyk will retire from the Board and Mr. Kapur will become Chairman of the Board, effective June 7, 2024.</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Excludes the boards of Honeywell's consolidated subsidiaries. Current public company boards includes Honeywell Board.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42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COMMITMENT TO BOARD INTEGRITY, DIVERSITY, AND INDEPENDENCE</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addition to ensuring that director nominees possess the requisite skills and qualifications, the CGRC places an emphasis on ensuring that nominees demonstrate the right leadership traits, personality, work ethic, independence, and diversity of background to align with the Company’s performance culture and long-term strategic vision. Specifically, these criteria include:</w:t>
      </w:r>
    </w:p>
    <w:p>
      <w:pPr>
        <w:spacing w:after="0" w:line="56"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6"/>
          <w:szCs w:val="16"/>
          <w:b w:val="1"/>
          <w:bCs w:val="1"/>
          <w:color w:val="D7282F"/>
        </w:rPr>
      </w:pPr>
      <w:r>
        <w:rPr>
          <w:rFonts w:ascii="Arial" w:cs="Arial" w:eastAsia="Arial" w:hAnsi="Arial"/>
          <w:sz w:val="16"/>
          <w:szCs w:val="16"/>
          <w:color w:val="auto"/>
        </w:rPr>
        <w:t>Exemplification of the highest standards of personal and professional integrity.</w:t>
      </w:r>
    </w:p>
    <w:p>
      <w:pPr>
        <w:spacing w:after="0" w:line="86" w:lineRule="exact"/>
        <w:rPr>
          <w:rFonts w:ascii="Arial" w:cs="Arial" w:eastAsia="Arial" w:hAnsi="Arial"/>
          <w:sz w:val="16"/>
          <w:szCs w:val="16"/>
          <w:b w:val="1"/>
          <w:bCs w:val="1"/>
          <w:color w:val="D7282F"/>
        </w:rPr>
      </w:pPr>
    </w:p>
    <w:p>
      <w:pPr>
        <w:ind w:left="200" w:right="280" w:hanging="192"/>
        <w:spacing w:after="0" w:line="286" w:lineRule="auto"/>
        <w:tabs>
          <w:tab w:leader="none" w:pos="197" w:val="left"/>
        </w:tabs>
        <w:numPr>
          <w:ilvl w:val="0"/>
          <w:numId w:val="25"/>
        </w:numPr>
        <w:rPr>
          <w:rFonts w:ascii="Arial" w:cs="Arial" w:eastAsia="Arial" w:hAnsi="Arial"/>
          <w:sz w:val="16"/>
          <w:szCs w:val="16"/>
          <w:b w:val="1"/>
          <w:bCs w:val="1"/>
          <w:color w:val="D7282F"/>
        </w:rPr>
      </w:pPr>
      <w:r>
        <w:rPr>
          <w:rFonts w:ascii="Arial" w:cs="Arial" w:eastAsia="Arial" w:hAnsi="Arial"/>
          <w:sz w:val="16"/>
          <w:szCs w:val="16"/>
          <w:color w:val="auto"/>
        </w:rPr>
        <w:t>Potential contribution to the diversity and culture of the Board, including by virtue of age, educational background, global perspective, gender, ethnicity, and nationality.</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5"/>
        </w:numPr>
        <w:rPr>
          <w:rFonts w:ascii="Arial" w:cs="Arial" w:eastAsia="Arial" w:hAnsi="Arial"/>
          <w:sz w:val="16"/>
          <w:szCs w:val="16"/>
          <w:b w:val="1"/>
          <w:bCs w:val="1"/>
          <w:color w:val="D7282F"/>
        </w:rPr>
      </w:pPr>
      <w:r>
        <w:rPr>
          <w:rFonts w:ascii="Arial" w:cs="Arial" w:eastAsia="Arial" w:hAnsi="Arial"/>
          <w:sz w:val="16"/>
          <w:szCs w:val="16"/>
          <w:color w:val="auto"/>
        </w:rPr>
        <w:t>Independence from management under applicable securities laws and listing regulations.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5"/>
        </w:numPr>
        <w:rPr>
          <w:rFonts w:ascii="Arial" w:cs="Arial" w:eastAsia="Arial" w:hAnsi="Arial"/>
          <w:sz w:val="16"/>
          <w:szCs w:val="16"/>
          <w:b w:val="1"/>
          <w:bCs w:val="1"/>
          <w:color w:val="D7282F"/>
        </w:rPr>
      </w:pPr>
      <w:r>
        <w:rPr>
          <w:rFonts w:ascii="Arial" w:cs="Arial" w:eastAsia="Arial" w:hAnsi="Arial"/>
          <w:sz w:val="16"/>
          <w:szCs w:val="16"/>
          <w:color w:val="auto"/>
        </w:rPr>
        <w:t>Willingness to constructively challenge management through active participation in Board and committee meetings.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5"/>
        </w:numPr>
        <w:rPr>
          <w:rFonts w:ascii="Arial" w:cs="Arial" w:eastAsia="Arial" w:hAnsi="Arial"/>
          <w:sz w:val="16"/>
          <w:szCs w:val="16"/>
          <w:b w:val="1"/>
          <w:bCs w:val="1"/>
          <w:color w:val="D7282F"/>
        </w:rPr>
      </w:pPr>
      <w:r>
        <w:rPr>
          <w:rFonts w:ascii="Arial" w:cs="Arial" w:eastAsia="Arial" w:hAnsi="Arial"/>
          <w:sz w:val="16"/>
          <w:szCs w:val="16"/>
          <w:color w:val="auto"/>
        </w:rPr>
        <w:t>Ability to devote sufficient time to performing their Board and committee duties.</w:t>
      </w:r>
    </w:p>
    <w:p>
      <w:pPr>
        <w:spacing w:after="0" w:line="113" w:lineRule="exact"/>
        <w:rPr>
          <w:sz w:val="20"/>
          <w:szCs w:val="20"/>
          <w:color w:val="auto"/>
        </w:rPr>
      </w:pPr>
    </w:p>
    <w:p>
      <w:pPr>
        <w:jc w:val="both"/>
        <w:ind w:right="200"/>
        <w:spacing w:after="0" w:line="265" w:lineRule="auto"/>
        <w:rPr>
          <w:sz w:val="20"/>
          <w:szCs w:val="20"/>
          <w:color w:val="auto"/>
        </w:rPr>
      </w:pPr>
      <w:r>
        <w:rPr>
          <w:rFonts w:ascii="Arial" w:cs="Arial" w:eastAsia="Arial" w:hAnsi="Arial"/>
          <w:sz w:val="16"/>
          <w:szCs w:val="16"/>
          <w:color w:val="auto"/>
        </w:rPr>
        <w:t>The CGRC is committed to enhancing both the diversity of the Board itself and the perspectives and values that are represented in Board and committee meetings. Pursuant to our Corporate Governance Guidelines, the CGRC requires that qualified candidates who are diverse with respect to race, ethnicity, and/or gender are included in the pool from which any new director nominee is selected, and that one or more diverse candidates are interviewed before a successful candidate is identified.</w:t>
      </w:r>
    </w:p>
    <w:p>
      <w:pPr>
        <w:spacing w:after="0" w:line="78"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In addition to diversity of personal characteristics and experiences, the CGRC believes that diversity of service tenures on the Honeywell Board also facilitates effective Board oversight. Directors with many years of service to Honeywell provide the Board with a deep knowledge of the Company, while newer directors lend fresh perspectives.</w:t>
      </w:r>
    </w:p>
    <w:p>
      <w:pPr>
        <w:spacing w:after="0" w:line="131" w:lineRule="exact"/>
        <w:rPr>
          <w:sz w:val="20"/>
          <w:szCs w:val="20"/>
          <w:color w:val="auto"/>
        </w:rPr>
      </w:pPr>
    </w:p>
    <w:p>
      <w:pPr>
        <w:ind w:left="1140"/>
        <w:spacing w:after="0"/>
        <w:tabs>
          <w:tab w:leader="none" w:pos="5620" w:val="left"/>
        </w:tabs>
        <w:rPr>
          <w:sz w:val="20"/>
          <w:szCs w:val="20"/>
          <w:color w:val="auto"/>
        </w:rPr>
      </w:pPr>
      <w:r>
        <w:rPr>
          <w:rFonts w:ascii="Arial" w:cs="Arial" w:eastAsia="Arial" w:hAnsi="Arial"/>
          <w:sz w:val="16"/>
          <w:szCs w:val="16"/>
          <w:b w:val="1"/>
          <w:bCs w:val="1"/>
          <w:color w:val="6D6E71"/>
        </w:rPr>
        <w:t>DIVERSITY OF NOMINEES</w:t>
      </w:r>
      <w:r>
        <w:rPr>
          <w:sz w:val="20"/>
          <w:szCs w:val="20"/>
          <w:color w:val="auto"/>
        </w:rPr>
        <w:tab/>
      </w:r>
      <w:r>
        <w:rPr>
          <w:rFonts w:ascii="Arial" w:cs="Arial" w:eastAsia="Arial" w:hAnsi="Arial"/>
          <w:sz w:val="16"/>
          <w:szCs w:val="16"/>
          <w:b w:val="1"/>
          <w:bCs w:val="1"/>
          <w:color w:val="6D6E71"/>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97790</wp:posOffset>
            </wp:positionV>
            <wp:extent cx="5263515" cy="13373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6351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BOARD DIVERSITY MATRIX (EFFECTIVE MAY 14,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6D6E71"/>
        </w:rPr>
        <w:t>TOTAL NUMBER OF DIRECTORS 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Did Not Disclose</w:t>
            </w:r>
          </w:p>
        </w:tc>
      </w:tr>
      <w:tr>
        <w:trPr>
          <w:trHeight w:val="205"/>
        </w:trPr>
        <w:tc>
          <w:tcPr>
            <w:tcW w:w="14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040" w:type="dxa"/>
            <w:vAlign w:val="bottom"/>
          </w:tcPr>
          <w:p>
            <w:pPr>
              <w:ind w:left="1320"/>
              <w:spacing w:after="0"/>
              <w:rPr>
                <w:sz w:val="20"/>
                <w:szCs w:val="20"/>
                <w:color w:val="auto"/>
              </w:rPr>
            </w:pPr>
            <w:r>
              <w:rPr>
                <w:rFonts w:ascii="Arial" w:cs="Arial" w:eastAsia="Arial" w:hAnsi="Arial"/>
                <w:sz w:val="14"/>
                <w:szCs w:val="14"/>
                <w:b w:val="1"/>
                <w:bCs w:val="1"/>
                <w:color w:val="auto"/>
              </w:rPr>
              <w:t>Female</w:t>
            </w: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Male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Non-Binary</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Gender</w:t>
            </w:r>
          </w:p>
        </w:tc>
      </w:tr>
      <w:tr>
        <w:trPr>
          <w:trHeight w:val="229"/>
        </w:trPr>
        <w:tc>
          <w:tcPr>
            <w:tcW w:w="5720" w:type="dxa"/>
            <w:vAlign w:val="bottom"/>
            <w:tcBorders>
              <w:top w:val="single" w:sz="8" w:color="D7282F"/>
            </w:tcBorders>
            <w:gridSpan w:val="2"/>
            <w:shd w:val="clear" w:color="auto" w:fill="E6E7E8"/>
          </w:tcPr>
          <w:p>
            <w:pPr>
              <w:ind w:left="20"/>
              <w:spacing w:after="0"/>
              <w:rPr>
                <w:sz w:val="20"/>
                <w:szCs w:val="20"/>
                <w:color w:val="auto"/>
              </w:rPr>
            </w:pPr>
            <w:r>
              <w:rPr>
                <w:rFonts w:ascii="Arial" w:cs="Arial" w:eastAsia="Arial" w:hAnsi="Arial"/>
                <w:sz w:val="14"/>
                <w:szCs w:val="14"/>
                <w:b w:val="1"/>
                <w:bCs w:val="1"/>
                <w:color w:val="auto"/>
              </w:rPr>
              <w:t>PART I: GENDER IDENTITY</w:t>
            </w:r>
          </w:p>
        </w:tc>
        <w:tc>
          <w:tcPr>
            <w:tcW w:w="2040" w:type="dxa"/>
            <w:vAlign w:val="bottom"/>
            <w:tcBorders>
              <w:top w:val="single" w:sz="8" w:color="D7282F"/>
            </w:tcBorders>
            <w:shd w:val="clear" w:color="auto" w:fill="E6E7E8"/>
          </w:tcPr>
          <w:p>
            <w:pPr>
              <w:spacing w:after="0"/>
              <w:rPr>
                <w:sz w:val="19"/>
                <w:szCs w:val="19"/>
                <w:color w:val="auto"/>
              </w:rPr>
            </w:pPr>
          </w:p>
        </w:tc>
        <w:tc>
          <w:tcPr>
            <w:tcW w:w="760" w:type="dxa"/>
            <w:vAlign w:val="bottom"/>
            <w:tcBorders>
              <w:top w:val="single" w:sz="8" w:color="D7282F"/>
            </w:tcBorders>
            <w:shd w:val="clear" w:color="auto" w:fill="E6E7E8"/>
          </w:tcPr>
          <w:p>
            <w:pPr>
              <w:spacing w:after="0"/>
              <w:rPr>
                <w:sz w:val="19"/>
                <w:szCs w:val="19"/>
                <w:color w:val="auto"/>
              </w:rPr>
            </w:pPr>
          </w:p>
        </w:tc>
        <w:tc>
          <w:tcPr>
            <w:tcW w:w="1180" w:type="dxa"/>
            <w:vAlign w:val="bottom"/>
            <w:tcBorders>
              <w:top w:val="single" w:sz="8" w:color="D7282F"/>
            </w:tcBorders>
            <w:shd w:val="clear" w:color="auto" w:fill="E6E7E8"/>
          </w:tcPr>
          <w:p>
            <w:pPr>
              <w:spacing w:after="0"/>
              <w:rPr>
                <w:sz w:val="19"/>
                <w:szCs w:val="19"/>
                <w:color w:val="auto"/>
              </w:rPr>
            </w:pPr>
          </w:p>
        </w:tc>
        <w:tc>
          <w:tcPr>
            <w:tcW w:w="1520" w:type="dxa"/>
            <w:vAlign w:val="bottom"/>
            <w:tcBorders>
              <w:top w:val="single" w:sz="8" w:color="D7282F"/>
            </w:tcBorders>
            <w:shd w:val="clear" w:color="auto" w:fill="E6E7E8"/>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1400" w:type="dxa"/>
            <w:vAlign w:val="bottom"/>
          </w:tcPr>
          <w:p>
            <w:pPr>
              <w:ind w:left="20"/>
              <w:spacing w:after="0"/>
              <w:rPr>
                <w:sz w:val="20"/>
                <w:szCs w:val="20"/>
                <w:color w:val="auto"/>
              </w:rPr>
            </w:pPr>
            <w:r>
              <w:rPr>
                <w:rFonts w:ascii="Arial" w:cs="Arial" w:eastAsia="Arial" w:hAnsi="Arial"/>
                <w:sz w:val="14"/>
                <w:szCs w:val="14"/>
                <w:color w:val="auto"/>
              </w:rPr>
              <w:t>Directors</w:t>
            </w:r>
          </w:p>
        </w:tc>
        <w:tc>
          <w:tcPr>
            <w:tcW w:w="4320" w:type="dxa"/>
            <w:vAlign w:val="bottom"/>
          </w:tcPr>
          <w:p>
            <w:pPr>
              <w:spacing w:after="0"/>
              <w:rPr>
                <w:sz w:val="18"/>
                <w:szCs w:val="18"/>
                <w:color w:val="auto"/>
              </w:rPr>
            </w:pPr>
          </w:p>
        </w:tc>
        <w:tc>
          <w:tcPr>
            <w:tcW w:w="2040" w:type="dxa"/>
            <w:vAlign w:val="bottom"/>
          </w:tcPr>
          <w:p>
            <w:pPr>
              <w:jc w:val="center"/>
              <w:ind w:left="1008"/>
              <w:spacing w:after="0"/>
              <w:rPr>
                <w:sz w:val="20"/>
                <w:szCs w:val="20"/>
                <w:color w:val="auto"/>
              </w:rPr>
            </w:pPr>
            <w:r>
              <w:rPr>
                <w:rFonts w:ascii="Arial" w:cs="Arial" w:eastAsia="Arial" w:hAnsi="Arial"/>
                <w:sz w:val="14"/>
                <w:szCs w:val="14"/>
                <w:color w:val="auto"/>
              </w:rPr>
              <w:t>4</w:t>
            </w:r>
          </w:p>
        </w:tc>
        <w:tc>
          <w:tcPr>
            <w:tcW w:w="760" w:type="dxa"/>
            <w:vAlign w:val="bottom"/>
          </w:tcPr>
          <w:p>
            <w:pPr>
              <w:jc w:val="center"/>
              <w:spacing w:after="0"/>
              <w:rPr>
                <w:sz w:val="20"/>
                <w:szCs w:val="20"/>
                <w:color w:val="auto"/>
              </w:rPr>
            </w:pPr>
            <w:r>
              <w:rPr>
                <w:rFonts w:ascii="Arial" w:cs="Arial" w:eastAsia="Arial" w:hAnsi="Arial"/>
                <w:sz w:val="14"/>
                <w:szCs w:val="14"/>
                <w:color w:val="auto"/>
              </w:rPr>
              <w:t>8</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57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720" w:type="dxa"/>
            <w:vAlign w:val="bottom"/>
            <w:gridSpan w:val="2"/>
            <w:shd w:val="clear" w:color="auto" w:fill="E6E7E8"/>
          </w:tcPr>
          <w:p>
            <w:pPr>
              <w:ind w:left="20"/>
              <w:spacing w:after="0"/>
              <w:rPr>
                <w:sz w:val="20"/>
                <w:szCs w:val="20"/>
                <w:color w:val="auto"/>
              </w:rPr>
            </w:pPr>
            <w:r>
              <w:rPr>
                <w:rFonts w:ascii="Arial" w:cs="Arial" w:eastAsia="Arial" w:hAnsi="Arial"/>
                <w:sz w:val="14"/>
                <w:szCs w:val="14"/>
                <w:b w:val="1"/>
                <w:bCs w:val="1"/>
                <w:color w:val="auto"/>
              </w:rPr>
              <w:t>PART II: DEMOGRAPHIC BACKGROUND</w:t>
            </w:r>
          </w:p>
        </w:tc>
        <w:tc>
          <w:tcPr>
            <w:tcW w:w="2040" w:type="dxa"/>
            <w:vAlign w:val="bottom"/>
            <w:shd w:val="clear" w:color="auto" w:fill="E6E7E8"/>
          </w:tcPr>
          <w:p>
            <w:pPr>
              <w:spacing w:after="0"/>
              <w:rPr>
                <w:sz w:val="19"/>
                <w:szCs w:val="19"/>
                <w:color w:val="auto"/>
              </w:rPr>
            </w:pPr>
          </w:p>
        </w:tc>
        <w:tc>
          <w:tcPr>
            <w:tcW w:w="760" w:type="dxa"/>
            <w:vAlign w:val="bottom"/>
            <w:shd w:val="clear" w:color="auto" w:fill="E6E7E8"/>
          </w:tcPr>
          <w:p>
            <w:pPr>
              <w:spacing w:after="0"/>
              <w:rPr>
                <w:sz w:val="19"/>
                <w:szCs w:val="19"/>
                <w:color w:val="auto"/>
              </w:rPr>
            </w:pPr>
          </w:p>
        </w:tc>
        <w:tc>
          <w:tcPr>
            <w:tcW w:w="1180" w:type="dxa"/>
            <w:vAlign w:val="bottom"/>
            <w:shd w:val="clear" w:color="auto" w:fill="E6E7E8"/>
          </w:tcPr>
          <w:p>
            <w:pPr>
              <w:spacing w:after="0"/>
              <w:rPr>
                <w:sz w:val="19"/>
                <w:szCs w:val="19"/>
                <w:color w:val="auto"/>
              </w:rPr>
            </w:pPr>
          </w:p>
        </w:tc>
        <w:tc>
          <w:tcPr>
            <w:tcW w:w="1520" w:type="dxa"/>
            <w:vAlign w:val="bottom"/>
            <w:shd w:val="clear" w:color="auto" w:fill="E6E7E8"/>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African American or Black</w:t>
            </w:r>
          </w:p>
        </w:tc>
        <w:tc>
          <w:tcPr>
            <w:tcW w:w="2040" w:type="dxa"/>
            <w:vAlign w:val="bottom"/>
          </w:tcPr>
          <w:p>
            <w:pPr>
              <w:jc w:val="center"/>
              <w:ind w:left="1008"/>
              <w:spacing w:after="0"/>
              <w:rPr>
                <w:sz w:val="20"/>
                <w:szCs w:val="20"/>
                <w:color w:val="auto"/>
              </w:rPr>
            </w:pPr>
            <w:r>
              <w:rPr>
                <w:rFonts w:ascii="Arial" w:cs="Arial" w:eastAsia="Arial" w:hAnsi="Arial"/>
                <w:sz w:val="14"/>
                <w:szCs w:val="14"/>
                <w:color w:val="auto"/>
              </w:rPr>
              <w:t>2</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5720" w:type="dxa"/>
            <w:vAlign w:val="bottom"/>
            <w:tcBorders>
              <w:bottom w:val="single" w:sz="8" w:color="939598"/>
            </w:tcBorders>
            <w:gridSpan w:val="2"/>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Alaskan Native or Native American</w:t>
            </w:r>
          </w:p>
        </w:tc>
        <w:tc>
          <w:tcPr>
            <w:tcW w:w="2040" w:type="dxa"/>
            <w:vAlign w:val="bottom"/>
          </w:tcPr>
          <w:p>
            <w:pPr>
              <w:jc w:val="center"/>
              <w:ind w:left="1028"/>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140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400" w:type="dxa"/>
            <w:vAlign w:val="bottom"/>
          </w:tcPr>
          <w:p>
            <w:pPr>
              <w:ind w:left="20"/>
              <w:spacing w:after="0"/>
              <w:rPr>
                <w:sz w:val="20"/>
                <w:szCs w:val="20"/>
                <w:color w:val="auto"/>
              </w:rPr>
            </w:pPr>
            <w:r>
              <w:rPr>
                <w:rFonts w:ascii="Arial" w:cs="Arial" w:eastAsia="Arial" w:hAnsi="Arial"/>
                <w:sz w:val="14"/>
                <w:szCs w:val="14"/>
                <w:color w:val="auto"/>
              </w:rPr>
              <w:t>Asian</w:t>
            </w:r>
          </w:p>
        </w:tc>
        <w:tc>
          <w:tcPr>
            <w:tcW w:w="4320" w:type="dxa"/>
            <w:vAlign w:val="bottom"/>
          </w:tcPr>
          <w:p>
            <w:pPr>
              <w:spacing w:after="0"/>
              <w:rPr>
                <w:sz w:val="17"/>
                <w:szCs w:val="17"/>
                <w:color w:val="auto"/>
              </w:rPr>
            </w:pPr>
          </w:p>
        </w:tc>
        <w:tc>
          <w:tcPr>
            <w:tcW w:w="2040" w:type="dxa"/>
            <w:vAlign w:val="bottom"/>
          </w:tcPr>
          <w:p>
            <w:pPr>
              <w:jc w:val="center"/>
              <w:ind w:left="1008"/>
              <w:spacing w:after="0"/>
              <w:rPr>
                <w:sz w:val="20"/>
                <w:szCs w:val="20"/>
                <w:color w:val="auto"/>
              </w:rPr>
            </w:pPr>
            <w:r>
              <w:rPr>
                <w:rFonts w:ascii="Arial" w:cs="Arial" w:eastAsia="Arial" w:hAnsi="Arial"/>
                <w:sz w:val="14"/>
                <w:szCs w:val="14"/>
                <w:color w:val="auto"/>
              </w:rPr>
              <w:t>1</w:t>
            </w:r>
          </w:p>
        </w:tc>
        <w:tc>
          <w:tcPr>
            <w:tcW w:w="760" w:type="dxa"/>
            <w:vAlign w:val="bottom"/>
          </w:tcPr>
          <w:p>
            <w:pPr>
              <w:jc w:val="center"/>
              <w:spacing w:after="0"/>
              <w:rPr>
                <w:sz w:val="20"/>
                <w:szCs w:val="20"/>
                <w:color w:val="auto"/>
              </w:rPr>
            </w:pPr>
            <w:r>
              <w:rPr>
                <w:rFonts w:ascii="Arial" w:cs="Arial" w:eastAsia="Arial" w:hAnsi="Arial"/>
                <w:sz w:val="14"/>
                <w:szCs w:val="14"/>
                <w:color w:val="auto"/>
              </w:rPr>
              <w:t>1</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140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400" w:type="dxa"/>
            <w:vAlign w:val="bottom"/>
          </w:tcPr>
          <w:p>
            <w:pPr>
              <w:ind w:left="20"/>
              <w:spacing w:after="0"/>
              <w:rPr>
                <w:sz w:val="20"/>
                <w:szCs w:val="20"/>
                <w:color w:val="auto"/>
              </w:rPr>
            </w:pPr>
            <w:r>
              <w:rPr>
                <w:rFonts w:ascii="Arial" w:cs="Arial" w:eastAsia="Arial" w:hAnsi="Arial"/>
                <w:sz w:val="14"/>
                <w:szCs w:val="14"/>
                <w:color w:val="auto"/>
              </w:rPr>
              <w:t>Hispanic or Latinx</w:t>
            </w:r>
          </w:p>
        </w:tc>
        <w:tc>
          <w:tcPr>
            <w:tcW w:w="4320" w:type="dxa"/>
            <w:vAlign w:val="bottom"/>
          </w:tcPr>
          <w:p>
            <w:pPr>
              <w:spacing w:after="0"/>
              <w:rPr>
                <w:sz w:val="17"/>
                <w:szCs w:val="17"/>
                <w:color w:val="auto"/>
              </w:rPr>
            </w:pPr>
          </w:p>
        </w:tc>
        <w:tc>
          <w:tcPr>
            <w:tcW w:w="2040" w:type="dxa"/>
            <w:vAlign w:val="bottom"/>
          </w:tcPr>
          <w:p>
            <w:pPr>
              <w:jc w:val="center"/>
              <w:ind w:left="1008"/>
              <w:spacing w:after="0"/>
              <w:rPr>
                <w:sz w:val="20"/>
                <w:szCs w:val="20"/>
                <w:color w:val="auto"/>
              </w:rPr>
            </w:pPr>
            <w:r>
              <w:rPr>
                <w:rFonts w:ascii="Arial" w:cs="Arial" w:eastAsia="Arial" w:hAnsi="Arial"/>
                <w:sz w:val="14"/>
                <w:szCs w:val="14"/>
                <w:color w:val="auto"/>
              </w:rPr>
              <w:t>1</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5720" w:type="dxa"/>
            <w:vAlign w:val="bottom"/>
            <w:tcBorders>
              <w:bottom w:val="single" w:sz="8" w:color="939598"/>
            </w:tcBorders>
            <w:gridSpan w:val="2"/>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Native Hawaiian or Pacific Islander</w:t>
            </w:r>
          </w:p>
        </w:tc>
        <w:tc>
          <w:tcPr>
            <w:tcW w:w="2040" w:type="dxa"/>
            <w:vAlign w:val="bottom"/>
          </w:tcPr>
          <w:p>
            <w:pPr>
              <w:jc w:val="center"/>
              <w:ind w:left="1028"/>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140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400" w:type="dxa"/>
            <w:vAlign w:val="bottom"/>
          </w:tcPr>
          <w:p>
            <w:pPr>
              <w:ind w:left="20"/>
              <w:spacing w:after="0"/>
              <w:rPr>
                <w:sz w:val="20"/>
                <w:szCs w:val="20"/>
                <w:color w:val="auto"/>
              </w:rPr>
            </w:pPr>
            <w:r>
              <w:rPr>
                <w:rFonts w:ascii="Arial" w:cs="Arial" w:eastAsia="Arial" w:hAnsi="Arial"/>
                <w:sz w:val="14"/>
                <w:szCs w:val="14"/>
                <w:color w:val="auto"/>
              </w:rPr>
              <w:t>White</w:t>
            </w:r>
          </w:p>
        </w:tc>
        <w:tc>
          <w:tcPr>
            <w:tcW w:w="4320" w:type="dxa"/>
            <w:vAlign w:val="bottom"/>
          </w:tcPr>
          <w:p>
            <w:pPr>
              <w:spacing w:after="0"/>
              <w:rPr>
                <w:sz w:val="17"/>
                <w:szCs w:val="17"/>
                <w:color w:val="auto"/>
              </w:rPr>
            </w:pPr>
          </w:p>
        </w:tc>
        <w:tc>
          <w:tcPr>
            <w:tcW w:w="2040" w:type="dxa"/>
            <w:vAlign w:val="bottom"/>
          </w:tcPr>
          <w:p>
            <w:pPr>
              <w:jc w:val="center"/>
              <w:ind w:left="1028"/>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7</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2"/>
        </w:trPr>
        <w:tc>
          <w:tcPr>
            <w:tcW w:w="5720" w:type="dxa"/>
            <w:vAlign w:val="bottom"/>
            <w:tcBorders>
              <w:bottom w:val="single" w:sz="8" w:color="939598"/>
            </w:tcBorders>
            <w:gridSpan w:val="2"/>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Two or More Races or Ethnicities</w:t>
            </w:r>
          </w:p>
        </w:tc>
        <w:tc>
          <w:tcPr>
            <w:tcW w:w="2040" w:type="dxa"/>
            <w:vAlign w:val="bottom"/>
          </w:tcPr>
          <w:p>
            <w:pPr>
              <w:jc w:val="center"/>
              <w:ind w:left="1028"/>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1"/>
        </w:trPr>
        <w:tc>
          <w:tcPr>
            <w:tcW w:w="1400" w:type="dxa"/>
            <w:vAlign w:val="bottom"/>
            <w:tcBorders>
              <w:bottom w:val="single" w:sz="8" w:color="939598"/>
            </w:tcBorders>
          </w:tcPr>
          <w:p>
            <w:pPr>
              <w:spacing w:after="0" w:line="20" w:lineRule="exact"/>
              <w:rPr>
                <w:sz w:val="1"/>
                <w:szCs w:val="1"/>
                <w:color w:val="auto"/>
              </w:rPr>
            </w:pPr>
          </w:p>
        </w:tc>
        <w:tc>
          <w:tcPr>
            <w:tcW w:w="4320" w:type="dxa"/>
            <w:vAlign w:val="bottom"/>
            <w:tcBorders>
              <w:bottom w:val="single" w:sz="8" w:color="939598"/>
            </w:tcBorders>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400" w:type="dxa"/>
            <w:vAlign w:val="bottom"/>
          </w:tcPr>
          <w:p>
            <w:pPr>
              <w:ind w:left="20"/>
              <w:spacing w:after="0"/>
              <w:rPr>
                <w:sz w:val="20"/>
                <w:szCs w:val="20"/>
                <w:color w:val="auto"/>
              </w:rPr>
            </w:pPr>
            <w:r>
              <w:rPr>
                <w:rFonts w:ascii="Arial" w:cs="Arial" w:eastAsia="Arial" w:hAnsi="Arial"/>
                <w:sz w:val="14"/>
                <w:szCs w:val="14"/>
                <w:color w:val="auto"/>
              </w:rPr>
              <w:t>LGBTQ+</w:t>
            </w:r>
          </w:p>
        </w:tc>
        <w:tc>
          <w:tcPr>
            <w:tcW w:w="4320" w:type="dxa"/>
            <w:vAlign w:val="bottom"/>
          </w:tcPr>
          <w:p>
            <w:pPr>
              <w:spacing w:after="0"/>
              <w:rPr>
                <w:sz w:val="17"/>
                <w:szCs w:val="17"/>
                <w:color w:val="auto"/>
              </w:rPr>
            </w:pPr>
          </w:p>
        </w:tc>
        <w:tc>
          <w:tcPr>
            <w:tcW w:w="2040" w:type="dxa"/>
            <w:vAlign w:val="bottom"/>
          </w:tcPr>
          <w:p>
            <w:pPr>
              <w:jc w:val="center"/>
              <w:ind w:left="1028"/>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1"/>
        </w:trPr>
        <w:tc>
          <w:tcPr>
            <w:tcW w:w="5720" w:type="dxa"/>
            <w:vAlign w:val="bottom"/>
            <w:tcBorders>
              <w:bottom w:val="single" w:sz="8" w:color="939598"/>
            </w:tcBorders>
            <w:gridSpan w:val="2"/>
          </w:tcPr>
          <w:p>
            <w:pPr>
              <w:spacing w:after="0" w:line="20" w:lineRule="exact"/>
              <w:rPr>
                <w:sz w:val="1"/>
                <w:szCs w:val="1"/>
                <w:color w:val="auto"/>
              </w:rPr>
            </w:pPr>
          </w:p>
        </w:tc>
        <w:tc>
          <w:tcPr>
            <w:tcW w:w="2040" w:type="dxa"/>
            <w:vAlign w:val="bottom"/>
            <w:tcBorders>
              <w:bottom w:val="single" w:sz="8" w:color="939598"/>
            </w:tcBorders>
          </w:tcPr>
          <w:p>
            <w:pPr>
              <w:spacing w:after="0" w:line="20" w:lineRule="exact"/>
              <w:rPr>
                <w:sz w:val="1"/>
                <w:szCs w:val="1"/>
                <w:color w:val="auto"/>
              </w:rPr>
            </w:pPr>
          </w:p>
        </w:tc>
        <w:tc>
          <w:tcPr>
            <w:tcW w:w="76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5720" w:type="dxa"/>
            <w:vAlign w:val="bottom"/>
            <w:gridSpan w:val="2"/>
          </w:tcPr>
          <w:p>
            <w:pPr>
              <w:ind w:left="20"/>
              <w:spacing w:after="0"/>
              <w:rPr>
                <w:sz w:val="20"/>
                <w:szCs w:val="20"/>
                <w:color w:val="auto"/>
              </w:rPr>
            </w:pPr>
            <w:r>
              <w:rPr>
                <w:rFonts w:ascii="Arial" w:cs="Arial" w:eastAsia="Arial" w:hAnsi="Arial"/>
                <w:sz w:val="14"/>
                <w:szCs w:val="14"/>
                <w:color w:val="auto"/>
              </w:rPr>
              <w:t>Did Not Disclose Demographic Background</w:t>
            </w:r>
          </w:p>
        </w:tc>
        <w:tc>
          <w:tcPr>
            <w:tcW w:w="2040" w:type="dxa"/>
            <w:vAlign w:val="bottom"/>
          </w:tcPr>
          <w:p>
            <w:pPr>
              <w:jc w:val="center"/>
              <w:ind w:left="1028"/>
              <w:spacing w:after="0"/>
              <w:rPr>
                <w:sz w:val="20"/>
                <w:szCs w:val="20"/>
                <w:color w:val="auto"/>
              </w:rPr>
            </w:pPr>
            <w:r>
              <w:rPr>
                <w:rFonts w:ascii="Arial" w:cs="Arial" w:eastAsia="Arial" w:hAnsi="Arial"/>
                <w:sz w:val="14"/>
                <w:szCs w:val="14"/>
                <w:color w:val="auto"/>
                <w:w w:val="99"/>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color w:val="auto"/>
                <w:w w:val="99"/>
              </w:rPr>
              <w:t>—</w:t>
            </w:r>
          </w:p>
        </w:tc>
      </w:tr>
      <w:tr>
        <w:trPr>
          <w:trHeight w:val="21"/>
        </w:trPr>
        <w:tc>
          <w:tcPr>
            <w:tcW w:w="1400" w:type="dxa"/>
            <w:vAlign w:val="bottom"/>
            <w:tcBorders>
              <w:bottom w:val="single" w:sz="8" w:color="D7282F"/>
            </w:tcBorders>
          </w:tcPr>
          <w:p>
            <w:pPr>
              <w:spacing w:after="0" w:line="20" w:lineRule="exact"/>
              <w:rPr>
                <w:sz w:val="1"/>
                <w:szCs w:val="1"/>
                <w:color w:val="auto"/>
              </w:rPr>
            </w:pPr>
          </w:p>
        </w:tc>
        <w:tc>
          <w:tcPr>
            <w:tcW w:w="4320" w:type="dxa"/>
            <w:vAlign w:val="bottom"/>
            <w:tcBorders>
              <w:bottom w:val="single" w:sz="8" w:color="D7282F"/>
            </w:tcBorders>
          </w:tcPr>
          <w:p>
            <w:pPr>
              <w:spacing w:after="0" w:line="20" w:lineRule="exact"/>
              <w:rPr>
                <w:sz w:val="1"/>
                <w:szCs w:val="1"/>
                <w:color w:val="auto"/>
              </w:rPr>
            </w:pPr>
          </w:p>
        </w:tc>
        <w:tc>
          <w:tcPr>
            <w:tcW w:w="2040" w:type="dxa"/>
            <w:vAlign w:val="bottom"/>
            <w:tcBorders>
              <w:bottom w:val="single" w:sz="8" w:color="D7282F"/>
            </w:tcBorders>
          </w:tcPr>
          <w:p>
            <w:pPr>
              <w:spacing w:after="0" w:line="20" w:lineRule="exact"/>
              <w:rPr>
                <w:sz w:val="1"/>
                <w:szCs w:val="1"/>
                <w:color w:val="auto"/>
              </w:rPr>
            </w:pPr>
          </w:p>
        </w:tc>
        <w:tc>
          <w:tcPr>
            <w:tcW w:w="760" w:type="dxa"/>
            <w:vAlign w:val="bottom"/>
            <w:tcBorders>
              <w:bottom w:val="single" w:sz="8" w:color="D7282F"/>
            </w:tcBorders>
          </w:tcPr>
          <w:p>
            <w:pPr>
              <w:spacing w:after="0" w:line="20" w:lineRule="exact"/>
              <w:rPr>
                <w:sz w:val="1"/>
                <w:szCs w:val="1"/>
                <w:color w:val="auto"/>
              </w:rPr>
            </w:pPr>
          </w:p>
        </w:tc>
        <w:tc>
          <w:tcPr>
            <w:tcW w:w="1180" w:type="dxa"/>
            <w:vAlign w:val="bottom"/>
            <w:tcBorders>
              <w:bottom w:val="single" w:sz="8" w:color="D7282F"/>
            </w:tcBorders>
          </w:tcPr>
          <w:p>
            <w:pPr>
              <w:spacing w:after="0" w:line="20" w:lineRule="exact"/>
              <w:rPr>
                <w:sz w:val="1"/>
                <w:szCs w:val="1"/>
                <w:color w:val="auto"/>
              </w:rPr>
            </w:pPr>
          </w:p>
        </w:tc>
        <w:tc>
          <w:tcPr>
            <w:tcW w:w="1520" w:type="dxa"/>
            <w:vAlign w:val="bottom"/>
            <w:tcBorders>
              <w:bottom w:val="single" w:sz="8" w:color="D728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6"/>
        </w:trPr>
        <w:tc>
          <w:tcPr>
            <w:tcW w:w="1400" w:type="dxa"/>
            <w:vAlign w:val="bottom"/>
          </w:tcPr>
          <w:p>
            <w:pPr>
              <w:ind w:left="20"/>
              <w:spacing w:after="0"/>
              <w:rPr>
                <w:sz w:val="20"/>
                <w:szCs w:val="20"/>
                <w:color w:val="auto"/>
              </w:rPr>
            </w:pPr>
            <w:r>
              <w:rPr>
                <w:rFonts w:ascii="Arial" w:cs="Arial" w:eastAsia="Arial" w:hAnsi="Arial"/>
                <w:sz w:val="18"/>
                <w:szCs w:val="18"/>
                <w:b w:val="1"/>
                <w:bCs w:val="1"/>
                <w:color w:val="auto"/>
              </w:rPr>
              <w:t>20</w:t>
            </w:r>
          </w:p>
        </w:tc>
        <w:tc>
          <w:tcPr>
            <w:tcW w:w="4320" w:type="dxa"/>
            <w:vAlign w:val="bottom"/>
          </w:tcPr>
          <w:p>
            <w:pPr>
              <w:ind w:left="240"/>
              <w:spacing w:after="0"/>
              <w:rPr>
                <w:sz w:val="20"/>
                <w:szCs w:val="20"/>
                <w:color w:val="auto"/>
              </w:rPr>
            </w:pPr>
            <w:r>
              <w:rPr>
                <w:rFonts w:ascii="Arial" w:cs="Arial" w:eastAsia="Arial" w:hAnsi="Arial"/>
                <w:sz w:val="13"/>
                <w:szCs w:val="13"/>
                <w:b w:val="1"/>
                <w:bCs w:val="1"/>
                <w:color w:val="6D6E71"/>
              </w:rPr>
              <w:t>|   2024 NOTICE AND PROXY STATEMENT</w:t>
            </w:r>
          </w:p>
        </w:tc>
        <w:tc>
          <w:tcPr>
            <w:tcW w:w="2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14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548640" cy="1028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NOMINEES FOR ELECTION</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DARIUS ADAMCZYK</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EXECUTIVE CHAIRMAN,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625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23430" cy="36258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EE2724"/>
        </w:rPr>
        <w:t>7</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58</w:t>
      </w:r>
    </w:p>
    <w:p>
      <w:pPr>
        <w:spacing w:after="0" w:line="118" w:lineRule="exact"/>
        <w:rPr>
          <w:sz w:val="20"/>
          <w:szCs w:val="20"/>
          <w:color w:val="auto"/>
        </w:rPr>
      </w:pPr>
    </w:p>
    <w:p>
      <w:pPr>
        <w:ind w:lef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26"/>
        </w:numPr>
        <w:rPr>
          <w:rFonts w:ascii="Arial" w:cs="Arial" w:eastAsia="Arial" w:hAnsi="Arial"/>
          <w:sz w:val="16"/>
          <w:szCs w:val="16"/>
          <w:b w:val="1"/>
          <w:bCs w:val="1"/>
          <w:color w:val="D7282F"/>
        </w:rPr>
      </w:pPr>
      <w:r>
        <w:rPr>
          <w:rFonts w:ascii="Arial" w:cs="Arial" w:eastAsia="Arial" w:hAnsi="Arial"/>
          <w:sz w:val="16"/>
          <w:szCs w:val="16"/>
          <w:color w:val="auto"/>
        </w:rPr>
        <w:t>Johnson &amp; Johnson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27"/>
        </w:numPr>
        <w:rPr>
          <w:rFonts w:ascii="Arial" w:cs="Arial" w:eastAsia="Arial" w:hAnsi="Arial"/>
          <w:sz w:val="16"/>
          <w:szCs w:val="16"/>
          <w:b w:val="1"/>
          <w:bCs w:val="1"/>
          <w:color w:val="D7282F"/>
        </w:rPr>
      </w:pPr>
      <w:r>
        <w:rPr>
          <w:rFonts w:ascii="Arial" w:cs="Arial" w:eastAsia="Arial" w:hAnsi="Arial"/>
          <w:sz w:val="16"/>
          <w:szCs w:val="16"/>
          <w:color w:val="auto"/>
        </w:rPr>
        <w:t>Garrett Motion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DUNCAN B. ANGOVE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Chairman of Honeywell International Inc. since April 2018. Retiring from the Board on June 7, 2024.</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Served as Chairman and Chief Executive Officer of Honeywell International Inc. from April 2018 to June 2023.</w:t>
      </w:r>
    </w:p>
    <w:p>
      <w:pPr>
        <w:spacing w:after="0" w:line="59" w:lineRule="exact"/>
        <w:rPr>
          <w:rFonts w:ascii="Arial" w:cs="Arial" w:eastAsia="Arial" w:hAnsi="Arial"/>
          <w:sz w:val="16"/>
          <w:szCs w:val="16"/>
          <w:b w:val="1"/>
          <w:bCs w:val="1"/>
          <w:color w:val="D7282F"/>
        </w:rPr>
      </w:pPr>
    </w:p>
    <w:p>
      <w:pPr>
        <w:ind w:left="200" w:right="100" w:hanging="192"/>
        <w:spacing w:after="0" w:line="268" w:lineRule="auto"/>
        <w:tabs>
          <w:tab w:leader="none" w:pos="197"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Was President and Chief Executive Officer from March 2017 to April 2018 and Chief Operating Officer from April 2016 to March 2017.</w:t>
      </w:r>
    </w:p>
    <w:p>
      <w:pPr>
        <w:spacing w:after="0" w:line="21" w:lineRule="exact"/>
        <w:rPr>
          <w:rFonts w:ascii="Arial" w:cs="Arial" w:eastAsia="Arial" w:hAnsi="Arial"/>
          <w:sz w:val="16"/>
          <w:szCs w:val="16"/>
          <w:b w:val="1"/>
          <w:bCs w:val="1"/>
          <w:color w:val="D7282F"/>
        </w:rPr>
      </w:pPr>
    </w:p>
    <w:p>
      <w:pPr>
        <w:ind w:left="200" w:right="180" w:hanging="192"/>
        <w:spacing w:after="0" w:line="268" w:lineRule="auto"/>
        <w:tabs>
          <w:tab w:leader="none" w:pos="197"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Served as President and CEO of Honeywell Performance Materials and Technologies (PMT) from April 2014 to April 2016.</w:t>
      </w:r>
    </w:p>
    <w:p>
      <w:pPr>
        <w:spacing w:after="0" w:line="7" w:lineRule="exact"/>
        <w:rPr>
          <w:rFonts w:ascii="Arial" w:cs="Arial" w:eastAsia="Arial" w:hAnsi="Arial"/>
          <w:sz w:val="16"/>
          <w:szCs w:val="16"/>
          <w:b w:val="1"/>
          <w:bCs w:val="1"/>
          <w:color w:val="D7282F"/>
        </w:rPr>
      </w:pPr>
    </w:p>
    <w:p>
      <w:pPr>
        <w:ind w:left="200" w:right="760" w:hanging="192"/>
        <w:spacing w:after="0" w:line="281" w:lineRule="auto"/>
        <w:tabs>
          <w:tab w:leader="none" w:pos="197"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Served as President of Honeywell Process Solutions from 2012 to 2014 and as President of Honeywell Scanning and Mobility from 2008 to 2012.</w:t>
      </w:r>
    </w:p>
    <w:p>
      <w:pPr>
        <w:spacing w:after="0" w:line="1"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Joined Honeywell in 2008 when Honeywell acquired Metrologic, Inc., where he was the Chief Executive Officer.</w:t>
      </w:r>
    </w:p>
    <w:p>
      <w:pPr>
        <w:spacing w:after="0" w:line="72" w:lineRule="exact"/>
        <w:rPr>
          <w:rFonts w:ascii="Arial" w:cs="Arial" w:eastAsia="Arial" w:hAnsi="Arial"/>
          <w:sz w:val="16"/>
          <w:szCs w:val="16"/>
          <w:b w:val="1"/>
          <w:bCs w:val="1"/>
          <w:color w:val="D7282F"/>
        </w:rPr>
      </w:pPr>
    </w:p>
    <w:p>
      <w:pPr>
        <w:ind w:left="200" w:right="340" w:hanging="192"/>
        <w:spacing w:after="0" w:line="268" w:lineRule="auto"/>
        <w:tabs>
          <w:tab w:leader="none" w:pos="197" w:val="left"/>
        </w:tabs>
        <w:numPr>
          <w:ilvl w:val="0"/>
          <w:numId w:val="28"/>
        </w:numPr>
        <w:rPr>
          <w:rFonts w:ascii="Arial" w:cs="Arial" w:eastAsia="Arial" w:hAnsi="Arial"/>
          <w:sz w:val="16"/>
          <w:szCs w:val="16"/>
          <w:b w:val="1"/>
          <w:bCs w:val="1"/>
          <w:color w:val="D7282F"/>
        </w:rPr>
      </w:pPr>
      <w:r>
        <w:rPr>
          <w:rFonts w:ascii="Arial" w:cs="Arial" w:eastAsia="Arial" w:hAnsi="Arial"/>
          <w:sz w:val="16"/>
          <w:szCs w:val="16"/>
          <w:color w:val="auto"/>
        </w:rPr>
        <w:t>Previously held several general management assignments at Ingersoll Rand, served as a senior associate at Booz Allen Hamilton, and started his career as an electrical engineer at General Electric.</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24"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hanging="197"/>
        <w:spacing w:after="0"/>
        <w:tabs>
          <w:tab w:leader="none" w:pos="400" w:val="left"/>
        </w:tabs>
        <w:numPr>
          <w:ilvl w:val="1"/>
          <w:numId w:val="28"/>
        </w:numPr>
        <w:rPr>
          <w:rFonts w:ascii="Arial" w:cs="Arial" w:eastAsia="Arial" w:hAnsi="Arial"/>
          <w:sz w:val="16"/>
          <w:szCs w:val="16"/>
          <w:b w:val="1"/>
          <w:bCs w:val="1"/>
          <w:color w:val="D7282F"/>
        </w:rPr>
      </w:pPr>
      <w:r>
        <w:rPr>
          <w:rFonts w:ascii="Arial" w:cs="Arial" w:eastAsia="Arial" w:hAnsi="Arial"/>
          <w:sz w:val="16"/>
          <w:szCs w:val="16"/>
          <w:color w:val="auto"/>
        </w:rPr>
        <w:t>Senior leadership roles in global organizations, both large and small.</w:t>
      </w:r>
    </w:p>
    <w:p>
      <w:pPr>
        <w:spacing w:after="0" w:line="59" w:lineRule="exact"/>
        <w:rPr>
          <w:rFonts w:ascii="Arial" w:cs="Arial" w:eastAsia="Arial" w:hAnsi="Arial"/>
          <w:sz w:val="16"/>
          <w:szCs w:val="16"/>
          <w:b w:val="1"/>
          <w:bCs w:val="1"/>
          <w:color w:val="D7282F"/>
        </w:rPr>
      </w:pPr>
    </w:p>
    <w:p>
      <w:pPr>
        <w:ind w:left="400" w:right="400" w:hanging="197"/>
        <w:spacing w:after="0" w:line="281" w:lineRule="auto"/>
        <w:tabs>
          <w:tab w:leader="none" w:pos="397" w:val="left"/>
        </w:tabs>
        <w:numPr>
          <w:ilvl w:val="1"/>
          <w:numId w:val="28"/>
        </w:numPr>
        <w:rPr>
          <w:rFonts w:ascii="Arial" w:cs="Arial" w:eastAsia="Arial" w:hAnsi="Arial"/>
          <w:sz w:val="16"/>
          <w:szCs w:val="16"/>
          <w:b w:val="1"/>
          <w:bCs w:val="1"/>
          <w:color w:val="D7282F"/>
        </w:rPr>
      </w:pPr>
      <w:r>
        <w:rPr>
          <w:rFonts w:ascii="Arial" w:cs="Arial" w:eastAsia="Arial" w:hAnsi="Arial"/>
          <w:sz w:val="16"/>
          <w:szCs w:val="16"/>
          <w:color w:val="auto"/>
        </w:rPr>
        <w:t>Deep understanding of software, both technically and commercially, and a proven track record in growing software-related businesses at Honeywell.</w:t>
      </w:r>
    </w:p>
    <w:p>
      <w:pPr>
        <w:spacing w:after="0" w:line="1" w:lineRule="exact"/>
        <w:rPr>
          <w:rFonts w:ascii="Arial" w:cs="Arial" w:eastAsia="Arial" w:hAnsi="Arial"/>
          <w:sz w:val="16"/>
          <w:szCs w:val="16"/>
          <w:b w:val="1"/>
          <w:bCs w:val="1"/>
          <w:color w:val="D7282F"/>
        </w:rPr>
      </w:pPr>
    </w:p>
    <w:p>
      <w:pPr>
        <w:ind w:left="400" w:right="280" w:hanging="197"/>
        <w:spacing w:after="0" w:line="268" w:lineRule="auto"/>
        <w:tabs>
          <w:tab w:leader="none" w:pos="397" w:val="left"/>
        </w:tabs>
        <w:numPr>
          <w:ilvl w:val="1"/>
          <w:numId w:val="28"/>
        </w:numPr>
        <w:rPr>
          <w:rFonts w:ascii="Arial" w:cs="Arial" w:eastAsia="Arial" w:hAnsi="Arial"/>
          <w:sz w:val="16"/>
          <w:szCs w:val="16"/>
          <w:b w:val="1"/>
          <w:bCs w:val="1"/>
          <w:color w:val="D7282F"/>
        </w:rPr>
      </w:pPr>
      <w:r>
        <w:rPr>
          <w:rFonts w:ascii="Arial" w:cs="Arial" w:eastAsia="Arial" w:hAnsi="Arial"/>
          <w:sz w:val="16"/>
          <w:szCs w:val="16"/>
          <w:color w:val="auto"/>
        </w:rPr>
        <w:t>Demonstrated ability to deliver financial results as a leader in a variety of different industries, with disparate business models, technologies, and customers.</w:t>
      </w:r>
    </w:p>
    <w:p>
      <w:pPr>
        <w:spacing w:after="0" w:line="21" w:lineRule="exact"/>
        <w:rPr>
          <w:rFonts w:ascii="Arial" w:cs="Arial" w:eastAsia="Arial" w:hAnsi="Arial"/>
          <w:sz w:val="16"/>
          <w:szCs w:val="16"/>
          <w:b w:val="1"/>
          <w:bCs w:val="1"/>
          <w:color w:val="D7282F"/>
        </w:rPr>
      </w:pPr>
    </w:p>
    <w:p>
      <w:pPr>
        <w:jc w:val="both"/>
        <w:ind w:left="400" w:right="460" w:hanging="197"/>
        <w:spacing w:after="0" w:line="248" w:lineRule="auto"/>
        <w:tabs>
          <w:tab w:leader="none" w:pos="397" w:val="left"/>
        </w:tabs>
        <w:numPr>
          <w:ilvl w:val="1"/>
          <w:numId w:val="28"/>
        </w:numPr>
        <w:rPr>
          <w:rFonts w:ascii="Arial" w:cs="Arial" w:eastAsia="Arial" w:hAnsi="Arial"/>
          <w:sz w:val="16"/>
          <w:szCs w:val="16"/>
          <w:b w:val="1"/>
          <w:bCs w:val="1"/>
          <w:color w:val="D7282F"/>
        </w:rPr>
      </w:pPr>
      <w:r>
        <w:rPr>
          <w:rFonts w:ascii="Arial" w:cs="Arial" w:eastAsia="Arial" w:hAnsi="Arial"/>
          <w:sz w:val="16"/>
          <w:szCs w:val="16"/>
          <w:color w:val="auto"/>
        </w:rPr>
        <w:t>During tenure as Honeywell's CEO, demonstrated strategic leadership skills that grew Honeywell's sales organically and inorganically while meeting the challenges of a constantly changing environment across Honeywell’s diverse business portfolio.</w:t>
      </w:r>
    </w:p>
    <w:p>
      <w:pPr>
        <w:spacing w:after="0" w:line="569"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CHIEF EXECUTIVE OFFICER, BLUE YONDER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2829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23430" cy="32829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EE2724"/>
        </w:rPr>
        <w:t>6</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57</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12" w:lineRule="exact"/>
        <w:rPr>
          <w:sz w:val="20"/>
          <w:szCs w:val="20"/>
          <w:color w:val="auto"/>
        </w:rPr>
      </w:pPr>
    </w:p>
    <w:p>
      <w:pPr>
        <w:ind w:left="220" w:right="440" w:hanging="194"/>
        <w:spacing w:after="0" w:line="283" w:lineRule="auto"/>
        <w:tabs>
          <w:tab w:leader="none" w:pos="217" w:val="left"/>
        </w:tabs>
        <w:numPr>
          <w:ilvl w:val="0"/>
          <w:numId w:val="29"/>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22" w:lineRule="exact"/>
        <w:rPr>
          <w:rFonts w:ascii="Arial" w:cs="Arial" w:eastAsia="Arial" w:hAnsi="Arial"/>
          <w:sz w:val="16"/>
          <w:szCs w:val="16"/>
          <w:b w:val="1"/>
          <w:bCs w:val="1"/>
          <w:color w:val="D7282F"/>
        </w:rPr>
      </w:pPr>
    </w:p>
    <w:p>
      <w:pPr>
        <w:ind w:left="220" w:right="140" w:hanging="194"/>
        <w:spacing w:after="0" w:line="286" w:lineRule="auto"/>
        <w:tabs>
          <w:tab w:leader="none" w:pos="217" w:val="left"/>
        </w:tabs>
        <w:numPr>
          <w:ilvl w:val="0"/>
          <w:numId w:val="29"/>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w:t>
      </w:r>
    </w:p>
    <w:p>
      <w:pPr>
        <w:spacing w:after="0" w:line="25" w:lineRule="exact"/>
        <w:rPr>
          <w:sz w:val="20"/>
          <w:szCs w:val="20"/>
          <w:color w:val="auto"/>
        </w:rPr>
      </w:pPr>
    </w:p>
    <w:p>
      <w:pPr>
        <w:ind w:left="20"/>
        <w:spacing w:after="0" w:line="25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31"/>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right="40" w:hanging="192"/>
        <w:spacing w:after="0" w:line="268" w:lineRule="auto"/>
        <w:tabs>
          <w:tab w:leader="none" w:pos="197"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Chief Executive Officer of Blue Yonder Group, Inc., a provider of digital supply chain and omnichannel commerce fulfillment cloud software, since July 2022.</w:t>
      </w:r>
    </w:p>
    <w:p>
      <w:pPr>
        <w:spacing w:after="0" w:line="7" w:lineRule="exact"/>
        <w:rPr>
          <w:rFonts w:ascii="Arial" w:cs="Arial" w:eastAsia="Arial" w:hAnsi="Arial"/>
          <w:sz w:val="16"/>
          <w:szCs w:val="16"/>
          <w:b w:val="1"/>
          <w:bCs w:val="1"/>
          <w:color w:val="D7282F"/>
        </w:rPr>
      </w:pPr>
    </w:p>
    <w:p>
      <w:pPr>
        <w:ind w:left="200" w:right="380" w:hanging="192"/>
        <w:spacing w:after="0" w:line="281" w:lineRule="auto"/>
        <w:tabs>
          <w:tab w:leader="none" w:pos="197"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Served as Managing Partner of Arcspring LLC, a next-generation private equity firm that combines capital, technology, operational expertise, and design-thinking to unlock exponential growth, from 2019 to July 2022.</w:t>
      </w:r>
    </w:p>
    <w:p>
      <w:pPr>
        <w:spacing w:after="0" w:line="1" w:lineRule="exact"/>
        <w:rPr>
          <w:rFonts w:ascii="Arial" w:cs="Arial" w:eastAsia="Arial" w:hAnsi="Arial"/>
          <w:sz w:val="16"/>
          <w:szCs w:val="16"/>
          <w:b w:val="1"/>
          <w:bCs w:val="1"/>
          <w:color w:val="D7282F"/>
        </w:rPr>
      </w:pPr>
    </w:p>
    <w:p>
      <w:pPr>
        <w:ind w:left="200" w:right="420" w:hanging="192"/>
        <w:spacing w:after="0" w:line="268" w:lineRule="auto"/>
        <w:tabs>
          <w:tab w:leader="none" w:pos="197"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Served as President of Infor, Inc., a privately held provider of enterprise software and a strategic technology partner for more than 90,000 organizations worldwide, from 2010 to 2018.</w:t>
      </w:r>
    </w:p>
    <w:p>
      <w:pPr>
        <w:spacing w:after="0" w:line="21" w:lineRule="exact"/>
        <w:rPr>
          <w:rFonts w:ascii="Arial" w:cs="Arial" w:eastAsia="Arial" w:hAnsi="Arial"/>
          <w:sz w:val="16"/>
          <w:szCs w:val="16"/>
          <w:b w:val="1"/>
          <w:bCs w:val="1"/>
          <w:color w:val="D7282F"/>
        </w:rPr>
      </w:pPr>
    </w:p>
    <w:p>
      <w:pPr>
        <w:ind w:left="200" w:right="80" w:hanging="192"/>
        <w:spacing w:after="0" w:line="268" w:lineRule="auto"/>
        <w:tabs>
          <w:tab w:leader="none" w:pos="197"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Served as Senior Vice President and General Manager of the Retail Global Business Unit of Oracle Corporation, a global technology provider of enterprise software, hardware, and services, from 2005 to 2010.</w:t>
      </w:r>
    </w:p>
    <w:p>
      <w:pPr>
        <w:spacing w:after="0" w:line="7" w:lineRule="exact"/>
        <w:rPr>
          <w:rFonts w:ascii="Arial" w:cs="Arial" w:eastAsia="Arial" w:hAnsi="Arial"/>
          <w:sz w:val="16"/>
          <w:szCs w:val="16"/>
          <w:b w:val="1"/>
          <w:bCs w:val="1"/>
          <w:color w:val="D7282F"/>
        </w:rPr>
      </w:pPr>
    </w:p>
    <w:p>
      <w:pPr>
        <w:ind w:left="200" w:right="140" w:hanging="192"/>
        <w:spacing w:after="0" w:line="286" w:lineRule="auto"/>
        <w:tabs>
          <w:tab w:leader="none" w:pos="197" w:val="left"/>
        </w:tabs>
        <w:numPr>
          <w:ilvl w:val="0"/>
          <w:numId w:val="32"/>
        </w:numPr>
        <w:rPr>
          <w:rFonts w:ascii="Arial" w:cs="Arial" w:eastAsia="Arial" w:hAnsi="Arial"/>
          <w:sz w:val="16"/>
          <w:szCs w:val="16"/>
          <w:b w:val="1"/>
          <w:bCs w:val="1"/>
          <w:color w:val="D7282F"/>
        </w:rPr>
      </w:pPr>
      <w:r>
        <w:rPr>
          <w:rFonts w:ascii="Arial" w:cs="Arial" w:eastAsia="Arial" w:hAnsi="Arial"/>
          <w:sz w:val="16"/>
          <w:szCs w:val="16"/>
          <w:color w:val="auto"/>
        </w:rPr>
        <w:t>Joined Oracle through its acquisition of Retek Inc., then a publicly traded provider of software solutions and services to the retail industry, where he served in various roles of increasing responsibility from 1997 until 2005.</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24"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63" w:lineRule="exact"/>
        <w:rPr>
          <w:rFonts w:ascii="Arial" w:cs="Arial" w:eastAsia="Arial" w:hAnsi="Arial"/>
          <w:sz w:val="16"/>
          <w:szCs w:val="16"/>
          <w:b w:val="1"/>
          <w:bCs w:val="1"/>
          <w:color w:val="D7282F"/>
        </w:rPr>
      </w:pPr>
    </w:p>
    <w:p>
      <w:pPr>
        <w:ind w:left="400" w:right="820" w:hanging="197"/>
        <w:spacing w:after="0" w:line="286" w:lineRule="auto"/>
        <w:tabs>
          <w:tab w:leader="none" w:pos="397" w:val="left"/>
        </w:tabs>
        <w:numPr>
          <w:ilvl w:val="1"/>
          <w:numId w:val="32"/>
        </w:numPr>
        <w:rPr>
          <w:rFonts w:ascii="Arial" w:cs="Arial" w:eastAsia="Arial" w:hAnsi="Arial"/>
          <w:sz w:val="16"/>
          <w:szCs w:val="16"/>
          <w:b w:val="1"/>
          <w:bCs w:val="1"/>
          <w:color w:val="D7282F"/>
        </w:rPr>
      </w:pPr>
      <w:r>
        <w:rPr>
          <w:rFonts w:ascii="Arial" w:cs="Arial" w:eastAsia="Arial" w:hAnsi="Arial"/>
          <w:sz w:val="16"/>
          <w:szCs w:val="16"/>
          <w:color w:val="auto"/>
        </w:rPr>
        <w:t>Senior technology industry leader with global operating experience, including in software and digital transformation, and skilled at driving value creation.</w:t>
      </w:r>
    </w:p>
    <w:p>
      <w:pPr>
        <w:spacing w:after="0" w:line="7" w:lineRule="exact"/>
        <w:rPr>
          <w:rFonts w:ascii="Arial" w:cs="Arial" w:eastAsia="Arial" w:hAnsi="Arial"/>
          <w:sz w:val="16"/>
          <w:szCs w:val="16"/>
          <w:b w:val="1"/>
          <w:bCs w:val="1"/>
          <w:color w:val="D7282F"/>
        </w:rPr>
      </w:pPr>
    </w:p>
    <w:p>
      <w:pPr>
        <w:ind w:left="400" w:right="200" w:hanging="197"/>
        <w:spacing w:after="0" w:line="268" w:lineRule="auto"/>
        <w:tabs>
          <w:tab w:leader="none" w:pos="397" w:val="left"/>
        </w:tabs>
        <w:numPr>
          <w:ilvl w:val="1"/>
          <w:numId w:val="32"/>
        </w:numPr>
        <w:rPr>
          <w:rFonts w:ascii="Arial" w:cs="Arial" w:eastAsia="Arial" w:hAnsi="Arial"/>
          <w:sz w:val="16"/>
          <w:szCs w:val="16"/>
          <w:b w:val="1"/>
          <w:bCs w:val="1"/>
          <w:color w:val="D7282F"/>
        </w:rPr>
      </w:pPr>
      <w:r>
        <w:rPr>
          <w:rFonts w:ascii="Arial" w:cs="Arial" w:eastAsia="Arial" w:hAnsi="Arial"/>
          <w:sz w:val="16"/>
          <w:szCs w:val="16"/>
          <w:color w:val="auto"/>
        </w:rPr>
        <w:t>Deep understanding of the trends across enterprise cloud, infrastructure software, digital, and the Internet of Things, and the corresponding risks, including cybersecurity and data privacy compliance.</w:t>
      </w:r>
    </w:p>
    <w:p>
      <w:pPr>
        <w:spacing w:after="0" w:line="7" w:lineRule="exact"/>
        <w:rPr>
          <w:rFonts w:ascii="Arial" w:cs="Arial" w:eastAsia="Arial" w:hAnsi="Arial"/>
          <w:sz w:val="16"/>
          <w:szCs w:val="16"/>
          <w:b w:val="1"/>
          <w:bCs w:val="1"/>
          <w:color w:val="D7282F"/>
        </w:rPr>
      </w:pPr>
    </w:p>
    <w:p>
      <w:pPr>
        <w:ind w:left="400" w:right="360" w:hanging="197"/>
        <w:spacing w:after="0" w:line="286" w:lineRule="auto"/>
        <w:tabs>
          <w:tab w:leader="none" w:pos="397" w:val="left"/>
        </w:tabs>
        <w:numPr>
          <w:ilvl w:val="1"/>
          <w:numId w:val="32"/>
        </w:numPr>
        <w:rPr>
          <w:rFonts w:ascii="Arial" w:cs="Arial" w:eastAsia="Arial" w:hAnsi="Arial"/>
          <w:sz w:val="16"/>
          <w:szCs w:val="16"/>
          <w:b w:val="1"/>
          <w:bCs w:val="1"/>
          <w:color w:val="D7282F"/>
        </w:rPr>
      </w:pPr>
      <w:r>
        <w:rPr>
          <w:rFonts w:ascii="Arial" w:cs="Arial" w:eastAsia="Arial" w:hAnsi="Arial"/>
          <w:sz w:val="16"/>
          <w:szCs w:val="16"/>
          <w:color w:val="auto"/>
        </w:rPr>
        <w:t>Extensive experience in corporate strategy, mergers and acquisitions, sales, marketing, and business and product development.</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WILLIAM S. AYER</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RETIRED CHAIRMAN AND CHIEF EXECUTIVE OFFICER, ALASKA AIR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437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23430" cy="3437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EE2724"/>
        </w:rPr>
        <w:t>9</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69</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Incoming Lead Director</w:t>
      </w:r>
      <w:r>
        <w:rPr>
          <w:rFonts w:ascii="Arial" w:cs="Arial" w:eastAsia="Arial" w:hAnsi="Arial"/>
          <w:sz w:val="21"/>
          <w:szCs w:val="21"/>
          <w:b w:val="1"/>
          <w:bCs w:val="1"/>
          <w:color w:val="auto"/>
          <w:vertAlign w:val="superscript"/>
        </w:rPr>
        <w:t>(1)</w:t>
      </w:r>
    </w:p>
    <w:p>
      <w:pPr>
        <w:ind w:left="20"/>
        <w:spacing w:after="0"/>
        <w:rPr>
          <w:sz w:val="20"/>
          <w:szCs w:val="20"/>
          <w:color w:val="auto"/>
        </w:rPr>
      </w:pPr>
      <w:r>
        <w:rPr>
          <w:rFonts w:ascii="Arial" w:cs="Arial" w:eastAsia="Arial" w:hAnsi="Arial"/>
          <w:sz w:val="14"/>
          <w:szCs w:val="14"/>
          <w:b w:val="1"/>
          <w:bCs w:val="1"/>
          <w:color w:val="D7282F"/>
        </w:rPr>
        <w:t>COMMITTEES:</w:t>
      </w:r>
      <w:r>
        <w:rPr>
          <w:rFonts w:ascii="Arial" w:cs="Arial" w:eastAsia="Arial" w:hAnsi="Arial"/>
          <w:sz w:val="18"/>
          <w:szCs w:val="18"/>
          <w:b w:val="1"/>
          <w:bCs w:val="1"/>
          <w:color w:val="D7282F"/>
          <w:vertAlign w:val="superscript"/>
        </w:rPr>
        <w:t>(1)</w:t>
      </w:r>
    </w:p>
    <w:p>
      <w:pPr>
        <w:ind w:left="220" w:hanging="194"/>
        <w:spacing w:after="0"/>
        <w:tabs>
          <w:tab w:leader="none" w:pos="220" w:val="left"/>
        </w:tabs>
        <w:numPr>
          <w:ilvl w:val="0"/>
          <w:numId w:val="33"/>
        </w:numPr>
        <w:rPr>
          <w:rFonts w:ascii="Arial" w:cs="Arial" w:eastAsia="Arial" w:hAnsi="Arial"/>
          <w:sz w:val="16"/>
          <w:szCs w:val="16"/>
          <w:b w:val="1"/>
          <w:bCs w:val="1"/>
          <w:color w:val="D7282F"/>
        </w:rPr>
      </w:pPr>
      <w:r>
        <w:rPr>
          <w:rFonts w:ascii="Arial" w:cs="Arial" w:eastAsia="Arial" w:hAnsi="Arial"/>
          <w:sz w:val="16"/>
          <w:szCs w:val="16"/>
          <w:color w:val="auto"/>
        </w:rPr>
        <w:t xml:space="preserve">Audit </w:t>
      </w:r>
      <w:r>
        <w:rPr>
          <w:rFonts w:ascii="Arial" w:cs="Arial" w:eastAsia="Arial" w:hAnsi="Arial"/>
          <w:sz w:val="16"/>
          <w:szCs w:val="16"/>
          <w:i w:val="1"/>
          <w:iCs w:val="1"/>
          <w:color w:val="auto"/>
        </w:rPr>
        <w:t>(ex officio)</w:t>
      </w:r>
    </w:p>
    <w:p>
      <w:pPr>
        <w:spacing w:after="0" w:line="43" w:lineRule="exact"/>
        <w:rPr>
          <w:rFonts w:ascii="Arial" w:cs="Arial" w:eastAsia="Arial" w:hAnsi="Arial"/>
          <w:sz w:val="16"/>
          <w:szCs w:val="16"/>
          <w:b w:val="1"/>
          <w:bCs w:val="1"/>
          <w:color w:val="D7282F"/>
        </w:rPr>
      </w:pPr>
    </w:p>
    <w:p>
      <w:pPr>
        <w:ind w:left="220" w:right="440" w:hanging="194"/>
        <w:spacing w:after="0" w:line="251" w:lineRule="auto"/>
        <w:tabs>
          <w:tab w:leader="none" w:pos="217" w:val="left"/>
        </w:tabs>
        <w:numPr>
          <w:ilvl w:val="0"/>
          <w:numId w:val="33"/>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 (Chair)</w:t>
      </w:r>
    </w:p>
    <w:p>
      <w:pPr>
        <w:spacing w:after="0" w:line="20" w:lineRule="exact"/>
        <w:rPr>
          <w:rFonts w:ascii="Arial" w:cs="Arial" w:eastAsia="Arial" w:hAnsi="Arial"/>
          <w:sz w:val="16"/>
          <w:szCs w:val="16"/>
          <w:b w:val="1"/>
          <w:bCs w:val="1"/>
          <w:color w:val="D7282F"/>
        </w:rPr>
      </w:pPr>
    </w:p>
    <w:p>
      <w:pPr>
        <w:ind w:left="220" w:right="140" w:hanging="194"/>
        <w:spacing w:after="0" w:line="268" w:lineRule="auto"/>
        <w:tabs>
          <w:tab w:leader="none" w:pos="217" w:val="left"/>
        </w:tabs>
        <w:numPr>
          <w:ilvl w:val="0"/>
          <w:numId w:val="33"/>
        </w:numPr>
        <w:rPr>
          <w:rFonts w:ascii="Arial" w:cs="Arial" w:eastAsia="Arial" w:hAnsi="Arial"/>
          <w:sz w:val="16"/>
          <w:szCs w:val="16"/>
          <w:b w:val="1"/>
          <w:bCs w:val="1"/>
          <w:color w:val="D7282F"/>
        </w:rPr>
      </w:pPr>
      <w:r>
        <w:rPr>
          <w:rFonts w:ascii="Arial" w:cs="Arial" w:eastAsia="Arial" w:hAnsi="Arial"/>
          <w:sz w:val="16"/>
          <w:szCs w:val="16"/>
          <w:color w:val="auto"/>
        </w:rPr>
        <w:t xml:space="preserve">Management Development and Compensation </w:t>
      </w:r>
      <w:r>
        <w:rPr>
          <w:rFonts w:ascii="Arial" w:cs="Arial" w:eastAsia="Arial" w:hAnsi="Arial"/>
          <w:sz w:val="16"/>
          <w:szCs w:val="16"/>
          <w:i w:val="1"/>
          <w:iCs w:val="1"/>
          <w:color w:val="auto"/>
        </w:rPr>
        <w:t>(ex officio)</w:t>
      </w:r>
    </w:p>
    <w:p>
      <w:pPr>
        <w:spacing w:after="0" w:line="53" w:lineRule="exact"/>
        <w:rPr>
          <w:sz w:val="20"/>
          <w:szCs w:val="20"/>
          <w:color w:val="auto"/>
        </w:rPr>
      </w:pPr>
    </w:p>
    <w:p>
      <w:pPr>
        <w:ind w:left="20"/>
        <w:spacing w:after="0" w:line="22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34"/>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ind w:left="220" w:hanging="194"/>
        <w:spacing w:after="0"/>
        <w:tabs>
          <w:tab w:leader="none" w:pos="220"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Alaska Air Group, Inc.</w:t>
      </w:r>
    </w:p>
    <w:p>
      <w:pPr>
        <w:spacing w:after="0" w:line="43" w:lineRule="exact"/>
        <w:rPr>
          <w:rFonts w:ascii="Arial" w:cs="Arial" w:eastAsia="Arial" w:hAnsi="Arial"/>
          <w:sz w:val="16"/>
          <w:szCs w:val="16"/>
          <w:b w:val="1"/>
          <w:bCs w:val="1"/>
          <w:color w:val="D7282F"/>
        </w:rPr>
      </w:pPr>
    </w:p>
    <w:p>
      <w:pPr>
        <w:ind w:left="220" w:right="260" w:hanging="194"/>
        <w:spacing w:after="0" w:line="251" w:lineRule="auto"/>
        <w:tabs>
          <w:tab w:leader="none" w:pos="217" w:val="left"/>
        </w:tabs>
        <w:numPr>
          <w:ilvl w:val="0"/>
          <w:numId w:val="35"/>
        </w:numPr>
        <w:rPr>
          <w:rFonts w:ascii="Arial" w:cs="Arial" w:eastAsia="Arial" w:hAnsi="Arial"/>
          <w:sz w:val="16"/>
          <w:szCs w:val="16"/>
          <w:b w:val="1"/>
          <w:bCs w:val="1"/>
          <w:color w:val="D7282F"/>
        </w:rPr>
      </w:pPr>
      <w:r>
        <w:rPr>
          <w:rFonts w:ascii="Arial" w:cs="Arial" w:eastAsia="Arial" w:hAnsi="Arial"/>
          <w:sz w:val="16"/>
          <w:szCs w:val="16"/>
          <w:color w:val="auto"/>
        </w:rPr>
        <w:t>Puget Sound Energy, Inc. and Puget Energy, Inc.</w:t>
      </w:r>
    </w:p>
    <w:p>
      <w:pPr>
        <w:spacing w:after="0" w:line="363"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Effective May 14, 2024.</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KEVIN BURKE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3" w:right="600" w:hanging="203"/>
        <w:spacing w:after="0" w:line="268" w:lineRule="auto"/>
        <w:tabs>
          <w:tab w:leader="none" w:pos="200"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Retired Chairman and Chief Executive Officer of Alaska Air Group, Inc. (Alaska Air Group), the parent company of Alaska Airlines and its sister carrier, Horizon Air.</w:t>
      </w:r>
    </w:p>
    <w:p>
      <w:pPr>
        <w:spacing w:after="0" w:line="21" w:lineRule="exact"/>
        <w:rPr>
          <w:rFonts w:ascii="Arial" w:cs="Arial" w:eastAsia="Arial" w:hAnsi="Arial"/>
          <w:sz w:val="16"/>
          <w:szCs w:val="16"/>
          <w:b w:val="1"/>
          <w:bCs w:val="1"/>
          <w:color w:val="D7282F"/>
        </w:rPr>
      </w:pPr>
    </w:p>
    <w:p>
      <w:pPr>
        <w:ind w:left="203" w:right="260" w:hanging="203"/>
        <w:spacing w:after="0" w:line="268" w:lineRule="auto"/>
        <w:tabs>
          <w:tab w:leader="none" w:pos="200"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Served as Chief Executive Officer of Alaska Air Group and its subsidiaries through 2012, and as Chairman through 2013.</w:t>
      </w:r>
    </w:p>
    <w:p>
      <w:pPr>
        <w:spacing w:after="0" w:line="7" w:lineRule="exact"/>
        <w:rPr>
          <w:rFonts w:ascii="Arial" w:cs="Arial" w:eastAsia="Arial" w:hAnsi="Arial"/>
          <w:sz w:val="16"/>
          <w:szCs w:val="16"/>
          <w:b w:val="1"/>
          <w:bCs w:val="1"/>
          <w:color w:val="D7282F"/>
        </w:rPr>
      </w:pPr>
    </w:p>
    <w:p>
      <w:pPr>
        <w:ind w:left="203" w:hanging="203"/>
        <w:spacing w:after="0" w:line="268" w:lineRule="auto"/>
        <w:tabs>
          <w:tab w:leader="none" w:pos="200"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A veteran of more than three decades in aviation, he began his career with Horizon Air in 1982, where he held a variety of marketing and operations positions.</w:t>
      </w:r>
    </w:p>
    <w:p>
      <w:pPr>
        <w:spacing w:after="0" w:line="21" w:lineRule="exact"/>
        <w:rPr>
          <w:rFonts w:ascii="Arial" w:cs="Arial" w:eastAsia="Arial" w:hAnsi="Arial"/>
          <w:sz w:val="16"/>
          <w:szCs w:val="16"/>
          <w:b w:val="1"/>
          <w:bCs w:val="1"/>
          <w:color w:val="D7282F"/>
        </w:rPr>
      </w:pPr>
    </w:p>
    <w:p>
      <w:pPr>
        <w:jc w:val="both"/>
        <w:ind w:left="203" w:right="60" w:hanging="203"/>
        <w:spacing w:after="0" w:line="248" w:lineRule="auto"/>
        <w:tabs>
          <w:tab w:leader="none" w:pos="200"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Joined Alaska Airlines in 1995 as Vice President of Marketing and Planning, and subsequently held the posts of Senior Vice President, Chief Operating Officer, and President. Became Alaska Air Group’s Chief Executive Officer in 2002, and, in May 2003, he was appointed Chairman.</w:t>
      </w:r>
    </w:p>
    <w:p>
      <w:pPr>
        <w:spacing w:after="0" w:line="37" w:lineRule="exact"/>
        <w:rPr>
          <w:rFonts w:ascii="Arial" w:cs="Arial" w:eastAsia="Arial" w:hAnsi="Arial"/>
          <w:sz w:val="16"/>
          <w:szCs w:val="16"/>
          <w:b w:val="1"/>
          <w:bCs w:val="1"/>
          <w:color w:val="D7282F"/>
        </w:rPr>
      </w:pPr>
    </w:p>
    <w:p>
      <w:pPr>
        <w:ind w:left="203" w:right="900" w:hanging="203"/>
        <w:spacing w:after="0" w:line="268" w:lineRule="auto"/>
        <w:tabs>
          <w:tab w:leader="none" w:pos="200" w:val="left"/>
        </w:tabs>
        <w:numPr>
          <w:ilvl w:val="0"/>
          <w:numId w:val="37"/>
        </w:numPr>
        <w:rPr>
          <w:rFonts w:ascii="Arial" w:cs="Arial" w:eastAsia="Arial" w:hAnsi="Arial"/>
          <w:sz w:val="16"/>
          <w:szCs w:val="16"/>
          <w:b w:val="1"/>
          <w:bCs w:val="1"/>
          <w:color w:val="D7282F"/>
        </w:rPr>
      </w:pPr>
      <w:r>
        <w:rPr>
          <w:rFonts w:ascii="Arial" w:cs="Arial" w:eastAsia="Arial" w:hAnsi="Arial"/>
          <w:sz w:val="16"/>
          <w:szCs w:val="16"/>
          <w:color w:val="auto"/>
        </w:rPr>
        <w:t>Previously served on the Board of Directors of the Seattle Branch of the Federal Reserve Bank of San Francisco.</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6" w:lineRule="exact"/>
        <w:rPr>
          <w:rFonts w:ascii="Arial" w:cs="Arial" w:eastAsia="Arial" w:hAnsi="Arial"/>
          <w:sz w:val="16"/>
          <w:szCs w:val="16"/>
          <w:b w:val="1"/>
          <w:bCs w:val="1"/>
          <w:color w:val="D7282F"/>
        </w:rPr>
      </w:pPr>
    </w:p>
    <w:p>
      <w:pPr>
        <w:ind w:left="203"/>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383" w:right="240" w:hanging="189"/>
        <w:spacing w:after="0" w:line="248" w:lineRule="auto"/>
        <w:tabs>
          <w:tab w:leader="none" w:pos="380" w:val="left"/>
        </w:tabs>
        <w:numPr>
          <w:ilvl w:val="1"/>
          <w:numId w:val="37"/>
        </w:numPr>
        <w:rPr>
          <w:rFonts w:ascii="Arial" w:cs="Arial" w:eastAsia="Arial" w:hAnsi="Arial"/>
          <w:sz w:val="16"/>
          <w:szCs w:val="16"/>
          <w:b w:val="1"/>
          <w:bCs w:val="1"/>
          <w:color w:val="D7282F"/>
        </w:rPr>
      </w:pPr>
      <w:r>
        <w:rPr>
          <w:rFonts w:ascii="Arial" w:cs="Arial" w:eastAsia="Arial" w:hAnsi="Arial"/>
          <w:sz w:val="16"/>
          <w:szCs w:val="16"/>
          <w:color w:val="auto"/>
        </w:rPr>
        <w:t>Deep aerospace industry knowledge as well as sales, marketing, and operations experience through his three decades of leadership roles at Alaska Air Group, a company recognized for its best-in-class operating metrics among U.S. air carriers.</w:t>
      </w:r>
    </w:p>
    <w:p>
      <w:pPr>
        <w:spacing w:after="0" w:line="37" w:lineRule="exact"/>
        <w:rPr>
          <w:rFonts w:ascii="Arial" w:cs="Arial" w:eastAsia="Arial" w:hAnsi="Arial"/>
          <w:sz w:val="16"/>
          <w:szCs w:val="16"/>
          <w:b w:val="1"/>
          <w:bCs w:val="1"/>
          <w:color w:val="D7282F"/>
        </w:rPr>
      </w:pPr>
    </w:p>
    <w:p>
      <w:pPr>
        <w:ind w:left="383" w:right="360" w:hanging="189"/>
        <w:spacing w:after="0" w:line="248" w:lineRule="auto"/>
        <w:tabs>
          <w:tab w:leader="none" w:pos="380" w:val="left"/>
        </w:tabs>
        <w:numPr>
          <w:ilvl w:val="1"/>
          <w:numId w:val="37"/>
        </w:numPr>
        <w:rPr>
          <w:rFonts w:ascii="Arial" w:cs="Arial" w:eastAsia="Arial" w:hAnsi="Arial"/>
          <w:sz w:val="16"/>
          <w:szCs w:val="16"/>
          <w:b w:val="1"/>
          <w:bCs w:val="1"/>
          <w:color w:val="D7282F"/>
        </w:rPr>
      </w:pPr>
      <w:r>
        <w:rPr>
          <w:rFonts w:ascii="Arial" w:cs="Arial" w:eastAsia="Arial" w:hAnsi="Arial"/>
          <w:sz w:val="16"/>
          <w:szCs w:val="16"/>
          <w:color w:val="auto"/>
        </w:rPr>
        <w:t>Proven leadership skills in developing a business enterprise that can deliver long-term, sustained excellence based on a management style that includes a relentless focus on the customer, continuous improvement, and building a culture of safety, innovation, sustainability, and diversity.</w:t>
      </w:r>
    </w:p>
    <w:p>
      <w:pPr>
        <w:spacing w:after="0" w:line="37" w:lineRule="exact"/>
        <w:rPr>
          <w:rFonts w:ascii="Arial" w:cs="Arial" w:eastAsia="Arial" w:hAnsi="Arial"/>
          <w:sz w:val="16"/>
          <w:szCs w:val="16"/>
          <w:b w:val="1"/>
          <w:bCs w:val="1"/>
          <w:color w:val="D7282F"/>
        </w:rPr>
      </w:pPr>
    </w:p>
    <w:p>
      <w:pPr>
        <w:ind w:left="383" w:right="180" w:hanging="189"/>
        <w:spacing w:after="0" w:line="268" w:lineRule="auto"/>
        <w:tabs>
          <w:tab w:leader="none" w:pos="380" w:val="left"/>
        </w:tabs>
        <w:numPr>
          <w:ilvl w:val="1"/>
          <w:numId w:val="37"/>
        </w:numPr>
        <w:rPr>
          <w:rFonts w:ascii="Arial" w:cs="Arial" w:eastAsia="Arial" w:hAnsi="Arial"/>
          <w:sz w:val="16"/>
          <w:szCs w:val="16"/>
          <w:b w:val="1"/>
          <w:bCs w:val="1"/>
          <w:color w:val="D7282F"/>
        </w:rPr>
      </w:pPr>
      <w:r>
        <w:rPr>
          <w:rFonts w:ascii="Arial" w:cs="Arial" w:eastAsia="Arial" w:hAnsi="Arial"/>
          <w:sz w:val="16"/>
          <w:szCs w:val="16"/>
          <w:color w:val="auto"/>
        </w:rPr>
        <w:t>Understanding of the U.S. public utility industry through his service as a director on the board of directors of Puget Energy.</w:t>
      </w:r>
    </w:p>
    <w:p>
      <w:pPr>
        <w:spacing w:after="0" w:line="1119" w:lineRule="exact"/>
        <w:rPr>
          <w:sz w:val="20"/>
          <w:szCs w:val="20"/>
          <w:color w:val="auto"/>
        </w:rPr>
      </w:pPr>
    </w:p>
    <w:p>
      <w:pPr>
        <w:sectPr>
          <w:pgSz w:w="11900" w:h="16838" w:orient="portrait"/>
          <w:cols w:equalWidth="0" w:num="2">
            <w:col w:w="2620" w:space="457"/>
            <w:col w:w="8063"/>
          </w:cols>
          <w:pgMar w:left="320" w:top="230" w:right="4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RETIRED CHAIRMAN, PRESIDENT, AND CHIEF EXECUTIVE OFFICER, CONSOLIDATED EDISON,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5921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23430" cy="359219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14</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73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26" w:lineRule="exact"/>
        <w:rPr>
          <w:sz w:val="20"/>
          <w:szCs w:val="20"/>
          <w:color w:val="auto"/>
        </w:rPr>
      </w:pPr>
    </w:p>
    <w:p>
      <w:pPr>
        <w:ind w:left="220" w:hanging="194"/>
        <w:spacing w:after="0"/>
        <w:tabs>
          <w:tab w:leader="none" w:pos="220" w:val="left"/>
        </w:tabs>
        <w:numPr>
          <w:ilvl w:val="0"/>
          <w:numId w:val="38"/>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102" w:lineRule="exact"/>
        <w:rPr>
          <w:sz w:val="20"/>
          <w:szCs w:val="20"/>
          <w:color w:val="auto"/>
        </w:rPr>
      </w:pPr>
    </w:p>
    <w:p>
      <w:pPr>
        <w:ind w:lef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39"/>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40"/>
        </w:numPr>
        <w:rPr>
          <w:rFonts w:ascii="Arial" w:cs="Arial" w:eastAsia="Arial" w:hAnsi="Arial"/>
          <w:sz w:val="16"/>
          <w:szCs w:val="16"/>
          <w:b w:val="1"/>
          <w:bCs w:val="1"/>
          <w:color w:val="D7282F"/>
        </w:rPr>
      </w:pPr>
      <w:r>
        <w:rPr>
          <w:rFonts w:ascii="Arial" w:cs="Arial" w:eastAsia="Arial" w:hAnsi="Arial"/>
          <w:sz w:val="16"/>
          <w:szCs w:val="16"/>
          <w:color w:val="auto"/>
        </w:rPr>
        <w:t>Consolidated Edison, Inc.</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280" w:hanging="192"/>
        <w:spacing w:after="0" w:line="281" w:lineRule="auto"/>
        <w:tabs>
          <w:tab w:leader="none" w:pos="197" w:val="left"/>
        </w:tabs>
        <w:numPr>
          <w:ilvl w:val="0"/>
          <w:numId w:val="41"/>
        </w:numPr>
        <w:rPr>
          <w:rFonts w:ascii="Arial" w:cs="Arial" w:eastAsia="Arial" w:hAnsi="Arial"/>
          <w:sz w:val="16"/>
          <w:szCs w:val="16"/>
          <w:b w:val="1"/>
          <w:bCs w:val="1"/>
          <w:color w:val="D7282F"/>
        </w:rPr>
      </w:pPr>
      <w:r>
        <w:rPr>
          <w:rFonts w:ascii="Arial" w:cs="Arial" w:eastAsia="Arial" w:hAnsi="Arial"/>
          <w:sz w:val="16"/>
          <w:szCs w:val="16"/>
          <w:color w:val="auto"/>
        </w:rPr>
        <w:t>Retired Chairman, President, and Chief Executive Officer of Consolidated Edison, Inc. (Con Edison), a utility provider of electric, gas, and steam services.</w:t>
      </w:r>
    </w:p>
    <w:p>
      <w:pPr>
        <w:spacing w:after="0" w:line="1" w:lineRule="exact"/>
        <w:rPr>
          <w:rFonts w:ascii="Arial" w:cs="Arial" w:eastAsia="Arial" w:hAnsi="Arial"/>
          <w:sz w:val="16"/>
          <w:szCs w:val="16"/>
          <w:b w:val="1"/>
          <w:bCs w:val="1"/>
          <w:color w:val="D7282F"/>
        </w:rPr>
      </w:pPr>
    </w:p>
    <w:p>
      <w:pPr>
        <w:ind w:left="200" w:right="160" w:hanging="192"/>
        <w:spacing w:after="0" w:line="268" w:lineRule="auto"/>
        <w:tabs>
          <w:tab w:leader="none" w:pos="197" w:val="left"/>
        </w:tabs>
        <w:numPr>
          <w:ilvl w:val="0"/>
          <w:numId w:val="41"/>
        </w:numPr>
        <w:rPr>
          <w:rFonts w:ascii="Arial" w:cs="Arial" w:eastAsia="Arial" w:hAnsi="Arial"/>
          <w:sz w:val="16"/>
          <w:szCs w:val="16"/>
          <w:b w:val="1"/>
          <w:bCs w:val="1"/>
          <w:color w:val="D7282F"/>
        </w:rPr>
      </w:pPr>
      <w:r>
        <w:rPr>
          <w:rFonts w:ascii="Arial" w:cs="Arial" w:eastAsia="Arial" w:hAnsi="Arial"/>
          <w:sz w:val="16"/>
          <w:szCs w:val="16"/>
          <w:color w:val="auto"/>
        </w:rPr>
        <w:t>Served as President and Chief Executive Officer from 2005 through 2013, and served as Chairman from 2006 through April 2014.</w:t>
      </w:r>
    </w:p>
    <w:p>
      <w:pPr>
        <w:spacing w:after="0" w:line="21" w:lineRule="exact"/>
        <w:rPr>
          <w:rFonts w:ascii="Arial" w:cs="Arial" w:eastAsia="Arial" w:hAnsi="Arial"/>
          <w:sz w:val="16"/>
          <w:szCs w:val="16"/>
          <w:b w:val="1"/>
          <w:bCs w:val="1"/>
          <w:color w:val="D7282F"/>
        </w:rPr>
      </w:pPr>
    </w:p>
    <w:p>
      <w:pPr>
        <w:ind w:left="200" w:right="100" w:hanging="192"/>
        <w:spacing w:after="0" w:line="243" w:lineRule="auto"/>
        <w:tabs>
          <w:tab w:leader="none" w:pos="197" w:val="left"/>
        </w:tabs>
        <w:numPr>
          <w:ilvl w:val="0"/>
          <w:numId w:val="41"/>
        </w:numPr>
        <w:rPr>
          <w:rFonts w:ascii="Arial" w:cs="Arial" w:eastAsia="Arial" w:hAnsi="Arial"/>
          <w:sz w:val="16"/>
          <w:szCs w:val="16"/>
          <w:b w:val="1"/>
          <w:bCs w:val="1"/>
          <w:color w:val="D7282F"/>
        </w:rPr>
      </w:pPr>
      <w:r>
        <w:rPr>
          <w:rFonts w:ascii="Arial" w:cs="Arial" w:eastAsia="Arial" w:hAnsi="Arial"/>
          <w:sz w:val="16"/>
          <w:szCs w:val="16"/>
          <w:color w:val="auto"/>
        </w:rPr>
        <w:t>Joined Con Edison in 1973 and held positions of increasing responsibility in system planning, engineering, law, nuclear power, construction, and corporate planning, including Senior Vice President with responsibility for customer service and for Con Edison’s electric transmission and distribution systems, President of Orange and Rockland Utilities, Inc., a subsidiary of Con Edison, and Chief Executive Officer of Consolidated Edison Company of New York, Inc.</w:t>
      </w:r>
    </w:p>
    <w:p>
      <w:pPr>
        <w:spacing w:after="0" w:line="27" w:lineRule="exact"/>
        <w:rPr>
          <w:rFonts w:ascii="Arial" w:cs="Arial" w:eastAsia="Arial" w:hAnsi="Arial"/>
          <w:sz w:val="16"/>
          <w:szCs w:val="16"/>
          <w:b w:val="1"/>
          <w:bCs w:val="1"/>
          <w:color w:val="D7282F"/>
        </w:rPr>
      </w:pPr>
    </w:p>
    <w:p>
      <w:pPr>
        <w:ind w:left="200" w:hanging="192"/>
        <w:spacing w:after="0"/>
        <w:tabs>
          <w:tab w:leader="none" w:pos="200" w:val="left"/>
        </w:tabs>
        <w:numPr>
          <w:ilvl w:val="0"/>
          <w:numId w:val="41"/>
        </w:numPr>
        <w:rPr>
          <w:rFonts w:ascii="Arial" w:cs="Arial" w:eastAsia="Arial" w:hAnsi="Arial"/>
          <w:sz w:val="16"/>
          <w:szCs w:val="16"/>
          <w:b w:val="1"/>
          <w:bCs w:val="1"/>
          <w:color w:val="D7282F"/>
        </w:rPr>
      </w:pPr>
      <w:r>
        <w:rPr>
          <w:rFonts w:ascii="Arial" w:cs="Arial" w:eastAsia="Arial" w:hAnsi="Arial"/>
          <w:sz w:val="16"/>
          <w:szCs w:val="16"/>
          <w:color w:val="auto"/>
        </w:rPr>
        <w:t>Member of the Board of Trustees of Consolidated Edison Company of New York, Inc. until May 2015.</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11"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320" w:hanging="197"/>
        <w:spacing w:after="0" w:line="268" w:lineRule="auto"/>
        <w:tabs>
          <w:tab w:leader="none" w:pos="397" w:val="left"/>
        </w:tabs>
        <w:numPr>
          <w:ilvl w:val="1"/>
          <w:numId w:val="41"/>
        </w:numPr>
        <w:rPr>
          <w:rFonts w:ascii="Arial" w:cs="Arial" w:eastAsia="Arial" w:hAnsi="Arial"/>
          <w:sz w:val="16"/>
          <w:szCs w:val="16"/>
          <w:b w:val="1"/>
          <w:bCs w:val="1"/>
          <w:color w:val="D7282F"/>
        </w:rPr>
      </w:pPr>
      <w:r>
        <w:rPr>
          <w:rFonts w:ascii="Arial" w:cs="Arial" w:eastAsia="Arial" w:hAnsi="Arial"/>
          <w:sz w:val="16"/>
          <w:szCs w:val="16"/>
          <w:color w:val="auto"/>
        </w:rPr>
        <w:t>Extensive management expertise gained through various executive positions, including senior leadership roles, at Con Edison.</w:t>
      </w:r>
    </w:p>
    <w:p>
      <w:pPr>
        <w:spacing w:after="0" w:line="21" w:lineRule="exact"/>
        <w:rPr>
          <w:rFonts w:ascii="Arial" w:cs="Arial" w:eastAsia="Arial" w:hAnsi="Arial"/>
          <w:sz w:val="16"/>
          <w:szCs w:val="16"/>
          <w:b w:val="1"/>
          <w:bCs w:val="1"/>
          <w:color w:val="D7282F"/>
        </w:rPr>
      </w:pPr>
    </w:p>
    <w:p>
      <w:pPr>
        <w:ind w:left="400" w:right="320" w:hanging="197"/>
        <w:spacing w:after="0" w:line="268" w:lineRule="auto"/>
        <w:tabs>
          <w:tab w:leader="none" w:pos="397" w:val="left"/>
        </w:tabs>
        <w:numPr>
          <w:ilvl w:val="1"/>
          <w:numId w:val="41"/>
        </w:numPr>
        <w:rPr>
          <w:rFonts w:ascii="Arial" w:cs="Arial" w:eastAsia="Arial" w:hAnsi="Arial"/>
          <w:sz w:val="16"/>
          <w:szCs w:val="16"/>
          <w:b w:val="1"/>
          <w:bCs w:val="1"/>
          <w:color w:val="D7282F"/>
        </w:rPr>
      </w:pPr>
      <w:r>
        <w:rPr>
          <w:rFonts w:ascii="Arial" w:cs="Arial" w:eastAsia="Arial" w:hAnsi="Arial"/>
          <w:sz w:val="16"/>
          <w:szCs w:val="16"/>
          <w:color w:val="auto"/>
        </w:rPr>
        <w:t>Wealth of experience in energy production and distribution, energy efficiency, alternative energy sources, engineering and construction, government regulation, and development of new offerings.</w:t>
      </w:r>
    </w:p>
    <w:p>
      <w:pPr>
        <w:spacing w:after="0" w:line="7" w:lineRule="exact"/>
        <w:rPr>
          <w:rFonts w:ascii="Arial" w:cs="Arial" w:eastAsia="Arial" w:hAnsi="Arial"/>
          <w:sz w:val="16"/>
          <w:szCs w:val="16"/>
          <w:b w:val="1"/>
          <w:bCs w:val="1"/>
          <w:color w:val="D7282F"/>
        </w:rPr>
      </w:pPr>
    </w:p>
    <w:p>
      <w:pPr>
        <w:ind w:left="400" w:right="480" w:hanging="197"/>
        <w:spacing w:after="0" w:line="281" w:lineRule="auto"/>
        <w:tabs>
          <w:tab w:leader="none" w:pos="397" w:val="left"/>
        </w:tabs>
        <w:numPr>
          <w:ilvl w:val="1"/>
          <w:numId w:val="41"/>
        </w:numPr>
        <w:rPr>
          <w:rFonts w:ascii="Arial" w:cs="Arial" w:eastAsia="Arial" w:hAnsi="Arial"/>
          <w:sz w:val="16"/>
          <w:szCs w:val="16"/>
          <w:b w:val="1"/>
          <w:bCs w:val="1"/>
          <w:color w:val="D7282F"/>
        </w:rPr>
      </w:pPr>
      <w:r>
        <w:rPr>
          <w:rFonts w:ascii="Arial" w:cs="Arial" w:eastAsia="Arial" w:hAnsi="Arial"/>
          <w:sz w:val="16"/>
          <w:szCs w:val="16"/>
          <w:color w:val="auto"/>
        </w:rPr>
        <w:t>Significant expertise in developing clean and renewable energy infrastructure technology used in clean energy, solar generation, and other energy-efficient products and services.</w:t>
      </w:r>
    </w:p>
    <w:p>
      <w:pPr>
        <w:spacing w:after="0" w:line="1" w:lineRule="exact"/>
        <w:rPr>
          <w:rFonts w:ascii="Arial" w:cs="Arial" w:eastAsia="Arial" w:hAnsi="Arial"/>
          <w:sz w:val="16"/>
          <w:szCs w:val="16"/>
          <w:b w:val="1"/>
          <w:bCs w:val="1"/>
          <w:color w:val="D7282F"/>
        </w:rPr>
      </w:pPr>
    </w:p>
    <w:p>
      <w:pPr>
        <w:ind w:left="400" w:right="180" w:hanging="197"/>
        <w:spacing w:after="0" w:line="268" w:lineRule="auto"/>
        <w:tabs>
          <w:tab w:leader="none" w:pos="397" w:val="left"/>
        </w:tabs>
        <w:numPr>
          <w:ilvl w:val="1"/>
          <w:numId w:val="41"/>
        </w:numPr>
        <w:rPr>
          <w:rFonts w:ascii="Arial" w:cs="Arial" w:eastAsia="Arial" w:hAnsi="Arial"/>
          <w:sz w:val="16"/>
          <w:szCs w:val="16"/>
          <w:b w:val="1"/>
          <w:bCs w:val="1"/>
          <w:color w:val="D7282F"/>
        </w:rPr>
      </w:pPr>
      <w:r>
        <w:rPr>
          <w:rFonts w:ascii="Arial" w:cs="Arial" w:eastAsia="Arial" w:hAnsi="Arial"/>
          <w:sz w:val="16"/>
          <w:szCs w:val="16"/>
          <w:color w:val="auto"/>
        </w:rPr>
        <w:t>Oversaw the implementation of financial and management information systems, utility operational systems, and process simulators.</w:t>
      </w:r>
    </w:p>
    <w:p>
      <w:pPr>
        <w:spacing w:after="0" w:line="21" w:lineRule="exact"/>
        <w:rPr>
          <w:rFonts w:ascii="Arial" w:cs="Arial" w:eastAsia="Arial" w:hAnsi="Arial"/>
          <w:sz w:val="16"/>
          <w:szCs w:val="16"/>
          <w:b w:val="1"/>
          <w:bCs w:val="1"/>
          <w:color w:val="D7282F"/>
        </w:rPr>
      </w:pPr>
    </w:p>
    <w:p>
      <w:pPr>
        <w:ind w:left="400" w:right="1140" w:hanging="197"/>
        <w:spacing w:after="0" w:line="268" w:lineRule="auto"/>
        <w:tabs>
          <w:tab w:leader="none" w:pos="397" w:val="left"/>
        </w:tabs>
        <w:numPr>
          <w:ilvl w:val="1"/>
          <w:numId w:val="41"/>
        </w:numPr>
        <w:rPr>
          <w:rFonts w:ascii="Arial" w:cs="Arial" w:eastAsia="Arial" w:hAnsi="Arial"/>
          <w:sz w:val="16"/>
          <w:szCs w:val="16"/>
          <w:b w:val="1"/>
          <w:bCs w:val="1"/>
          <w:color w:val="D7282F"/>
        </w:rPr>
      </w:pPr>
      <w:r>
        <w:rPr>
          <w:rFonts w:ascii="Arial" w:cs="Arial" w:eastAsia="Arial" w:hAnsi="Arial"/>
          <w:sz w:val="16"/>
          <w:szCs w:val="16"/>
          <w:color w:val="auto"/>
        </w:rPr>
        <w:t>Deep knowledge of corporate governance and regulatory issues facing the energy, utility, and service industries.</w:t>
      </w:r>
    </w:p>
    <w:p>
      <w:pPr>
        <w:spacing w:after="0" w:line="200" w:lineRule="exact"/>
        <w:rPr>
          <w:sz w:val="20"/>
          <w:szCs w:val="20"/>
          <w:color w:val="auto"/>
        </w:rPr>
      </w:pPr>
    </w:p>
    <w:p>
      <w:pPr>
        <w:sectPr>
          <w:pgSz w:w="11900" w:h="16838" w:orient="portrait"/>
          <w:cols w:equalWidth="0" w:num="2">
            <w:col w:w="2620" w:space="300"/>
            <w:col w:w="8220"/>
          </w:cols>
          <w:pgMar w:left="320" w:top="230" w:right="439" w:bottom="1440" w:gutter="0" w:footer="0" w:header="0"/>
          <w:type w:val="continuous"/>
        </w:sectPr>
      </w:pPr>
    </w:p>
    <w:p>
      <w:pPr>
        <w:spacing w:after="0" w:line="36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sz w:val="1"/>
          <w:szCs w:val="1"/>
          <w:color w:val="auto"/>
        </w:rPr>
        <w:drawing>
          <wp:inline distT="0" distB="0" distL="0" distR="0">
            <wp:extent cx="548640" cy="10287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 SCOTT DAVIS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RETIRED CHAIRMAN AND CHIEF EXECUTIVE OFFICER, UNITED PARCEL SERVICE,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583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23430" cy="358330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18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72</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r>
        <w:rPr>
          <w:rFonts w:ascii="Arial" w:cs="Arial" w:eastAsia="Arial" w:hAnsi="Arial"/>
          <w:sz w:val="18"/>
          <w:szCs w:val="18"/>
          <w:b w:val="1"/>
          <w:bCs w:val="1"/>
          <w:color w:val="D7282F"/>
          <w:vertAlign w:val="superscript"/>
        </w:rPr>
        <w:t>(1)</w:t>
      </w:r>
    </w:p>
    <w:p>
      <w:pPr>
        <w:ind w:left="220" w:hanging="194"/>
        <w:spacing w:after="0"/>
        <w:tabs>
          <w:tab w:leader="none" w:pos="220" w:val="left"/>
        </w:tabs>
        <w:numPr>
          <w:ilvl w:val="0"/>
          <w:numId w:val="42"/>
        </w:numPr>
        <w:rPr>
          <w:rFonts w:ascii="Arial" w:cs="Arial" w:eastAsia="Arial" w:hAnsi="Arial"/>
          <w:sz w:val="16"/>
          <w:szCs w:val="16"/>
          <w:b w:val="1"/>
          <w:bCs w:val="1"/>
          <w:color w:val="D7282F"/>
        </w:rPr>
      </w:pPr>
      <w:r>
        <w:rPr>
          <w:rFonts w:ascii="Arial" w:cs="Arial" w:eastAsia="Arial" w:hAnsi="Arial"/>
          <w:sz w:val="16"/>
          <w:szCs w:val="16"/>
          <w:color w:val="auto"/>
        </w:rPr>
        <w:t>Audit (Chair)</w:t>
      </w:r>
    </w:p>
    <w:p>
      <w:pPr>
        <w:spacing w:after="0" w:line="56" w:lineRule="exact"/>
        <w:rPr>
          <w:rFonts w:ascii="Arial" w:cs="Arial" w:eastAsia="Arial" w:hAnsi="Arial"/>
          <w:sz w:val="16"/>
          <w:szCs w:val="16"/>
          <w:b w:val="1"/>
          <w:bCs w:val="1"/>
          <w:color w:val="D7282F"/>
        </w:rPr>
      </w:pPr>
    </w:p>
    <w:p>
      <w:pPr>
        <w:ind w:left="220" w:right="440" w:hanging="194"/>
        <w:spacing w:after="0" w:line="304" w:lineRule="auto"/>
        <w:tabs>
          <w:tab w:leader="none" w:pos="217" w:val="left"/>
        </w:tabs>
        <w:numPr>
          <w:ilvl w:val="0"/>
          <w:numId w:val="42"/>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38" w:lineRule="exact"/>
        <w:rPr>
          <w:sz w:val="20"/>
          <w:szCs w:val="20"/>
          <w:color w:val="auto"/>
        </w:rPr>
      </w:pPr>
    </w:p>
    <w:p>
      <w:pPr>
        <w:ind w:lef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43"/>
        </w:numPr>
        <w:rPr>
          <w:rFonts w:ascii="Arial" w:cs="Arial" w:eastAsia="Arial" w:hAnsi="Arial"/>
          <w:sz w:val="16"/>
          <w:szCs w:val="16"/>
          <w:b w:val="1"/>
          <w:bCs w:val="1"/>
          <w:color w:val="D7282F"/>
        </w:rPr>
      </w:pPr>
      <w:r>
        <w:rPr>
          <w:rFonts w:ascii="Arial" w:cs="Arial" w:eastAsia="Arial" w:hAnsi="Arial"/>
          <w:sz w:val="16"/>
          <w:szCs w:val="16"/>
          <w:color w:val="auto"/>
        </w:rPr>
        <w:t>Johnson &amp; Johnson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United Parcel Service, Inc.</w:t>
      </w:r>
    </w:p>
    <w:p>
      <w:pPr>
        <w:spacing w:after="0" w:line="70" w:lineRule="exact"/>
        <w:rPr>
          <w:rFonts w:ascii="Arial" w:cs="Arial" w:eastAsia="Arial" w:hAnsi="Arial"/>
          <w:sz w:val="16"/>
          <w:szCs w:val="16"/>
          <w:b w:val="1"/>
          <w:bCs w:val="1"/>
          <w:color w:val="D7282F"/>
        </w:rPr>
      </w:pPr>
    </w:p>
    <w:p>
      <w:pPr>
        <w:ind w:left="220" w:hanging="194"/>
        <w:spacing w:after="0"/>
        <w:tabs>
          <w:tab w:leader="none" w:pos="220" w:val="left"/>
        </w:tabs>
        <w:numPr>
          <w:ilvl w:val="0"/>
          <w:numId w:val="44"/>
        </w:numPr>
        <w:rPr>
          <w:rFonts w:ascii="Arial" w:cs="Arial" w:eastAsia="Arial" w:hAnsi="Arial"/>
          <w:sz w:val="16"/>
          <w:szCs w:val="16"/>
          <w:b w:val="1"/>
          <w:bCs w:val="1"/>
          <w:color w:val="D7282F"/>
        </w:rPr>
      </w:pPr>
      <w:r>
        <w:rPr>
          <w:rFonts w:ascii="Arial" w:cs="Arial" w:eastAsia="Arial" w:hAnsi="Arial"/>
          <w:sz w:val="16"/>
          <w:szCs w:val="16"/>
          <w:color w:val="auto"/>
        </w:rPr>
        <w:t>EndoChoice Holdings, Inc.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1020" w:hanging="192"/>
        <w:spacing w:after="0" w:line="268" w:lineRule="auto"/>
        <w:tabs>
          <w:tab w:leader="none" w:pos="197"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Joined United Parcel Service, Inc. (UPS), a leading global provider of package delivery, specialized transportation, and logistics services in 1986.</w:t>
      </w:r>
    </w:p>
    <w:p>
      <w:pPr>
        <w:spacing w:after="0" w:line="21" w:lineRule="exact"/>
        <w:rPr>
          <w:rFonts w:ascii="Arial" w:cs="Arial" w:eastAsia="Arial" w:hAnsi="Arial"/>
          <w:sz w:val="16"/>
          <w:szCs w:val="16"/>
          <w:b w:val="1"/>
          <w:bCs w:val="1"/>
          <w:color w:val="D7282F"/>
        </w:rPr>
      </w:pPr>
    </w:p>
    <w:p>
      <w:pPr>
        <w:ind w:left="200" w:right="440" w:hanging="192"/>
        <w:spacing w:after="0" w:line="268" w:lineRule="auto"/>
        <w:tabs>
          <w:tab w:leader="none" w:pos="197"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Served as the non-Executive Chairman of UPS from September 2014 until May 2016 and as Chairman and Chief Executive Officer from January 2008 to September 2014.</w:t>
      </w:r>
    </w:p>
    <w:p>
      <w:pPr>
        <w:spacing w:after="0" w:line="21" w:lineRule="exact"/>
        <w:rPr>
          <w:rFonts w:ascii="Arial" w:cs="Arial" w:eastAsia="Arial" w:hAnsi="Arial"/>
          <w:sz w:val="16"/>
          <w:szCs w:val="16"/>
          <w:b w:val="1"/>
          <w:bCs w:val="1"/>
          <w:color w:val="D7282F"/>
        </w:rPr>
      </w:pPr>
    </w:p>
    <w:p>
      <w:pPr>
        <w:ind w:left="200" w:right="340" w:hanging="192"/>
        <w:spacing w:after="0" w:line="268" w:lineRule="auto"/>
        <w:tabs>
          <w:tab w:leader="none" w:pos="197"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Served as Vice Chairman starting December 2006 and as Senior Vice President, Chief Financial Officer, and Treasurer starting January 2001 prior to serving as Chairman and Chief Executive Officer.</w:t>
      </w:r>
    </w:p>
    <w:p>
      <w:pPr>
        <w:spacing w:after="0" w:line="7" w:lineRule="exact"/>
        <w:rPr>
          <w:rFonts w:ascii="Arial" w:cs="Arial" w:eastAsia="Arial" w:hAnsi="Arial"/>
          <w:sz w:val="16"/>
          <w:szCs w:val="16"/>
          <w:b w:val="1"/>
          <w:bCs w:val="1"/>
          <w:color w:val="D7282F"/>
        </w:rPr>
      </w:pPr>
    </w:p>
    <w:p>
      <w:pPr>
        <w:ind w:left="200" w:hanging="192"/>
        <w:spacing w:after="0"/>
        <w:tabs>
          <w:tab w:leader="none" w:pos="200"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Previously held various leadership positions at UPS, primarily in finance and accounting.</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Served a critical role in helping UPS to reinvent itself into a technology company.</w:t>
      </w:r>
    </w:p>
    <w:p>
      <w:pPr>
        <w:spacing w:after="0" w:line="59" w:lineRule="exact"/>
        <w:rPr>
          <w:rFonts w:ascii="Arial" w:cs="Arial" w:eastAsia="Arial" w:hAnsi="Arial"/>
          <w:sz w:val="16"/>
          <w:szCs w:val="16"/>
          <w:b w:val="1"/>
          <w:bCs w:val="1"/>
          <w:color w:val="D7282F"/>
        </w:rPr>
      </w:pPr>
    </w:p>
    <w:p>
      <w:pPr>
        <w:ind w:left="200" w:right="260" w:hanging="192"/>
        <w:spacing w:after="0" w:line="281" w:lineRule="auto"/>
        <w:tabs>
          <w:tab w:leader="none" w:pos="197"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Chief Executive Officer of II Morrow Inc., a technology company and developer of general aviation and marine navigation instruments, prior to joining UPS.</w:t>
      </w:r>
    </w:p>
    <w:p>
      <w:pPr>
        <w:spacing w:after="0" w:line="1" w:lineRule="exact"/>
        <w:rPr>
          <w:rFonts w:ascii="Arial" w:cs="Arial" w:eastAsia="Arial" w:hAnsi="Arial"/>
          <w:sz w:val="16"/>
          <w:szCs w:val="16"/>
          <w:b w:val="1"/>
          <w:bCs w:val="1"/>
          <w:color w:val="D7282F"/>
        </w:rPr>
      </w:pPr>
    </w:p>
    <w:p>
      <w:pPr>
        <w:ind w:left="200" w:hanging="192"/>
        <w:spacing w:after="0"/>
        <w:tabs>
          <w:tab w:leader="none" w:pos="200"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A Certified Public Accountant.</w:t>
      </w:r>
    </w:p>
    <w:p>
      <w:pPr>
        <w:spacing w:after="0" w:line="72" w:lineRule="exact"/>
        <w:rPr>
          <w:rFonts w:ascii="Arial" w:cs="Arial" w:eastAsia="Arial" w:hAnsi="Arial"/>
          <w:sz w:val="16"/>
          <w:szCs w:val="16"/>
          <w:b w:val="1"/>
          <w:bCs w:val="1"/>
          <w:color w:val="D7282F"/>
        </w:rPr>
      </w:pPr>
    </w:p>
    <w:p>
      <w:pPr>
        <w:ind w:left="200" w:right="40" w:hanging="192"/>
        <w:spacing w:after="0" w:line="268" w:lineRule="auto"/>
        <w:tabs>
          <w:tab w:leader="none" w:pos="197" w:val="left"/>
        </w:tabs>
        <w:numPr>
          <w:ilvl w:val="0"/>
          <w:numId w:val="45"/>
        </w:numPr>
        <w:rPr>
          <w:rFonts w:ascii="Arial" w:cs="Arial" w:eastAsia="Arial" w:hAnsi="Arial"/>
          <w:sz w:val="16"/>
          <w:szCs w:val="16"/>
          <w:b w:val="1"/>
          <w:bCs w:val="1"/>
          <w:color w:val="D7282F"/>
        </w:rPr>
      </w:pPr>
      <w:r>
        <w:rPr>
          <w:rFonts w:ascii="Arial" w:cs="Arial" w:eastAsia="Arial" w:hAnsi="Arial"/>
          <w:sz w:val="16"/>
          <w:szCs w:val="16"/>
          <w:color w:val="auto"/>
        </w:rPr>
        <w:t>Served on the Board of Directors of the Federal Reserve Bank of Atlanta from 2003 through 2009, and served as Chairman in 2009.</w:t>
      </w:r>
    </w:p>
    <w:p>
      <w:pPr>
        <w:spacing w:after="0" w:line="200" w:lineRule="exact"/>
        <w:rPr>
          <w:rFonts w:ascii="Arial" w:cs="Arial" w:eastAsia="Arial" w:hAnsi="Arial"/>
          <w:sz w:val="16"/>
          <w:szCs w:val="16"/>
          <w:b w:val="1"/>
          <w:bCs w:val="1"/>
          <w:color w:val="D7282F"/>
        </w:rPr>
      </w:pPr>
    </w:p>
    <w:p>
      <w:pPr>
        <w:spacing w:after="0" w:line="271"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720" w:hanging="197"/>
        <w:spacing w:after="0" w:line="268" w:lineRule="auto"/>
        <w:tabs>
          <w:tab w:leader="none" w:pos="397" w:val="left"/>
        </w:tabs>
        <w:numPr>
          <w:ilvl w:val="1"/>
          <w:numId w:val="45"/>
        </w:numPr>
        <w:rPr>
          <w:rFonts w:ascii="Arial" w:cs="Arial" w:eastAsia="Arial" w:hAnsi="Arial"/>
          <w:sz w:val="16"/>
          <w:szCs w:val="16"/>
          <w:b w:val="1"/>
          <w:bCs w:val="1"/>
          <w:color w:val="D7282F"/>
        </w:rPr>
      </w:pPr>
      <w:r>
        <w:rPr>
          <w:rFonts w:ascii="Arial" w:cs="Arial" w:eastAsia="Arial" w:hAnsi="Arial"/>
          <w:sz w:val="16"/>
          <w:szCs w:val="16"/>
          <w:color w:val="auto"/>
        </w:rPr>
        <w:t>Significant expertise in management, strategy, finance, and operations gained over 25 years at UPS, including through senior leadership roles.</w:t>
      </w:r>
    </w:p>
    <w:p>
      <w:pPr>
        <w:spacing w:after="0" w:line="21" w:lineRule="exact"/>
        <w:rPr>
          <w:rFonts w:ascii="Arial" w:cs="Arial" w:eastAsia="Arial" w:hAnsi="Arial"/>
          <w:sz w:val="16"/>
          <w:szCs w:val="16"/>
          <w:b w:val="1"/>
          <w:bCs w:val="1"/>
          <w:color w:val="D7282F"/>
        </w:rPr>
      </w:pPr>
    </w:p>
    <w:p>
      <w:pPr>
        <w:ind w:left="400" w:hanging="197"/>
        <w:spacing w:after="0"/>
        <w:tabs>
          <w:tab w:leader="none" w:pos="400" w:val="left"/>
        </w:tabs>
        <w:numPr>
          <w:ilvl w:val="1"/>
          <w:numId w:val="45"/>
        </w:numPr>
        <w:rPr>
          <w:rFonts w:ascii="Arial" w:cs="Arial" w:eastAsia="Arial" w:hAnsi="Arial"/>
          <w:sz w:val="16"/>
          <w:szCs w:val="16"/>
          <w:b w:val="1"/>
          <w:bCs w:val="1"/>
          <w:color w:val="D7282F"/>
        </w:rPr>
      </w:pPr>
      <w:r>
        <w:rPr>
          <w:rFonts w:ascii="Arial" w:cs="Arial" w:eastAsia="Arial" w:hAnsi="Arial"/>
          <w:sz w:val="16"/>
          <w:szCs w:val="16"/>
          <w:color w:val="auto"/>
        </w:rPr>
        <w:t>Financial management expertise, including reporting, accounting, and controls.</w:t>
      </w:r>
    </w:p>
    <w:p>
      <w:pPr>
        <w:spacing w:after="0" w:line="59" w:lineRule="exact"/>
        <w:rPr>
          <w:rFonts w:ascii="Arial" w:cs="Arial" w:eastAsia="Arial" w:hAnsi="Arial"/>
          <w:sz w:val="16"/>
          <w:szCs w:val="16"/>
          <w:b w:val="1"/>
          <w:bCs w:val="1"/>
          <w:color w:val="D7282F"/>
        </w:rPr>
      </w:pPr>
    </w:p>
    <w:p>
      <w:pPr>
        <w:ind w:left="400" w:hanging="197"/>
        <w:spacing w:after="0"/>
        <w:tabs>
          <w:tab w:leader="none" w:pos="400" w:val="left"/>
        </w:tabs>
        <w:numPr>
          <w:ilvl w:val="1"/>
          <w:numId w:val="45"/>
        </w:numPr>
        <w:rPr>
          <w:rFonts w:ascii="Arial" w:cs="Arial" w:eastAsia="Arial" w:hAnsi="Arial"/>
          <w:sz w:val="16"/>
          <w:szCs w:val="16"/>
          <w:b w:val="1"/>
          <w:bCs w:val="1"/>
          <w:color w:val="D7282F"/>
        </w:rPr>
      </w:pPr>
      <w:r>
        <w:rPr>
          <w:rFonts w:ascii="Arial" w:cs="Arial" w:eastAsia="Arial" w:hAnsi="Arial"/>
          <w:sz w:val="16"/>
          <w:szCs w:val="16"/>
          <w:color w:val="auto"/>
        </w:rPr>
        <w:t>Strong banking experience and a deep understanding of public policy and global economic indicators.</w:t>
      </w:r>
    </w:p>
    <w:p>
      <w:pPr>
        <w:spacing w:after="0" w:line="72" w:lineRule="exact"/>
        <w:rPr>
          <w:rFonts w:ascii="Arial" w:cs="Arial" w:eastAsia="Arial" w:hAnsi="Arial"/>
          <w:sz w:val="16"/>
          <w:szCs w:val="16"/>
          <w:b w:val="1"/>
          <w:bCs w:val="1"/>
          <w:color w:val="D7282F"/>
        </w:rPr>
      </w:pPr>
    </w:p>
    <w:p>
      <w:pPr>
        <w:ind w:left="400" w:hanging="197"/>
        <w:spacing w:after="0"/>
        <w:tabs>
          <w:tab w:leader="none" w:pos="400" w:val="left"/>
        </w:tabs>
        <w:numPr>
          <w:ilvl w:val="1"/>
          <w:numId w:val="45"/>
        </w:numPr>
        <w:rPr>
          <w:rFonts w:ascii="Arial" w:cs="Arial" w:eastAsia="Arial" w:hAnsi="Arial"/>
          <w:sz w:val="16"/>
          <w:szCs w:val="16"/>
          <w:b w:val="1"/>
          <w:bCs w:val="1"/>
          <w:color w:val="D7282F"/>
        </w:rPr>
      </w:pPr>
      <w:r>
        <w:rPr>
          <w:rFonts w:ascii="Arial" w:cs="Arial" w:eastAsia="Arial" w:hAnsi="Arial"/>
          <w:sz w:val="16"/>
          <w:szCs w:val="16"/>
          <w:color w:val="auto"/>
        </w:rPr>
        <w:t>Extensive experience in the global transportation and logistics services industry.</w:t>
      </w:r>
    </w:p>
    <w:p>
      <w:pPr>
        <w:spacing w:after="0" w:line="72" w:lineRule="exact"/>
        <w:rPr>
          <w:rFonts w:ascii="Arial" w:cs="Arial" w:eastAsia="Arial" w:hAnsi="Arial"/>
          <w:sz w:val="16"/>
          <w:szCs w:val="16"/>
          <w:b w:val="1"/>
          <w:bCs w:val="1"/>
          <w:color w:val="D7282F"/>
        </w:rPr>
      </w:pPr>
    </w:p>
    <w:p>
      <w:pPr>
        <w:ind w:left="400" w:right="740" w:hanging="197"/>
        <w:spacing w:after="0" w:line="268" w:lineRule="auto"/>
        <w:tabs>
          <w:tab w:leader="none" w:pos="397" w:val="left"/>
        </w:tabs>
        <w:numPr>
          <w:ilvl w:val="1"/>
          <w:numId w:val="45"/>
        </w:numPr>
        <w:rPr>
          <w:rFonts w:ascii="Arial" w:cs="Arial" w:eastAsia="Arial" w:hAnsi="Arial"/>
          <w:sz w:val="16"/>
          <w:szCs w:val="16"/>
          <w:b w:val="1"/>
          <w:bCs w:val="1"/>
          <w:color w:val="D7282F"/>
        </w:rPr>
      </w:pPr>
      <w:r>
        <w:rPr>
          <w:rFonts w:ascii="Arial" w:cs="Arial" w:eastAsia="Arial" w:hAnsi="Arial"/>
          <w:sz w:val="16"/>
          <w:szCs w:val="16"/>
          <w:color w:val="auto"/>
        </w:rPr>
        <w:t>In-depth understanding of technology and software solutions that support automated and web-based shipping, tracking, and specialized transportation logistics.</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137"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Effective May 14, 2024.</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DEBORAH FLINT</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PRESIDENT AND CHIEF EXECUTIVE OFFICER, GREATER TORONTO AIRPORTS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3775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23430" cy="337756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EE2724"/>
        </w:rPr>
        <w:t>4</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56</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26" w:lineRule="exact"/>
        <w:rPr>
          <w:sz w:val="20"/>
          <w:szCs w:val="20"/>
          <w:color w:val="auto"/>
        </w:rPr>
      </w:pPr>
    </w:p>
    <w:p>
      <w:pPr>
        <w:ind w:left="220" w:right="440" w:hanging="194"/>
        <w:spacing w:after="0" w:line="265" w:lineRule="auto"/>
        <w:tabs>
          <w:tab w:leader="none" w:pos="217" w:val="left"/>
        </w:tabs>
        <w:numPr>
          <w:ilvl w:val="0"/>
          <w:numId w:val="47"/>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36" w:lineRule="exact"/>
        <w:rPr>
          <w:rFonts w:ascii="Arial" w:cs="Arial" w:eastAsia="Arial" w:hAnsi="Arial"/>
          <w:sz w:val="16"/>
          <w:szCs w:val="16"/>
          <w:b w:val="1"/>
          <w:bCs w:val="1"/>
          <w:color w:val="D7282F"/>
        </w:rPr>
      </w:pPr>
    </w:p>
    <w:p>
      <w:pPr>
        <w:ind w:left="220" w:right="140" w:hanging="194"/>
        <w:spacing w:after="0" w:line="286" w:lineRule="auto"/>
        <w:tabs>
          <w:tab w:leader="none" w:pos="217" w:val="left"/>
        </w:tabs>
        <w:numPr>
          <w:ilvl w:val="0"/>
          <w:numId w:val="47"/>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w:t>
      </w:r>
    </w:p>
    <w:p>
      <w:pPr>
        <w:spacing w:after="0" w:line="66" w:lineRule="exact"/>
        <w:rPr>
          <w:sz w:val="20"/>
          <w:szCs w:val="20"/>
          <w:color w:val="auto"/>
        </w:rPr>
      </w:pPr>
    </w:p>
    <w:p>
      <w:pPr>
        <w:ind w:left="20"/>
        <w:spacing w:after="0" w:line="25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48"/>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49"/>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ind w:left="200" w:hanging="192"/>
        <w:spacing w:after="0"/>
        <w:tabs>
          <w:tab w:leader="none" w:pos="200"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President and Chief Executive Officer of the Greater Toronto Airports Authority since April 2020.</w:t>
      </w:r>
    </w:p>
    <w:p>
      <w:pPr>
        <w:spacing w:after="0" w:line="59" w:lineRule="exact"/>
        <w:rPr>
          <w:rFonts w:ascii="Arial" w:cs="Arial" w:eastAsia="Arial" w:hAnsi="Arial"/>
          <w:sz w:val="16"/>
          <w:szCs w:val="16"/>
          <w:b w:val="1"/>
          <w:bCs w:val="1"/>
          <w:color w:val="D7282F"/>
        </w:rPr>
      </w:pPr>
    </w:p>
    <w:p>
      <w:pPr>
        <w:ind w:left="200" w:right="300" w:hanging="192"/>
        <w:spacing w:after="0" w:line="281" w:lineRule="auto"/>
        <w:tabs>
          <w:tab w:leader="none" w:pos="197"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Served as Chief Executive Officer of Los Angeles World Airports (LAWA) from June 2015 to March 2020, and had previously held roles of increasing responsibility at the Port of Oakland for 23 years.</w:t>
      </w:r>
    </w:p>
    <w:p>
      <w:pPr>
        <w:spacing w:after="0" w:line="1" w:lineRule="exact"/>
        <w:rPr>
          <w:rFonts w:ascii="Arial" w:cs="Arial" w:eastAsia="Arial" w:hAnsi="Arial"/>
          <w:sz w:val="16"/>
          <w:szCs w:val="16"/>
          <w:b w:val="1"/>
          <w:bCs w:val="1"/>
          <w:color w:val="D7282F"/>
        </w:rPr>
      </w:pPr>
    </w:p>
    <w:p>
      <w:pPr>
        <w:ind w:left="200" w:right="420" w:hanging="192"/>
        <w:spacing w:after="0" w:line="268" w:lineRule="auto"/>
        <w:tabs>
          <w:tab w:leader="none" w:pos="197"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Currently serves as a director on the Airport Council International World Board and is the Board Chair of the World Standing Safety and Technical Committee.</w:t>
      </w:r>
    </w:p>
    <w:p>
      <w:pPr>
        <w:spacing w:after="0" w:line="21" w:lineRule="exact"/>
        <w:rPr>
          <w:rFonts w:ascii="Arial" w:cs="Arial" w:eastAsia="Arial" w:hAnsi="Arial"/>
          <w:sz w:val="16"/>
          <w:szCs w:val="16"/>
          <w:b w:val="1"/>
          <w:bCs w:val="1"/>
          <w:color w:val="D7282F"/>
        </w:rPr>
      </w:pPr>
    </w:p>
    <w:p>
      <w:pPr>
        <w:ind w:left="200" w:right="60" w:hanging="192"/>
        <w:spacing w:after="0" w:line="268" w:lineRule="auto"/>
        <w:tabs>
          <w:tab w:leader="none" w:pos="197"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Previously served on President Obama’s Advisory Committee on Aviation Consumer Protection and as the Chair of the Oversight Committee of the Transportation Research Board’s Airport Cooperative Research Program.</w:t>
      </w:r>
    </w:p>
    <w:p>
      <w:pPr>
        <w:spacing w:after="0" w:line="21" w:lineRule="exact"/>
        <w:rPr>
          <w:rFonts w:ascii="Arial" w:cs="Arial" w:eastAsia="Arial" w:hAnsi="Arial"/>
          <w:sz w:val="16"/>
          <w:szCs w:val="16"/>
          <w:b w:val="1"/>
          <w:bCs w:val="1"/>
          <w:color w:val="D7282F"/>
        </w:rPr>
      </w:pPr>
    </w:p>
    <w:p>
      <w:pPr>
        <w:ind w:left="200" w:right="220" w:hanging="192"/>
        <w:spacing w:after="0" w:line="268" w:lineRule="auto"/>
        <w:tabs>
          <w:tab w:leader="none" w:pos="197"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Co-chaired the Blue Ribbon Task Force on UAS Mitigation at Airports and served as a federal appointee to the U.S. Department of Transportation’s Drone Advisory Committee.</w:t>
      </w:r>
    </w:p>
    <w:p>
      <w:pPr>
        <w:spacing w:after="0" w:line="7" w:lineRule="exact"/>
        <w:rPr>
          <w:rFonts w:ascii="Arial" w:cs="Arial" w:eastAsia="Arial" w:hAnsi="Arial"/>
          <w:sz w:val="16"/>
          <w:szCs w:val="16"/>
          <w:b w:val="1"/>
          <w:bCs w:val="1"/>
          <w:color w:val="D7282F"/>
        </w:rPr>
      </w:pPr>
    </w:p>
    <w:p>
      <w:pPr>
        <w:ind w:left="200" w:right="440" w:hanging="192"/>
        <w:spacing w:after="0" w:line="268" w:lineRule="auto"/>
        <w:tabs>
          <w:tab w:leader="none" w:pos="197" w:val="left"/>
        </w:tabs>
        <w:numPr>
          <w:ilvl w:val="0"/>
          <w:numId w:val="50"/>
        </w:numPr>
        <w:rPr>
          <w:rFonts w:ascii="Arial" w:cs="Arial" w:eastAsia="Arial" w:hAnsi="Arial"/>
          <w:sz w:val="16"/>
          <w:szCs w:val="16"/>
          <w:b w:val="1"/>
          <w:bCs w:val="1"/>
          <w:color w:val="D7282F"/>
        </w:rPr>
      </w:pPr>
      <w:r>
        <w:rPr>
          <w:rFonts w:ascii="Arial" w:cs="Arial" w:eastAsia="Arial" w:hAnsi="Arial"/>
          <w:sz w:val="16"/>
          <w:szCs w:val="16"/>
          <w:color w:val="auto"/>
        </w:rPr>
        <w:t>Previously served on the Board of Directors of the Los Angeles Branch of the Federal Reserve Bank of San Francisco.</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62"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hanging="197"/>
        <w:spacing w:after="0"/>
        <w:tabs>
          <w:tab w:leader="none" w:pos="400" w:val="left"/>
        </w:tabs>
        <w:numPr>
          <w:ilvl w:val="1"/>
          <w:numId w:val="50"/>
        </w:numPr>
        <w:rPr>
          <w:rFonts w:ascii="Arial" w:cs="Arial" w:eastAsia="Arial" w:hAnsi="Arial"/>
          <w:sz w:val="16"/>
          <w:szCs w:val="16"/>
          <w:b w:val="1"/>
          <w:bCs w:val="1"/>
          <w:color w:val="D7282F"/>
        </w:rPr>
      </w:pPr>
      <w:r>
        <w:rPr>
          <w:rFonts w:ascii="Arial" w:cs="Arial" w:eastAsia="Arial" w:hAnsi="Arial"/>
          <w:sz w:val="16"/>
          <w:szCs w:val="16"/>
          <w:color w:val="auto"/>
        </w:rPr>
        <w:t>Broad understanding of transportation networks and cybersecurity risk management.</w:t>
      </w:r>
    </w:p>
    <w:p>
      <w:pPr>
        <w:spacing w:after="0" w:line="59" w:lineRule="exact"/>
        <w:rPr>
          <w:rFonts w:ascii="Arial" w:cs="Arial" w:eastAsia="Arial" w:hAnsi="Arial"/>
          <w:sz w:val="16"/>
          <w:szCs w:val="16"/>
          <w:b w:val="1"/>
          <w:bCs w:val="1"/>
          <w:color w:val="D7282F"/>
        </w:rPr>
      </w:pPr>
    </w:p>
    <w:p>
      <w:pPr>
        <w:ind w:left="400" w:hanging="197"/>
        <w:spacing w:after="0"/>
        <w:tabs>
          <w:tab w:leader="none" w:pos="400" w:val="left"/>
        </w:tabs>
        <w:numPr>
          <w:ilvl w:val="1"/>
          <w:numId w:val="50"/>
        </w:numPr>
        <w:rPr>
          <w:rFonts w:ascii="Arial" w:cs="Arial" w:eastAsia="Arial" w:hAnsi="Arial"/>
          <w:sz w:val="16"/>
          <w:szCs w:val="16"/>
          <w:b w:val="1"/>
          <w:bCs w:val="1"/>
          <w:color w:val="D7282F"/>
        </w:rPr>
      </w:pPr>
      <w:r>
        <w:rPr>
          <w:rFonts w:ascii="Arial" w:cs="Arial" w:eastAsia="Arial" w:hAnsi="Arial"/>
          <w:sz w:val="16"/>
          <w:szCs w:val="16"/>
          <w:color w:val="auto"/>
        </w:rPr>
        <w:t>Deep experience in critical infrastructure, connected buildings, and advanced security solutions.</w:t>
      </w:r>
    </w:p>
    <w:p>
      <w:pPr>
        <w:spacing w:after="0" w:line="72" w:lineRule="exact"/>
        <w:rPr>
          <w:rFonts w:ascii="Arial" w:cs="Arial" w:eastAsia="Arial" w:hAnsi="Arial"/>
          <w:sz w:val="16"/>
          <w:szCs w:val="16"/>
          <w:b w:val="1"/>
          <w:bCs w:val="1"/>
          <w:color w:val="D7282F"/>
        </w:rPr>
      </w:pPr>
    </w:p>
    <w:p>
      <w:pPr>
        <w:ind w:left="400" w:right="640" w:hanging="197"/>
        <w:spacing w:after="0" w:line="268" w:lineRule="auto"/>
        <w:tabs>
          <w:tab w:leader="none" w:pos="397" w:val="left"/>
        </w:tabs>
        <w:numPr>
          <w:ilvl w:val="1"/>
          <w:numId w:val="50"/>
        </w:numPr>
        <w:rPr>
          <w:rFonts w:ascii="Arial" w:cs="Arial" w:eastAsia="Arial" w:hAnsi="Arial"/>
          <w:sz w:val="16"/>
          <w:szCs w:val="16"/>
          <w:b w:val="1"/>
          <w:bCs w:val="1"/>
          <w:color w:val="D7282F"/>
        </w:rPr>
      </w:pPr>
      <w:r>
        <w:rPr>
          <w:rFonts w:ascii="Arial" w:cs="Arial" w:eastAsia="Arial" w:hAnsi="Arial"/>
          <w:sz w:val="16"/>
          <w:szCs w:val="16"/>
          <w:color w:val="auto"/>
        </w:rPr>
        <w:t>Oversaw the fourth busiest passenger airport in the world, the largest airport police force in the United States, and the largest public works agreements in the history of Los Angeles.</w:t>
      </w:r>
    </w:p>
    <w:p>
      <w:pPr>
        <w:spacing w:after="0" w:line="21" w:lineRule="exact"/>
        <w:rPr>
          <w:rFonts w:ascii="Arial" w:cs="Arial" w:eastAsia="Arial" w:hAnsi="Arial"/>
          <w:sz w:val="16"/>
          <w:szCs w:val="16"/>
          <w:b w:val="1"/>
          <w:bCs w:val="1"/>
          <w:color w:val="D7282F"/>
        </w:rPr>
      </w:pPr>
    </w:p>
    <w:p>
      <w:pPr>
        <w:ind w:left="400" w:hanging="197"/>
        <w:spacing w:after="0"/>
        <w:tabs>
          <w:tab w:leader="none" w:pos="400" w:val="left"/>
        </w:tabs>
        <w:numPr>
          <w:ilvl w:val="1"/>
          <w:numId w:val="50"/>
        </w:numPr>
        <w:rPr>
          <w:rFonts w:ascii="Arial" w:cs="Arial" w:eastAsia="Arial" w:hAnsi="Arial"/>
          <w:sz w:val="16"/>
          <w:szCs w:val="16"/>
          <w:b w:val="1"/>
          <w:bCs w:val="1"/>
          <w:color w:val="D7282F"/>
        </w:rPr>
      </w:pPr>
      <w:r>
        <w:rPr>
          <w:rFonts w:ascii="Arial" w:cs="Arial" w:eastAsia="Arial" w:hAnsi="Arial"/>
          <w:sz w:val="16"/>
          <w:szCs w:val="16"/>
          <w:color w:val="auto"/>
        </w:rPr>
        <w:t>Significant insight and experience in public and private partnerships.</w:t>
      </w:r>
    </w:p>
    <w:p>
      <w:pPr>
        <w:spacing w:after="0" w:line="200"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VIMAL KAPUR</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40633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23430" cy="4063365"/>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58</w:t>
      </w:r>
    </w:p>
    <w:p>
      <w:pPr>
        <w:spacing w:after="0" w:line="131" w:lineRule="exact"/>
        <w:rPr>
          <w:sz w:val="20"/>
          <w:szCs w:val="20"/>
          <w:color w:val="auto"/>
        </w:rPr>
      </w:pPr>
    </w:p>
    <w:p>
      <w:pPr>
        <w:ind w:left="20"/>
        <w:spacing w:after="0" w:line="25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51"/>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r>
        <w:rPr>
          <w:rFonts w:ascii="Arial" w:cs="Arial" w:eastAsia="Arial" w:hAnsi="Arial"/>
          <w:sz w:val="18"/>
          <w:szCs w:val="18"/>
          <w:b w:val="1"/>
          <w:bCs w:val="1"/>
          <w:color w:val="D7282F"/>
          <w:vertAlign w:val="superscript"/>
        </w:rPr>
        <w:t>(1)</w:t>
      </w:r>
    </w:p>
    <w:p>
      <w:pPr>
        <w:ind w:left="220" w:hanging="194"/>
        <w:spacing w:after="0"/>
        <w:tabs>
          <w:tab w:leader="none" w:pos="220" w:val="left"/>
        </w:tabs>
        <w:numPr>
          <w:ilvl w:val="0"/>
          <w:numId w:val="52"/>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40" w:hanging="192"/>
        <w:spacing w:after="0" w:line="268"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Chief Executive Officer of Honeywell International Inc. since June 1, 2023. Will become Chairman of the Board on June 7, 2024.</w:t>
      </w:r>
    </w:p>
    <w:p>
      <w:pPr>
        <w:spacing w:after="0" w:line="7" w:lineRule="exact"/>
        <w:rPr>
          <w:rFonts w:ascii="Arial" w:cs="Arial" w:eastAsia="Arial" w:hAnsi="Arial"/>
          <w:sz w:val="16"/>
          <w:szCs w:val="16"/>
          <w:b w:val="1"/>
          <w:bCs w:val="1"/>
          <w:color w:val="D7282F"/>
        </w:rPr>
      </w:pPr>
    </w:p>
    <w:p>
      <w:pPr>
        <w:ind w:left="200" w:right="120" w:hanging="192"/>
        <w:spacing w:after="0" w:line="264"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Elected to the Company's Board of Directors in March 2023 and succeeded Mr. Adamczyk as Chief Executive Officer on June 1, 2023.</w:t>
      </w:r>
    </w:p>
    <w:p>
      <w:pPr>
        <w:ind w:left="200" w:hanging="192"/>
        <w:spacing w:after="0"/>
        <w:tabs>
          <w:tab w:leader="none" w:pos="200"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as President and Chief Operating Officer of the Company from July 2022 until June 2023.</w:t>
      </w:r>
    </w:p>
    <w:p>
      <w:pPr>
        <w:spacing w:after="0" w:line="45" w:lineRule="exact"/>
        <w:rPr>
          <w:rFonts w:ascii="Arial" w:cs="Arial" w:eastAsia="Arial" w:hAnsi="Arial"/>
          <w:sz w:val="16"/>
          <w:szCs w:val="16"/>
          <w:b w:val="1"/>
          <w:bCs w:val="1"/>
          <w:color w:val="D7282F"/>
        </w:rPr>
      </w:pPr>
    </w:p>
    <w:p>
      <w:pPr>
        <w:ind w:left="200" w:right="60" w:hanging="192"/>
        <w:spacing w:after="0" w:line="268"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as President and CEO of Honeywell Performance Materials and Technologies (PMT) from July 2021 to October 2022.</w:t>
      </w:r>
    </w:p>
    <w:p>
      <w:pPr>
        <w:spacing w:after="0" w:line="7" w:lineRule="exact"/>
        <w:rPr>
          <w:rFonts w:ascii="Arial" w:cs="Arial" w:eastAsia="Arial" w:hAnsi="Arial"/>
          <w:sz w:val="16"/>
          <w:szCs w:val="16"/>
          <w:b w:val="1"/>
          <w:bCs w:val="1"/>
          <w:color w:val="D7282F"/>
        </w:rPr>
      </w:pPr>
    </w:p>
    <w:p>
      <w:pPr>
        <w:ind w:left="200" w:hanging="192"/>
        <w:spacing w:after="0"/>
        <w:tabs>
          <w:tab w:leader="none" w:pos="200"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as President and CEO of Honeywell Building Technologies from May 2018 to July 2021.</w:t>
      </w:r>
    </w:p>
    <w:p>
      <w:pPr>
        <w:spacing w:after="0" w:line="45" w:lineRule="exact"/>
        <w:rPr>
          <w:rFonts w:ascii="Arial" w:cs="Arial" w:eastAsia="Arial" w:hAnsi="Arial"/>
          <w:sz w:val="16"/>
          <w:szCs w:val="16"/>
          <w:b w:val="1"/>
          <w:bCs w:val="1"/>
          <w:color w:val="D7282F"/>
        </w:rPr>
      </w:pPr>
    </w:p>
    <w:p>
      <w:pPr>
        <w:ind w:left="200" w:hanging="192"/>
        <w:spacing w:after="0"/>
        <w:tabs>
          <w:tab w:leader="none" w:pos="200"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Served as President of Honeywell Process Solutions (HPS) from 2014 to 2018.</w:t>
      </w:r>
    </w:p>
    <w:p>
      <w:pPr>
        <w:spacing w:after="0" w:line="45" w:lineRule="exact"/>
        <w:rPr>
          <w:rFonts w:ascii="Arial" w:cs="Arial" w:eastAsia="Arial" w:hAnsi="Arial"/>
          <w:sz w:val="16"/>
          <w:szCs w:val="16"/>
          <w:b w:val="1"/>
          <w:bCs w:val="1"/>
          <w:color w:val="D7282F"/>
        </w:rPr>
      </w:pPr>
    </w:p>
    <w:p>
      <w:pPr>
        <w:jc w:val="both"/>
        <w:ind w:left="200" w:right="60" w:hanging="192"/>
        <w:spacing w:after="0" w:line="248" w:lineRule="auto"/>
        <w:tabs>
          <w:tab w:leader="none" w:pos="197" w:val="left"/>
        </w:tabs>
        <w:numPr>
          <w:ilvl w:val="0"/>
          <w:numId w:val="53"/>
        </w:numPr>
        <w:rPr>
          <w:rFonts w:ascii="Arial" w:cs="Arial" w:eastAsia="Arial" w:hAnsi="Arial"/>
          <w:sz w:val="16"/>
          <w:szCs w:val="16"/>
          <w:b w:val="1"/>
          <w:bCs w:val="1"/>
          <w:color w:val="D7282F"/>
        </w:rPr>
      </w:pPr>
      <w:r>
        <w:rPr>
          <w:rFonts w:ascii="Arial" w:cs="Arial" w:eastAsia="Arial" w:hAnsi="Arial"/>
          <w:sz w:val="16"/>
          <w:szCs w:val="16"/>
          <w:color w:val="auto"/>
        </w:rPr>
        <w:t>Joined Honeywell in 1989 and has held several leadership positions at the Company, including Vice President and General Manager of HPS' Advanced Solutions business and Managing Director for Honeywell Automation India Limited.</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30"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360" w:hanging="197"/>
        <w:spacing w:after="0" w:line="257"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Deep knowledge of Honeywell's operating system, end markets, and customer needs gained through leadership across multiple business models, industries, regions, and business cycles during his 35-year tenure.</w:t>
      </w:r>
    </w:p>
    <w:p>
      <w:pPr>
        <w:spacing w:after="0" w:line="16" w:lineRule="exact"/>
        <w:rPr>
          <w:rFonts w:ascii="Arial" w:cs="Arial" w:eastAsia="Arial" w:hAnsi="Arial"/>
          <w:sz w:val="16"/>
          <w:szCs w:val="16"/>
          <w:b w:val="1"/>
          <w:bCs w:val="1"/>
          <w:color w:val="D7282F"/>
        </w:rPr>
      </w:pPr>
    </w:p>
    <w:p>
      <w:pPr>
        <w:ind w:left="400" w:right="120" w:hanging="197"/>
        <w:spacing w:after="0" w:line="268"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Demonstrated ability to drive key sustainability and digitalization initiatives and operational execution, while advancing the Honeywell Accelerator operating system.</w:t>
      </w:r>
    </w:p>
    <w:p>
      <w:pPr>
        <w:spacing w:after="0" w:line="21" w:lineRule="exact"/>
        <w:rPr>
          <w:rFonts w:ascii="Arial" w:cs="Arial" w:eastAsia="Arial" w:hAnsi="Arial"/>
          <w:sz w:val="16"/>
          <w:szCs w:val="16"/>
          <w:b w:val="1"/>
          <w:bCs w:val="1"/>
          <w:color w:val="D7282F"/>
        </w:rPr>
      </w:pPr>
    </w:p>
    <w:p>
      <w:pPr>
        <w:ind w:left="400" w:right="160" w:hanging="197"/>
        <w:spacing w:after="0" w:line="268"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Uniquely capable to drive Honeywell's ESG-oriented innovation and solidify Honeywell's position to lead in the energy transition.</w:t>
      </w:r>
    </w:p>
    <w:p>
      <w:pPr>
        <w:spacing w:after="0" w:line="7" w:lineRule="exact"/>
        <w:rPr>
          <w:rFonts w:ascii="Arial" w:cs="Arial" w:eastAsia="Arial" w:hAnsi="Arial"/>
          <w:sz w:val="16"/>
          <w:szCs w:val="16"/>
          <w:b w:val="1"/>
          <w:bCs w:val="1"/>
          <w:color w:val="D7282F"/>
        </w:rPr>
      </w:pPr>
    </w:p>
    <w:p>
      <w:pPr>
        <w:ind w:left="400" w:right="700" w:hanging="197"/>
        <w:spacing w:after="0" w:line="281"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Demonstrated ability to deliver financial results as a leader in a variety of different businesses, with disparate business models, technologies, geographies, and customers.</w:t>
      </w:r>
    </w:p>
    <w:p>
      <w:pPr>
        <w:spacing w:after="0" w:line="1" w:lineRule="exact"/>
        <w:rPr>
          <w:rFonts w:ascii="Arial" w:cs="Arial" w:eastAsia="Arial" w:hAnsi="Arial"/>
          <w:sz w:val="16"/>
          <w:szCs w:val="16"/>
          <w:b w:val="1"/>
          <w:bCs w:val="1"/>
          <w:color w:val="D7282F"/>
        </w:rPr>
      </w:pPr>
    </w:p>
    <w:p>
      <w:pPr>
        <w:ind w:left="400" w:right="260" w:hanging="197"/>
        <w:spacing w:after="0" w:line="268" w:lineRule="auto"/>
        <w:tabs>
          <w:tab w:leader="none" w:pos="397" w:val="left"/>
        </w:tabs>
        <w:numPr>
          <w:ilvl w:val="1"/>
          <w:numId w:val="53"/>
        </w:numPr>
        <w:rPr>
          <w:rFonts w:ascii="Arial" w:cs="Arial" w:eastAsia="Arial" w:hAnsi="Arial"/>
          <w:sz w:val="16"/>
          <w:szCs w:val="16"/>
          <w:b w:val="1"/>
          <w:bCs w:val="1"/>
          <w:color w:val="D7282F"/>
        </w:rPr>
      </w:pPr>
      <w:r>
        <w:rPr>
          <w:rFonts w:ascii="Arial" w:cs="Arial" w:eastAsia="Arial" w:hAnsi="Arial"/>
          <w:sz w:val="16"/>
          <w:szCs w:val="16"/>
          <w:color w:val="auto"/>
        </w:rPr>
        <w:t>Strategic leadership skills necessary to evolve business strategies to meet the challenges of a constantly changing environment across Honeywell's diverse business portfolio.</w:t>
      </w:r>
    </w:p>
    <w:p>
      <w:pPr>
        <w:spacing w:after="0" w:line="200" w:lineRule="exact"/>
        <w:rPr>
          <w:sz w:val="20"/>
          <w:szCs w:val="20"/>
          <w:color w:val="auto"/>
        </w:rPr>
      </w:pPr>
    </w:p>
    <w:p>
      <w:pPr>
        <w:sectPr>
          <w:pgSz w:w="11900" w:h="16838" w:orient="portrait"/>
          <w:cols w:equalWidth="0" w:num="2">
            <w:col w:w="2620" w:space="300"/>
            <w:col w:w="8160"/>
          </w:cols>
          <w:pgMar w:left="320" w:top="230" w:right="499" w:bottom="1440" w:gutter="0" w:footer="0" w:header="0"/>
          <w:type w:val="continuous"/>
        </w:sectPr>
      </w:pPr>
    </w:p>
    <w:p>
      <w:pPr>
        <w:spacing w:after="0" w:line="272"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16"/>
          <w:szCs w:val="16"/>
          <w:color w:val="auto"/>
          <w:vertAlign w:val="superscript"/>
        </w:rPr>
      </w:pPr>
      <w:r>
        <w:rPr>
          <w:rFonts w:ascii="Arial" w:cs="Arial" w:eastAsia="Arial" w:hAnsi="Arial"/>
          <w:sz w:val="13"/>
          <w:szCs w:val="13"/>
          <w:color w:val="auto"/>
        </w:rPr>
        <w:t>Excludes the boards of Honeywell's consolidated subsidiaries.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MICHAEL W. LAMACH</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EXECUTIVE CHAIR, TRANE TECHNOLOGIES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30943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23430" cy="3094355"/>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0</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60</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ind w:left="220" w:hanging="194"/>
        <w:spacing w:after="0"/>
        <w:tabs>
          <w:tab w:leader="none" w:pos="220" w:val="left"/>
        </w:tabs>
        <w:numPr>
          <w:ilvl w:val="0"/>
          <w:numId w:val="55"/>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88" w:lineRule="exact"/>
        <w:rPr>
          <w:sz w:val="20"/>
          <w:szCs w:val="20"/>
          <w:color w:val="auto"/>
        </w:rPr>
      </w:pPr>
    </w:p>
    <w:p>
      <w:pPr>
        <w:ind w:left="20"/>
        <w:spacing w:after="0" w:line="22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56"/>
        </w:numPr>
        <w:rPr>
          <w:rFonts w:ascii="Arial" w:cs="Arial" w:eastAsia="Arial" w:hAnsi="Arial"/>
          <w:sz w:val="16"/>
          <w:szCs w:val="16"/>
          <w:b w:val="1"/>
          <w:bCs w:val="1"/>
          <w:color w:val="D7282F"/>
        </w:rPr>
      </w:pPr>
      <w:r>
        <w:rPr>
          <w:rFonts w:ascii="Arial" w:cs="Arial" w:eastAsia="Arial" w:hAnsi="Arial"/>
          <w:sz w:val="16"/>
          <w:szCs w:val="16"/>
          <w:color w:val="auto"/>
        </w:rPr>
        <w:t>PPG Industries, Inc.</w:t>
      </w:r>
    </w:p>
    <w:p>
      <w:pPr>
        <w:spacing w:after="0" w:line="43"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6"/>
        </w:numPr>
        <w:rPr>
          <w:rFonts w:ascii="Arial" w:cs="Arial" w:eastAsia="Arial" w:hAnsi="Arial"/>
          <w:sz w:val="16"/>
          <w:szCs w:val="16"/>
          <w:b w:val="1"/>
          <w:bCs w:val="1"/>
          <w:color w:val="D7282F"/>
        </w:rPr>
      </w:pPr>
      <w:r>
        <w:rPr>
          <w:rFonts w:ascii="Arial" w:cs="Arial" w:eastAsia="Arial" w:hAnsi="Arial"/>
          <w:sz w:val="16"/>
          <w:szCs w:val="16"/>
          <w:color w:val="auto"/>
        </w:rPr>
        <w:t>Nucor Corporation</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ind w:left="220" w:hanging="194"/>
        <w:spacing w:after="0"/>
        <w:tabs>
          <w:tab w:leader="none" w:pos="220"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Ingersoll-Rand</w:t>
      </w:r>
    </w:p>
    <w:p>
      <w:pPr>
        <w:spacing w:after="0" w:line="43"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Trane Technologies plc</w:t>
      </w:r>
    </w:p>
    <w:p>
      <w:pPr>
        <w:spacing w:after="0" w:line="59" w:lineRule="exact"/>
        <w:rPr>
          <w:rFonts w:ascii="Arial" w:cs="Arial" w:eastAsia="Arial" w:hAnsi="Arial"/>
          <w:sz w:val="16"/>
          <w:szCs w:val="16"/>
          <w:b w:val="1"/>
          <w:bCs w:val="1"/>
          <w:color w:val="D7282F"/>
        </w:rPr>
      </w:pPr>
    </w:p>
    <w:p>
      <w:pPr>
        <w:ind w:left="220" w:hanging="194"/>
        <w:spacing w:after="0"/>
        <w:tabs>
          <w:tab w:leader="none" w:pos="220" w:val="left"/>
        </w:tabs>
        <w:numPr>
          <w:ilvl w:val="0"/>
          <w:numId w:val="57"/>
        </w:numPr>
        <w:rPr>
          <w:rFonts w:ascii="Arial" w:cs="Arial" w:eastAsia="Arial" w:hAnsi="Arial"/>
          <w:sz w:val="16"/>
          <w:szCs w:val="16"/>
          <w:b w:val="1"/>
          <w:bCs w:val="1"/>
          <w:color w:val="D7282F"/>
        </w:rPr>
      </w:pPr>
      <w:r>
        <w:rPr>
          <w:rFonts w:ascii="Arial" w:cs="Arial" w:eastAsia="Arial" w:hAnsi="Arial"/>
          <w:sz w:val="16"/>
          <w:szCs w:val="16"/>
          <w:color w:val="auto"/>
        </w:rPr>
        <w:t>Iron Mountain Inc.</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40" w:hanging="192"/>
        <w:spacing w:after="0" w:line="248" w:lineRule="auto"/>
        <w:tabs>
          <w:tab w:leader="none" w:pos="197" w:val="left"/>
        </w:tabs>
        <w:numPr>
          <w:ilvl w:val="0"/>
          <w:numId w:val="58"/>
        </w:numPr>
        <w:rPr>
          <w:rFonts w:ascii="Arial" w:cs="Arial" w:eastAsia="Arial" w:hAnsi="Arial"/>
          <w:sz w:val="16"/>
          <w:szCs w:val="16"/>
          <w:b w:val="1"/>
          <w:bCs w:val="1"/>
          <w:color w:val="D7282F"/>
        </w:rPr>
      </w:pPr>
      <w:r>
        <w:rPr>
          <w:rFonts w:ascii="Arial" w:cs="Arial" w:eastAsia="Arial" w:hAnsi="Arial"/>
          <w:sz w:val="16"/>
          <w:szCs w:val="16"/>
          <w:color w:val="auto"/>
        </w:rPr>
        <w:t>Retired Chairman and Chief Executive Officer of Trane Technologies plc, a global climate innovator that has a portfolio of sustainable climate solutions, products, and services for the building, homes, and transportation industries. In 2020, Trane Technologies completed a spin-off of its industrial business (Trane Technologies was previously known as Ingersoll-Rand).</w:t>
      </w:r>
    </w:p>
    <w:p>
      <w:pPr>
        <w:spacing w:after="0" w:line="9" w:lineRule="exact"/>
        <w:rPr>
          <w:rFonts w:ascii="Arial" w:cs="Arial" w:eastAsia="Arial" w:hAnsi="Arial"/>
          <w:sz w:val="16"/>
          <w:szCs w:val="16"/>
          <w:b w:val="1"/>
          <w:bCs w:val="1"/>
          <w:color w:val="D7282F"/>
        </w:rPr>
      </w:pPr>
    </w:p>
    <w:p>
      <w:pPr>
        <w:ind w:left="200" w:hanging="192"/>
        <w:spacing w:after="0" w:line="248" w:lineRule="auto"/>
        <w:tabs>
          <w:tab w:leader="none" w:pos="197" w:val="left"/>
        </w:tabs>
        <w:numPr>
          <w:ilvl w:val="0"/>
          <w:numId w:val="58"/>
        </w:numPr>
        <w:rPr>
          <w:rFonts w:ascii="Arial" w:cs="Arial" w:eastAsia="Arial" w:hAnsi="Arial"/>
          <w:sz w:val="16"/>
          <w:szCs w:val="16"/>
          <w:b w:val="1"/>
          <w:bCs w:val="1"/>
          <w:color w:val="D7282F"/>
        </w:rPr>
      </w:pPr>
      <w:r>
        <w:rPr>
          <w:rFonts w:ascii="Arial" w:cs="Arial" w:eastAsia="Arial" w:hAnsi="Arial"/>
          <w:sz w:val="16"/>
          <w:szCs w:val="16"/>
          <w:color w:val="auto"/>
        </w:rPr>
        <w:t>Served as Executive Chair of Trane Technologies from July 2021 until his retirement in December 2021, having previously served as both Chairman and Chief Executive Officer following the company's February 2020 separation from Ingersoll-Rand.</w:t>
      </w:r>
    </w:p>
    <w:p>
      <w:pPr>
        <w:spacing w:after="0" w:line="23" w:lineRule="exact"/>
        <w:rPr>
          <w:rFonts w:ascii="Arial" w:cs="Arial" w:eastAsia="Arial" w:hAnsi="Arial"/>
          <w:sz w:val="16"/>
          <w:szCs w:val="16"/>
          <w:b w:val="1"/>
          <w:bCs w:val="1"/>
          <w:color w:val="D7282F"/>
        </w:rPr>
      </w:pPr>
    </w:p>
    <w:p>
      <w:pPr>
        <w:ind w:left="200" w:right="400" w:hanging="192"/>
        <w:spacing w:after="0" w:line="264" w:lineRule="auto"/>
        <w:tabs>
          <w:tab w:leader="none" w:pos="197" w:val="left"/>
        </w:tabs>
        <w:numPr>
          <w:ilvl w:val="0"/>
          <w:numId w:val="58"/>
        </w:numPr>
        <w:rPr>
          <w:rFonts w:ascii="Arial" w:cs="Arial" w:eastAsia="Arial" w:hAnsi="Arial"/>
          <w:sz w:val="16"/>
          <w:szCs w:val="16"/>
          <w:b w:val="1"/>
          <w:bCs w:val="1"/>
          <w:color w:val="D7282F"/>
        </w:rPr>
      </w:pPr>
      <w:r>
        <w:rPr>
          <w:rFonts w:ascii="Arial" w:cs="Arial" w:eastAsia="Arial" w:hAnsi="Arial"/>
          <w:sz w:val="16"/>
          <w:szCs w:val="16"/>
          <w:color w:val="auto"/>
        </w:rPr>
        <w:t>Served in a number of leadership roles after joining Ingersoll-Rand in 2004, including Chairman and Chief Executive Officer from June 2010 to February 2020.</w:t>
      </w:r>
    </w:p>
    <w:p>
      <w:pPr>
        <w:ind w:left="200" w:right="120" w:hanging="192"/>
        <w:spacing w:after="0" w:line="268" w:lineRule="auto"/>
        <w:tabs>
          <w:tab w:leader="none" w:pos="197" w:val="left"/>
        </w:tabs>
        <w:numPr>
          <w:ilvl w:val="0"/>
          <w:numId w:val="58"/>
        </w:numPr>
        <w:rPr>
          <w:rFonts w:ascii="Arial" w:cs="Arial" w:eastAsia="Arial" w:hAnsi="Arial"/>
          <w:sz w:val="16"/>
          <w:szCs w:val="16"/>
          <w:b w:val="1"/>
          <w:bCs w:val="1"/>
          <w:color w:val="D7282F"/>
        </w:rPr>
      </w:pPr>
      <w:r>
        <w:rPr>
          <w:rFonts w:ascii="Arial" w:cs="Arial" w:eastAsia="Arial" w:hAnsi="Arial"/>
          <w:sz w:val="16"/>
          <w:szCs w:val="16"/>
          <w:color w:val="auto"/>
        </w:rPr>
        <w:t>Served for 17 years in a variety of management positions at Johnson Controls International, a global leader in smart, healthy, and sustainable buildings.</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6"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80" w:hanging="197"/>
        <w:spacing w:after="0" w:line="272" w:lineRule="auto"/>
        <w:tabs>
          <w:tab w:leader="none" w:pos="397" w:val="left"/>
        </w:tabs>
        <w:numPr>
          <w:ilvl w:val="1"/>
          <w:numId w:val="58"/>
        </w:numPr>
        <w:rPr>
          <w:rFonts w:ascii="Arial" w:cs="Arial" w:eastAsia="Arial" w:hAnsi="Arial"/>
          <w:sz w:val="16"/>
          <w:szCs w:val="16"/>
          <w:b w:val="1"/>
          <w:bCs w:val="1"/>
          <w:color w:val="D7282F"/>
        </w:rPr>
      </w:pPr>
      <w:r>
        <w:rPr>
          <w:rFonts w:ascii="Arial" w:cs="Arial" w:eastAsia="Arial" w:hAnsi="Arial"/>
          <w:sz w:val="16"/>
          <w:szCs w:val="16"/>
          <w:color w:val="auto"/>
        </w:rPr>
        <w:t>Deep knowledge in sustainability, as well as engineering, mergers and acquisitions, and operations through his three decades of leadership roles at Trane Technologies, Ingersoll-Rand, and Johnson Controls.</w:t>
      </w:r>
    </w:p>
    <w:p>
      <w:pPr>
        <w:spacing w:after="0" w:line="1" w:lineRule="exact"/>
        <w:rPr>
          <w:rFonts w:ascii="Arial" w:cs="Arial" w:eastAsia="Arial" w:hAnsi="Arial"/>
          <w:sz w:val="16"/>
          <w:szCs w:val="16"/>
          <w:b w:val="1"/>
          <w:bCs w:val="1"/>
          <w:color w:val="D7282F"/>
        </w:rPr>
      </w:pPr>
    </w:p>
    <w:p>
      <w:pPr>
        <w:ind w:left="400" w:right="200" w:hanging="197"/>
        <w:spacing w:after="0" w:line="264" w:lineRule="auto"/>
        <w:tabs>
          <w:tab w:leader="none" w:pos="397" w:val="left"/>
        </w:tabs>
        <w:numPr>
          <w:ilvl w:val="1"/>
          <w:numId w:val="58"/>
        </w:numPr>
        <w:rPr>
          <w:rFonts w:ascii="Arial" w:cs="Arial" w:eastAsia="Arial" w:hAnsi="Arial"/>
          <w:sz w:val="16"/>
          <w:szCs w:val="16"/>
          <w:b w:val="1"/>
          <w:bCs w:val="1"/>
          <w:color w:val="D7282F"/>
        </w:rPr>
      </w:pPr>
      <w:r>
        <w:rPr>
          <w:rFonts w:ascii="Arial" w:cs="Arial" w:eastAsia="Arial" w:hAnsi="Arial"/>
          <w:sz w:val="16"/>
          <w:szCs w:val="16"/>
          <w:color w:val="auto"/>
        </w:rPr>
        <w:t>Proven leadership in transforming Trane Technologies into a global leader in climate controls and climate-focused innovations for buildings, homes, and transportation.</w:t>
      </w:r>
    </w:p>
    <w:p>
      <w:pPr>
        <w:ind w:left="400" w:right="320" w:hanging="197"/>
        <w:spacing w:after="0" w:line="268" w:lineRule="auto"/>
        <w:tabs>
          <w:tab w:leader="none" w:pos="397" w:val="left"/>
        </w:tabs>
        <w:numPr>
          <w:ilvl w:val="1"/>
          <w:numId w:val="58"/>
        </w:numPr>
        <w:rPr>
          <w:rFonts w:ascii="Arial" w:cs="Arial" w:eastAsia="Arial" w:hAnsi="Arial"/>
          <w:sz w:val="16"/>
          <w:szCs w:val="16"/>
          <w:b w:val="1"/>
          <w:bCs w:val="1"/>
          <w:color w:val="D7282F"/>
        </w:rPr>
      </w:pPr>
      <w:r>
        <w:rPr>
          <w:rFonts w:ascii="Arial" w:cs="Arial" w:eastAsia="Arial" w:hAnsi="Arial"/>
          <w:sz w:val="16"/>
          <w:szCs w:val="16"/>
          <w:color w:val="auto"/>
        </w:rPr>
        <w:t>Proven experience, reputation, and leadership skills in developing business enterprises across industrial sectors that can deliver growth, sustainable value creation, and innovation.</w:t>
      </w:r>
    </w:p>
    <w:p>
      <w:pPr>
        <w:spacing w:after="0" w:line="200" w:lineRule="exact"/>
        <w:rPr>
          <w:sz w:val="20"/>
          <w:szCs w:val="20"/>
          <w:color w:val="auto"/>
        </w:rPr>
      </w:pPr>
    </w:p>
    <w:p>
      <w:pPr>
        <w:sectPr>
          <w:pgSz w:w="11900" w:h="16838" w:orient="portrait"/>
          <w:cols w:equalWidth="0" w:num="2">
            <w:col w:w="2620" w:space="300"/>
            <w:col w:w="8160"/>
          </w:cols>
          <w:pgMar w:left="320" w:top="230" w:right="4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sz w:val="1"/>
          <w:szCs w:val="1"/>
          <w:color w:val="auto"/>
        </w:rPr>
        <w:drawing>
          <wp:inline distT="0" distB="0" distL="0" distR="0">
            <wp:extent cx="548640" cy="10287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30" w:right="499" w:bottom="1440" w:gutter="0" w:footer="0" w:header="0"/>
          <w:type w:val="continuous"/>
        </w:sectPr>
      </w:pPr>
    </w:p>
    <w:bookmarkStart w:id="28" w:name="page29"/>
    <w:bookmarkEnd w:id="28"/>
    <w:p>
      <w:pPr>
        <w:jc w:val="right"/>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ROSE LEE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PRESIDENT AND CHIEF EXECUTIVE OFFICER, CORNERSTONE BUILDING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8233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23430" cy="382333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2</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58</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26" w:lineRule="exact"/>
        <w:rPr>
          <w:sz w:val="20"/>
          <w:szCs w:val="20"/>
          <w:color w:val="auto"/>
        </w:rPr>
      </w:pPr>
    </w:p>
    <w:p>
      <w:pPr>
        <w:ind w:left="220" w:right="160" w:hanging="194"/>
        <w:spacing w:after="0" w:line="265" w:lineRule="auto"/>
        <w:tabs>
          <w:tab w:leader="none" w:pos="217" w:val="left"/>
        </w:tabs>
        <w:numPr>
          <w:ilvl w:val="0"/>
          <w:numId w:val="59"/>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w:t>
      </w:r>
    </w:p>
    <w:p>
      <w:pPr>
        <w:spacing w:after="0" w:line="69" w:lineRule="exact"/>
        <w:rPr>
          <w:sz w:val="20"/>
          <w:szCs w:val="20"/>
          <w:color w:val="auto"/>
        </w:rPr>
      </w:pPr>
    </w:p>
    <w:p>
      <w:pPr>
        <w:ind w:left="20" w:righ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60"/>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61"/>
        </w:numPr>
        <w:rPr>
          <w:rFonts w:ascii="Arial" w:cs="Arial" w:eastAsia="Arial" w:hAnsi="Arial"/>
          <w:sz w:val="16"/>
          <w:szCs w:val="16"/>
          <w:b w:val="1"/>
          <w:bCs w:val="1"/>
          <w:color w:val="D7282F"/>
        </w:rPr>
      </w:pPr>
      <w:r>
        <w:rPr>
          <w:rFonts w:ascii="Arial" w:cs="Arial" w:eastAsia="Arial" w:hAnsi="Arial"/>
          <w:sz w:val="16"/>
          <w:szCs w:val="16"/>
          <w:color w:val="auto"/>
        </w:rPr>
        <w:t>Crown Holdings Inc.</w:t>
      </w:r>
    </w:p>
    <w:p>
      <w:pPr>
        <w:spacing w:after="0" w:line="70"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1"/>
        </w:numPr>
        <w:rPr>
          <w:rFonts w:ascii="Arial" w:cs="Arial" w:eastAsia="Arial" w:hAnsi="Arial"/>
          <w:sz w:val="16"/>
          <w:szCs w:val="16"/>
          <w:b w:val="1"/>
          <w:bCs w:val="1"/>
          <w:color w:val="D7282F"/>
        </w:rPr>
      </w:pPr>
      <w:r>
        <w:rPr>
          <w:rFonts w:ascii="Arial" w:cs="Arial" w:eastAsia="Arial" w:hAnsi="Arial"/>
          <w:sz w:val="16"/>
          <w:szCs w:val="16"/>
          <w:color w:val="auto"/>
        </w:rPr>
        <w:t>Cornerstone Building Brands, Inc.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280" w:hanging="192"/>
        <w:spacing w:after="0" w:line="268"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President and Chief Executive Officer of Cornerstone Building Brands, Inc., a leading manufacturer of exterior building products in North America, since September 2021.</w:t>
      </w:r>
    </w:p>
    <w:p>
      <w:pPr>
        <w:spacing w:after="0" w:line="21" w:lineRule="exact"/>
        <w:rPr>
          <w:rFonts w:ascii="Arial" w:cs="Arial" w:eastAsia="Arial" w:hAnsi="Arial"/>
          <w:sz w:val="16"/>
          <w:szCs w:val="16"/>
          <w:b w:val="1"/>
          <w:bCs w:val="1"/>
          <w:color w:val="D7282F"/>
        </w:rPr>
      </w:pPr>
    </w:p>
    <w:p>
      <w:pPr>
        <w:jc w:val="both"/>
        <w:ind w:left="200" w:right="600" w:hanging="192"/>
        <w:spacing w:after="0" w:line="268"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Served as President of the DuPont de Nemours, Inc. (DuPont) Water &amp; Protection business, focusing on improving sustainability through the company’s water, shelter, and safety solutions, through August 2021.</w:t>
      </w:r>
    </w:p>
    <w:p>
      <w:pPr>
        <w:spacing w:after="0" w:line="10" w:lineRule="exact"/>
        <w:rPr>
          <w:rFonts w:ascii="Arial" w:cs="Arial" w:eastAsia="Arial" w:hAnsi="Arial"/>
          <w:sz w:val="16"/>
          <w:szCs w:val="16"/>
          <w:b w:val="1"/>
          <w:bCs w:val="1"/>
          <w:color w:val="D7282F"/>
        </w:rPr>
      </w:pPr>
    </w:p>
    <w:p>
      <w:pPr>
        <w:ind w:left="200" w:right="200" w:hanging="192"/>
        <w:spacing w:after="0" w:line="226"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Joined DuPont in 2015 as Global Business Director, DuPont™Kevlar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Aramid Intermediates, assumed the role of President, DuPont Protection Solutions in 2016, and was named President, Safety &amp; Construction in 2017.</w:t>
      </w:r>
    </w:p>
    <w:p>
      <w:pPr>
        <w:spacing w:after="0" w:line="43" w:lineRule="exact"/>
        <w:rPr>
          <w:rFonts w:ascii="Arial" w:cs="Arial" w:eastAsia="Arial" w:hAnsi="Arial"/>
          <w:sz w:val="16"/>
          <w:szCs w:val="16"/>
          <w:b w:val="1"/>
          <w:bCs w:val="1"/>
          <w:color w:val="D7282F"/>
        </w:rPr>
      </w:pPr>
    </w:p>
    <w:p>
      <w:pPr>
        <w:ind w:left="200" w:right="560" w:hanging="192"/>
        <w:spacing w:after="0" w:line="268"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Previously spent 15 years with Saint-Gobain in a number of general management, strategic planning, and information technology roles, serving construction, transportation, energy, and defense sectors.</w:t>
      </w:r>
    </w:p>
    <w:p>
      <w:pPr>
        <w:spacing w:after="0" w:line="7" w:lineRule="exact"/>
        <w:rPr>
          <w:rFonts w:ascii="Arial" w:cs="Arial" w:eastAsia="Arial" w:hAnsi="Arial"/>
          <w:sz w:val="16"/>
          <w:szCs w:val="16"/>
          <w:b w:val="1"/>
          <w:bCs w:val="1"/>
          <w:color w:val="D7282F"/>
        </w:rPr>
      </w:pPr>
    </w:p>
    <w:p>
      <w:pPr>
        <w:ind w:left="200" w:right="40" w:hanging="192"/>
        <w:spacing w:after="0" w:line="268"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Held various engineering and management positions at Pratt &amp; Whitney, a Raytheon Technologies company, and was a senior consultant at Booz Allen Hamilton in New York City.</w:t>
      </w:r>
    </w:p>
    <w:p>
      <w:pPr>
        <w:spacing w:after="0" w:line="21" w:lineRule="exact"/>
        <w:rPr>
          <w:rFonts w:ascii="Arial" w:cs="Arial" w:eastAsia="Arial" w:hAnsi="Arial"/>
          <w:sz w:val="16"/>
          <w:szCs w:val="16"/>
          <w:b w:val="1"/>
          <w:bCs w:val="1"/>
          <w:color w:val="D7282F"/>
        </w:rPr>
      </w:pPr>
    </w:p>
    <w:p>
      <w:pPr>
        <w:ind w:left="200" w:right="120" w:hanging="192"/>
        <w:spacing w:after="0" w:line="268" w:lineRule="auto"/>
        <w:tabs>
          <w:tab w:leader="none" w:pos="197" w:val="left"/>
        </w:tabs>
        <w:numPr>
          <w:ilvl w:val="0"/>
          <w:numId w:val="62"/>
        </w:numPr>
        <w:rPr>
          <w:rFonts w:ascii="Arial" w:cs="Arial" w:eastAsia="Arial" w:hAnsi="Arial"/>
          <w:sz w:val="16"/>
          <w:szCs w:val="16"/>
          <w:b w:val="1"/>
          <w:bCs w:val="1"/>
          <w:color w:val="D7282F"/>
        </w:rPr>
      </w:pPr>
      <w:r>
        <w:rPr>
          <w:rFonts w:ascii="Arial" w:cs="Arial" w:eastAsia="Arial" w:hAnsi="Arial"/>
          <w:sz w:val="16"/>
          <w:szCs w:val="16"/>
          <w:color w:val="auto"/>
        </w:rPr>
        <w:t>Previously served as a member of the Economic Advisory Council for the Federal Reserve Bank of Philadelphia and is a member of the Forum of Executive Women.</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89"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320" w:hanging="197"/>
        <w:spacing w:after="0" w:line="268" w:lineRule="auto"/>
        <w:tabs>
          <w:tab w:leader="none" w:pos="397"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Extensive ESG experience, including a focus on improving sustainability through water, shelter, and safety solutions and spearheading initiatives that have advanced minorities, women, and veterans.</w:t>
      </w:r>
    </w:p>
    <w:p>
      <w:pPr>
        <w:spacing w:after="0" w:line="21" w:lineRule="exact"/>
        <w:rPr>
          <w:rFonts w:ascii="Arial" w:cs="Arial" w:eastAsia="Arial" w:hAnsi="Arial"/>
          <w:sz w:val="16"/>
          <w:szCs w:val="16"/>
          <w:b w:val="1"/>
          <w:bCs w:val="1"/>
          <w:color w:val="D7282F"/>
        </w:rPr>
      </w:pPr>
    </w:p>
    <w:p>
      <w:pPr>
        <w:ind w:left="400" w:hanging="197"/>
        <w:spacing w:after="0"/>
        <w:tabs>
          <w:tab w:leader="none" w:pos="400"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Deep understanding of construction, transportation, energy, and defense sectors.</w:t>
      </w:r>
    </w:p>
    <w:p>
      <w:pPr>
        <w:spacing w:after="0" w:line="59" w:lineRule="exact"/>
        <w:rPr>
          <w:rFonts w:ascii="Arial" w:cs="Arial" w:eastAsia="Arial" w:hAnsi="Arial"/>
          <w:sz w:val="16"/>
          <w:szCs w:val="16"/>
          <w:b w:val="1"/>
          <w:bCs w:val="1"/>
          <w:color w:val="D7282F"/>
        </w:rPr>
      </w:pPr>
    </w:p>
    <w:p>
      <w:pPr>
        <w:ind w:left="400" w:right="80" w:hanging="197"/>
        <w:spacing w:after="0" w:line="281" w:lineRule="auto"/>
        <w:tabs>
          <w:tab w:leader="none" w:pos="397"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Significant knowledge of aerospace and mechanical engineering, and experience working on projects ranging from implementing lean manufacturing to designing a 3-D turbine for aircraft jet engines.</w:t>
      </w:r>
    </w:p>
    <w:p>
      <w:pPr>
        <w:spacing w:after="0" w:line="1" w:lineRule="exact"/>
        <w:rPr>
          <w:rFonts w:ascii="Arial" w:cs="Arial" w:eastAsia="Arial" w:hAnsi="Arial"/>
          <w:sz w:val="16"/>
          <w:szCs w:val="16"/>
          <w:b w:val="1"/>
          <w:bCs w:val="1"/>
          <w:color w:val="D7282F"/>
        </w:rPr>
      </w:pPr>
    </w:p>
    <w:p>
      <w:pPr>
        <w:ind w:left="400" w:right="600" w:hanging="197"/>
        <w:spacing w:after="0" w:line="268" w:lineRule="auto"/>
        <w:tabs>
          <w:tab w:leader="none" w:pos="397" w:val="left"/>
        </w:tabs>
        <w:numPr>
          <w:ilvl w:val="1"/>
          <w:numId w:val="62"/>
        </w:numPr>
        <w:rPr>
          <w:rFonts w:ascii="Arial" w:cs="Arial" w:eastAsia="Arial" w:hAnsi="Arial"/>
          <w:sz w:val="16"/>
          <w:szCs w:val="16"/>
          <w:b w:val="1"/>
          <w:bCs w:val="1"/>
          <w:color w:val="D7282F"/>
        </w:rPr>
      </w:pPr>
      <w:r>
        <w:rPr>
          <w:rFonts w:ascii="Arial" w:cs="Arial" w:eastAsia="Arial" w:hAnsi="Arial"/>
          <w:sz w:val="16"/>
          <w:szCs w:val="16"/>
          <w:color w:val="auto"/>
        </w:rPr>
        <w:t>Unique blend of leadership skills and deep knowledge of operations and technology, cybersecurity risk management, and strategic planning.</w:t>
      </w:r>
    </w:p>
    <w:p>
      <w:pPr>
        <w:spacing w:after="0" w:line="200" w:lineRule="exact"/>
        <w:rPr>
          <w:sz w:val="20"/>
          <w:szCs w:val="20"/>
          <w:color w:val="auto"/>
        </w:rPr>
      </w:pPr>
    </w:p>
    <w:p>
      <w:pPr>
        <w:sectPr>
          <w:pgSz w:w="11900" w:h="16838" w:orient="portrait"/>
          <w:cols w:equalWidth="0" w:num="2">
            <w:col w:w="2640" w:space="280"/>
            <w:col w:w="8320"/>
          </w:cols>
          <w:pgMar w:left="320" w:top="230" w:right="339" w:bottom="1440" w:gutter="0" w:footer="0" w:header="0"/>
          <w:type w:val="continuous"/>
        </w:sect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GRACE LIEBLEIN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VICE PRESIDENT, GLOBAL QUALITY, GENERAL MOTORS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2232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23430" cy="322326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11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63</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26" w:lineRule="exact"/>
        <w:rPr>
          <w:sz w:val="20"/>
          <w:szCs w:val="20"/>
          <w:color w:val="auto"/>
        </w:rPr>
      </w:pPr>
    </w:p>
    <w:p>
      <w:pPr>
        <w:ind w:left="220" w:right="140" w:hanging="194"/>
        <w:spacing w:after="0" w:line="283" w:lineRule="auto"/>
        <w:tabs>
          <w:tab w:leader="none" w:pos="217" w:val="left"/>
        </w:tabs>
        <w:numPr>
          <w:ilvl w:val="0"/>
          <w:numId w:val="63"/>
        </w:numPr>
        <w:rPr>
          <w:rFonts w:ascii="Arial" w:cs="Arial" w:eastAsia="Arial" w:hAnsi="Arial"/>
          <w:sz w:val="16"/>
          <w:szCs w:val="16"/>
          <w:b w:val="1"/>
          <w:bCs w:val="1"/>
          <w:color w:val="D7282F"/>
        </w:rPr>
      </w:pPr>
      <w:r>
        <w:rPr>
          <w:rFonts w:ascii="Arial" w:cs="Arial" w:eastAsia="Arial" w:hAnsi="Arial"/>
          <w:sz w:val="16"/>
          <w:szCs w:val="16"/>
          <w:color w:val="auto"/>
        </w:rPr>
        <w:t>Management Development and Compensation (Chair)</w:t>
      </w:r>
    </w:p>
    <w:p>
      <w:pPr>
        <w:spacing w:after="0" w:line="9" w:lineRule="exact"/>
        <w:rPr>
          <w:rFonts w:ascii="Arial" w:cs="Arial" w:eastAsia="Arial" w:hAnsi="Arial"/>
          <w:sz w:val="16"/>
          <w:szCs w:val="16"/>
          <w:b w:val="1"/>
          <w:bCs w:val="1"/>
          <w:color w:val="D7282F"/>
        </w:rPr>
      </w:pPr>
    </w:p>
    <w:p>
      <w:pPr>
        <w:ind w:left="220" w:right="440" w:hanging="194"/>
        <w:spacing w:after="0" w:line="304" w:lineRule="auto"/>
        <w:tabs>
          <w:tab w:leader="none" w:pos="217" w:val="left"/>
        </w:tabs>
        <w:numPr>
          <w:ilvl w:val="0"/>
          <w:numId w:val="63"/>
        </w:numPr>
        <w:rPr>
          <w:rFonts w:ascii="Arial" w:cs="Arial" w:eastAsia="Arial" w:hAnsi="Arial"/>
          <w:sz w:val="16"/>
          <w:szCs w:val="16"/>
          <w:b w:val="1"/>
          <w:bCs w:val="1"/>
          <w:color w:val="D7282F"/>
        </w:rPr>
      </w:pPr>
      <w:r>
        <w:rPr>
          <w:rFonts w:ascii="Arial" w:cs="Arial" w:eastAsia="Arial" w:hAnsi="Arial"/>
          <w:sz w:val="16"/>
          <w:szCs w:val="16"/>
          <w:color w:val="auto"/>
        </w:rPr>
        <w:t>Corporate Governance and Responsibility</w:t>
      </w:r>
    </w:p>
    <w:p>
      <w:pPr>
        <w:spacing w:after="0" w:line="38" w:lineRule="exact"/>
        <w:rPr>
          <w:sz w:val="20"/>
          <w:szCs w:val="20"/>
          <w:color w:val="auto"/>
        </w:rPr>
      </w:pPr>
    </w:p>
    <w:p>
      <w:pPr>
        <w:ind w:lef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64"/>
        </w:numPr>
        <w:rPr>
          <w:rFonts w:ascii="Arial" w:cs="Arial" w:eastAsia="Arial" w:hAnsi="Arial"/>
          <w:sz w:val="16"/>
          <w:szCs w:val="16"/>
          <w:b w:val="1"/>
          <w:bCs w:val="1"/>
          <w:color w:val="D7282F"/>
        </w:rPr>
      </w:pPr>
      <w:r>
        <w:rPr>
          <w:rFonts w:ascii="Arial" w:cs="Arial" w:eastAsia="Arial" w:hAnsi="Arial"/>
          <w:sz w:val="16"/>
          <w:szCs w:val="16"/>
          <w:color w:val="auto"/>
        </w:rPr>
        <w:t>American Tower Corporation</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65"/>
        </w:numPr>
        <w:rPr>
          <w:rFonts w:ascii="Arial" w:cs="Arial" w:eastAsia="Arial" w:hAnsi="Arial"/>
          <w:sz w:val="16"/>
          <w:szCs w:val="16"/>
          <w:b w:val="1"/>
          <w:bCs w:val="1"/>
          <w:color w:val="D7282F"/>
        </w:rPr>
      </w:pPr>
      <w:r>
        <w:rPr>
          <w:rFonts w:ascii="Arial" w:cs="Arial" w:eastAsia="Arial" w:hAnsi="Arial"/>
          <w:sz w:val="16"/>
          <w:szCs w:val="16"/>
          <w:color w:val="auto"/>
        </w:rPr>
        <w:t>Southwest Airlines Co.</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240" w:hanging="192"/>
        <w:spacing w:after="0" w:line="248" w:lineRule="auto"/>
        <w:tabs>
          <w:tab w:leader="none" w:pos="197" w:val="left"/>
        </w:tabs>
        <w:numPr>
          <w:ilvl w:val="0"/>
          <w:numId w:val="66"/>
        </w:numPr>
        <w:rPr>
          <w:rFonts w:ascii="Arial" w:cs="Arial" w:eastAsia="Arial" w:hAnsi="Arial"/>
          <w:sz w:val="16"/>
          <w:szCs w:val="16"/>
          <w:b w:val="1"/>
          <w:bCs w:val="1"/>
          <w:color w:val="D7282F"/>
        </w:rPr>
      </w:pPr>
      <w:r>
        <w:rPr>
          <w:rFonts w:ascii="Arial" w:cs="Arial" w:eastAsia="Arial" w:hAnsi="Arial"/>
          <w:sz w:val="16"/>
          <w:szCs w:val="16"/>
          <w:color w:val="auto"/>
        </w:rPr>
        <w:t>Served as Vice President, Global Quality of General Motors Corporation (GM), a company that designs, manufactures, and markets cars, crossovers, trucks, and automobile parts worldwide, from November 2014 to March 2016.</w:t>
      </w:r>
    </w:p>
    <w:p>
      <w:pPr>
        <w:spacing w:after="0" w:line="37" w:lineRule="exact"/>
        <w:rPr>
          <w:rFonts w:ascii="Arial" w:cs="Arial" w:eastAsia="Arial" w:hAnsi="Arial"/>
          <w:sz w:val="16"/>
          <w:szCs w:val="16"/>
          <w:b w:val="1"/>
          <w:bCs w:val="1"/>
          <w:color w:val="D7282F"/>
        </w:rPr>
      </w:pPr>
    </w:p>
    <w:p>
      <w:pPr>
        <w:ind w:left="200" w:right="80" w:hanging="192"/>
        <w:spacing w:after="0" w:line="242" w:lineRule="auto"/>
        <w:tabs>
          <w:tab w:leader="none" w:pos="197" w:val="left"/>
        </w:tabs>
        <w:numPr>
          <w:ilvl w:val="0"/>
          <w:numId w:val="66"/>
        </w:numPr>
        <w:rPr>
          <w:rFonts w:ascii="Arial" w:cs="Arial" w:eastAsia="Arial" w:hAnsi="Arial"/>
          <w:sz w:val="16"/>
          <w:szCs w:val="16"/>
          <w:b w:val="1"/>
          <w:bCs w:val="1"/>
          <w:color w:val="D7282F"/>
        </w:rPr>
      </w:pPr>
      <w:r>
        <w:rPr>
          <w:rFonts w:ascii="Arial" w:cs="Arial" w:eastAsia="Arial" w:hAnsi="Arial"/>
          <w:sz w:val="16"/>
          <w:szCs w:val="16"/>
          <w:color w:val="auto"/>
        </w:rPr>
        <w:t>Served in multiple leadership roles at GM, including Vice President, Global Purchasing and Supply Chain from December 2012 to November 2014, GM Brazil President and Managing Director from June 2011 until December 2012, GM Mexico President and Managing Director from January 2009 until June 2011, and Vehicle Chief Engineer from October 2004 to January 2009.</w:t>
      </w:r>
    </w:p>
    <w:p>
      <w:pPr>
        <w:spacing w:after="0" w:line="40" w:lineRule="exact"/>
        <w:rPr>
          <w:rFonts w:ascii="Arial" w:cs="Arial" w:eastAsia="Arial" w:hAnsi="Arial"/>
          <w:sz w:val="16"/>
          <w:szCs w:val="16"/>
          <w:b w:val="1"/>
          <w:bCs w:val="1"/>
          <w:color w:val="D7282F"/>
        </w:rPr>
      </w:pPr>
    </w:p>
    <w:p>
      <w:pPr>
        <w:ind w:left="200" w:right="520" w:hanging="192"/>
        <w:spacing w:after="0" w:line="268" w:lineRule="auto"/>
        <w:tabs>
          <w:tab w:leader="none" w:pos="197" w:val="left"/>
        </w:tabs>
        <w:numPr>
          <w:ilvl w:val="0"/>
          <w:numId w:val="66"/>
        </w:numPr>
        <w:rPr>
          <w:rFonts w:ascii="Arial" w:cs="Arial" w:eastAsia="Arial" w:hAnsi="Arial"/>
          <w:sz w:val="16"/>
          <w:szCs w:val="16"/>
          <w:b w:val="1"/>
          <w:bCs w:val="1"/>
          <w:color w:val="D7282F"/>
        </w:rPr>
      </w:pPr>
      <w:r>
        <w:rPr>
          <w:rFonts w:ascii="Arial" w:cs="Arial" w:eastAsia="Arial" w:hAnsi="Arial"/>
          <w:sz w:val="16"/>
          <w:szCs w:val="16"/>
          <w:color w:val="auto"/>
        </w:rPr>
        <w:t>Joined GM in 1978 as a co-op student at the General Motors Assembly Division in Los Angeles and held a variety of leadership positions at GM in engineering, product development, and manufacturing.</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81"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280" w:hanging="197"/>
        <w:spacing w:after="0" w:line="268" w:lineRule="auto"/>
        <w:tabs>
          <w:tab w:leader="none" w:pos="397" w:val="left"/>
        </w:tabs>
        <w:numPr>
          <w:ilvl w:val="1"/>
          <w:numId w:val="66"/>
        </w:numPr>
        <w:rPr>
          <w:rFonts w:ascii="Arial" w:cs="Arial" w:eastAsia="Arial" w:hAnsi="Arial"/>
          <w:sz w:val="16"/>
          <w:szCs w:val="16"/>
          <w:b w:val="1"/>
          <w:bCs w:val="1"/>
          <w:color w:val="D7282F"/>
        </w:rPr>
      </w:pPr>
      <w:r>
        <w:rPr>
          <w:rFonts w:ascii="Arial" w:cs="Arial" w:eastAsia="Arial" w:hAnsi="Arial"/>
          <w:sz w:val="16"/>
          <w:szCs w:val="16"/>
          <w:color w:val="auto"/>
        </w:rPr>
        <w:t>Wide-ranging management and operating experience gained through various executive positions during an extensive career at GM.</w:t>
      </w:r>
    </w:p>
    <w:p>
      <w:pPr>
        <w:spacing w:after="0" w:line="21" w:lineRule="exact"/>
        <w:rPr>
          <w:rFonts w:ascii="Arial" w:cs="Arial" w:eastAsia="Arial" w:hAnsi="Arial"/>
          <w:sz w:val="16"/>
          <w:szCs w:val="16"/>
          <w:b w:val="1"/>
          <w:bCs w:val="1"/>
          <w:color w:val="D7282F"/>
        </w:rPr>
      </w:pPr>
    </w:p>
    <w:p>
      <w:pPr>
        <w:ind w:left="400" w:right="620" w:hanging="197"/>
        <w:spacing w:after="0" w:line="268" w:lineRule="auto"/>
        <w:tabs>
          <w:tab w:leader="none" w:pos="397" w:val="left"/>
        </w:tabs>
        <w:numPr>
          <w:ilvl w:val="1"/>
          <w:numId w:val="66"/>
        </w:numPr>
        <w:rPr>
          <w:rFonts w:ascii="Arial" w:cs="Arial" w:eastAsia="Arial" w:hAnsi="Arial"/>
          <w:sz w:val="16"/>
          <w:szCs w:val="16"/>
          <w:b w:val="1"/>
          <w:bCs w:val="1"/>
          <w:color w:val="D7282F"/>
        </w:rPr>
      </w:pPr>
      <w:r>
        <w:rPr>
          <w:rFonts w:ascii="Arial" w:cs="Arial" w:eastAsia="Arial" w:hAnsi="Arial"/>
          <w:sz w:val="16"/>
          <w:szCs w:val="16"/>
          <w:color w:val="auto"/>
        </w:rPr>
        <w:t>Significant expertise in supply chain management, global manufacturing, engineering, technology, and product design and development.</w:t>
      </w:r>
    </w:p>
    <w:p>
      <w:pPr>
        <w:spacing w:after="0" w:line="7" w:lineRule="exact"/>
        <w:rPr>
          <w:rFonts w:ascii="Arial" w:cs="Arial" w:eastAsia="Arial" w:hAnsi="Arial"/>
          <w:sz w:val="16"/>
          <w:szCs w:val="16"/>
          <w:b w:val="1"/>
          <w:bCs w:val="1"/>
          <w:color w:val="D7282F"/>
        </w:rPr>
      </w:pPr>
    </w:p>
    <w:p>
      <w:pPr>
        <w:ind w:left="400" w:right="480" w:hanging="197"/>
        <w:spacing w:after="0" w:line="286" w:lineRule="auto"/>
        <w:tabs>
          <w:tab w:leader="none" w:pos="397" w:val="left"/>
        </w:tabs>
        <w:numPr>
          <w:ilvl w:val="1"/>
          <w:numId w:val="66"/>
        </w:numPr>
        <w:rPr>
          <w:rFonts w:ascii="Arial" w:cs="Arial" w:eastAsia="Arial" w:hAnsi="Arial"/>
          <w:sz w:val="16"/>
          <w:szCs w:val="16"/>
          <w:b w:val="1"/>
          <w:bCs w:val="1"/>
          <w:color w:val="D7282F"/>
        </w:rPr>
      </w:pPr>
      <w:r>
        <w:rPr>
          <w:rFonts w:ascii="Arial" w:cs="Arial" w:eastAsia="Arial" w:hAnsi="Arial"/>
          <w:sz w:val="16"/>
          <w:szCs w:val="16"/>
          <w:color w:val="auto"/>
        </w:rPr>
        <w:t>International business, operations, and finance experience gained through senior leadership positions in Brazil and Mexico.</w:t>
      </w:r>
    </w:p>
    <w:p>
      <w:pPr>
        <w:spacing w:after="0" w:line="447" w:lineRule="exact"/>
        <w:rPr>
          <w:sz w:val="20"/>
          <w:szCs w:val="20"/>
          <w:color w:val="auto"/>
        </w:rPr>
      </w:pPr>
    </w:p>
    <w:p>
      <w:pPr>
        <w:sectPr>
          <w:pgSz w:w="11900" w:h="16838" w:orient="portrait"/>
          <w:cols w:equalWidth="0" w:num="2">
            <w:col w:w="2620" w:space="300"/>
            <w:col w:w="8320"/>
          </w:cols>
          <w:pgMar w:left="320" w:top="230" w:right="3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3"/>
          <w:szCs w:val="13"/>
          <w:b w:val="1"/>
          <w:bCs w:val="1"/>
          <w:color w:val="6D6E71"/>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ROBIN L. WASHINGTON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EXECUTIVE VICE PRESIDENT AND CHIEF FINANCIAL OFFICER, GILEAD 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0264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23430" cy="302641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D7282F"/>
        </w:rPr>
        <w:t>11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61</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26" w:lineRule="exact"/>
        <w:rPr>
          <w:sz w:val="20"/>
          <w:szCs w:val="20"/>
          <w:color w:val="auto"/>
        </w:rPr>
      </w:pPr>
    </w:p>
    <w:p>
      <w:pPr>
        <w:ind w:left="220" w:hanging="194"/>
        <w:spacing w:after="0"/>
        <w:tabs>
          <w:tab w:leader="none" w:pos="220" w:val="left"/>
        </w:tabs>
        <w:numPr>
          <w:ilvl w:val="0"/>
          <w:numId w:val="67"/>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102" w:lineRule="exact"/>
        <w:rPr>
          <w:sz w:val="20"/>
          <w:szCs w:val="20"/>
          <w:color w:val="auto"/>
        </w:rPr>
      </w:pPr>
    </w:p>
    <w:p>
      <w:pPr>
        <w:ind w:left="20"/>
        <w:spacing w:after="0" w:line="26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68"/>
        </w:numPr>
        <w:rPr>
          <w:rFonts w:ascii="Arial" w:cs="Arial" w:eastAsia="Arial" w:hAnsi="Arial"/>
          <w:sz w:val="16"/>
          <w:szCs w:val="16"/>
          <w:b w:val="1"/>
          <w:bCs w:val="1"/>
          <w:color w:val="D7282F"/>
        </w:rPr>
      </w:pPr>
      <w:r>
        <w:rPr>
          <w:rFonts w:ascii="Arial" w:cs="Arial" w:eastAsia="Arial" w:hAnsi="Arial"/>
          <w:sz w:val="16"/>
          <w:szCs w:val="16"/>
          <w:color w:val="auto"/>
        </w:rPr>
        <w:t>Alphabet Inc.</w:t>
      </w:r>
    </w:p>
    <w:p>
      <w:pPr>
        <w:spacing w:after="0" w:line="56"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8"/>
        </w:numPr>
        <w:rPr>
          <w:rFonts w:ascii="Arial" w:cs="Arial" w:eastAsia="Arial" w:hAnsi="Arial"/>
          <w:sz w:val="16"/>
          <w:szCs w:val="16"/>
          <w:b w:val="1"/>
          <w:bCs w:val="1"/>
          <w:color w:val="D7282F"/>
        </w:rPr>
      </w:pPr>
      <w:r>
        <w:rPr>
          <w:rFonts w:ascii="Arial" w:cs="Arial" w:eastAsia="Arial" w:hAnsi="Arial"/>
          <w:sz w:val="16"/>
          <w:szCs w:val="16"/>
          <w:color w:val="auto"/>
        </w:rPr>
        <w:t>Salesforce.com Inc.</w:t>
      </w:r>
    </w:p>
    <w:p>
      <w:pPr>
        <w:spacing w:after="0" w:line="86"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8"/>
        </w:numPr>
        <w:rPr>
          <w:rFonts w:ascii="Arial" w:cs="Arial" w:eastAsia="Arial" w:hAnsi="Arial"/>
          <w:sz w:val="16"/>
          <w:szCs w:val="16"/>
          <w:b w:val="1"/>
          <w:bCs w:val="1"/>
          <w:color w:val="D7282F"/>
        </w:rPr>
      </w:pPr>
      <w:r>
        <w:rPr>
          <w:rFonts w:ascii="Arial" w:cs="Arial" w:eastAsia="Arial" w:hAnsi="Arial"/>
          <w:sz w:val="16"/>
          <w:szCs w:val="16"/>
          <w:color w:val="auto"/>
        </w:rPr>
        <w:t>Vertiv Group Corp.</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26" w:lineRule="exact"/>
        <w:rPr>
          <w:sz w:val="20"/>
          <w:szCs w:val="20"/>
          <w:color w:val="auto"/>
        </w:rPr>
      </w:pPr>
    </w:p>
    <w:p>
      <w:pPr>
        <w:ind w:left="220" w:hanging="194"/>
        <w:spacing w:after="0"/>
        <w:tabs>
          <w:tab w:leader="none" w:pos="220" w:val="left"/>
        </w:tabs>
        <w:numPr>
          <w:ilvl w:val="0"/>
          <w:numId w:val="69"/>
        </w:numPr>
        <w:rPr>
          <w:rFonts w:ascii="Arial" w:cs="Arial" w:eastAsia="Arial" w:hAnsi="Arial"/>
          <w:sz w:val="16"/>
          <w:szCs w:val="16"/>
          <w:b w:val="1"/>
          <w:bCs w:val="1"/>
          <w:color w:val="D7282F"/>
        </w:rPr>
      </w:pPr>
      <w:r>
        <w:rPr>
          <w:rFonts w:ascii="Arial" w:cs="Arial" w:eastAsia="Arial" w:hAnsi="Arial"/>
          <w:sz w:val="16"/>
          <w:szCs w:val="16"/>
          <w:color w:val="auto"/>
        </w:rPr>
        <w:t>Tektronix, Inc.</w:t>
      </w:r>
    </w:p>
    <w:p>
      <w:pPr>
        <w:spacing w:after="0" w:line="70" w:lineRule="exact"/>
        <w:rPr>
          <w:rFonts w:ascii="Arial" w:cs="Arial" w:eastAsia="Arial" w:hAnsi="Arial"/>
          <w:sz w:val="16"/>
          <w:szCs w:val="16"/>
          <w:b w:val="1"/>
          <w:bCs w:val="1"/>
          <w:color w:val="D7282F"/>
        </w:rPr>
      </w:pPr>
    </w:p>
    <w:p>
      <w:pPr>
        <w:ind w:left="220" w:hanging="194"/>
        <w:spacing w:after="0"/>
        <w:tabs>
          <w:tab w:leader="none" w:pos="220" w:val="left"/>
        </w:tabs>
        <w:numPr>
          <w:ilvl w:val="0"/>
          <w:numId w:val="69"/>
        </w:numPr>
        <w:rPr>
          <w:rFonts w:ascii="Arial" w:cs="Arial" w:eastAsia="Arial" w:hAnsi="Arial"/>
          <w:sz w:val="16"/>
          <w:szCs w:val="16"/>
          <w:b w:val="1"/>
          <w:bCs w:val="1"/>
          <w:color w:val="D7282F"/>
        </w:rPr>
      </w:pPr>
      <w:r>
        <w:rPr>
          <w:rFonts w:ascii="Arial" w:cs="Arial" w:eastAsia="Arial" w:hAnsi="Arial"/>
          <w:sz w:val="16"/>
          <w:szCs w:val="16"/>
          <w:color w:val="auto"/>
        </w:rPr>
        <w:t>MIPS Technologies, Inc.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50" w:lineRule="exact"/>
        <w:rPr>
          <w:sz w:val="20"/>
          <w:szCs w:val="20"/>
          <w:color w:val="auto"/>
        </w:rPr>
      </w:pPr>
    </w:p>
    <w:p>
      <w:pPr>
        <w:jc w:val="both"/>
        <w:ind w:left="200" w:right="200" w:hanging="192"/>
        <w:spacing w:after="0" w:line="248"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Served as Executive Vice President and Chief Financial Officer of Gilead Sciences, Inc. (Gilead), a research-based biopharmaceutical company, from May 2008 through October 2019. In that role, she oversaw Gilead’s Global Finance, Investor Relations, and Information Technology organizations.</w:t>
      </w:r>
    </w:p>
    <w:p>
      <w:pPr>
        <w:spacing w:after="0" w:line="37" w:lineRule="exact"/>
        <w:rPr>
          <w:rFonts w:ascii="Arial" w:cs="Arial" w:eastAsia="Arial" w:hAnsi="Arial"/>
          <w:sz w:val="16"/>
          <w:szCs w:val="16"/>
          <w:b w:val="1"/>
          <w:bCs w:val="1"/>
          <w:color w:val="D7282F"/>
        </w:rPr>
      </w:pPr>
    </w:p>
    <w:p>
      <w:pPr>
        <w:ind w:left="200" w:right="120" w:hanging="192"/>
        <w:spacing w:after="0" w:line="268"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Served as Chief Financial Officer of Hyperion Solutions, an enterprise software company that was acquired by Oracle Corporation in March 2007, from 2006 through 2007.</w:t>
      </w:r>
    </w:p>
    <w:p>
      <w:pPr>
        <w:spacing w:after="0" w:line="7" w:lineRule="exact"/>
        <w:rPr>
          <w:rFonts w:ascii="Arial" w:cs="Arial" w:eastAsia="Arial" w:hAnsi="Arial"/>
          <w:sz w:val="16"/>
          <w:szCs w:val="16"/>
          <w:b w:val="1"/>
          <w:bCs w:val="1"/>
          <w:color w:val="D7282F"/>
        </w:rPr>
      </w:pPr>
    </w:p>
    <w:p>
      <w:pPr>
        <w:ind w:left="200" w:right="580" w:hanging="192"/>
        <w:spacing w:after="0" w:line="281" w:lineRule="auto"/>
        <w:tabs>
          <w:tab w:leader="none" w:pos="197"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Previously spent nearly 10 years at PeopleSoft, a provider of enterprise application software, where she served in a number of executive positions, including Senior Vice President and Corporate Controller.</w:t>
      </w:r>
    </w:p>
    <w:p>
      <w:pPr>
        <w:spacing w:after="0" w:line="1" w:lineRule="exact"/>
        <w:rPr>
          <w:rFonts w:ascii="Arial" w:cs="Arial" w:eastAsia="Arial" w:hAnsi="Arial"/>
          <w:sz w:val="16"/>
          <w:szCs w:val="16"/>
          <w:b w:val="1"/>
          <w:bCs w:val="1"/>
          <w:color w:val="D7282F"/>
        </w:rPr>
      </w:pPr>
    </w:p>
    <w:p>
      <w:pPr>
        <w:ind w:left="200" w:hanging="192"/>
        <w:spacing w:after="0"/>
        <w:tabs>
          <w:tab w:leader="none" w:pos="200" w:val="left"/>
        </w:tabs>
        <w:numPr>
          <w:ilvl w:val="0"/>
          <w:numId w:val="70"/>
        </w:numPr>
        <w:rPr>
          <w:rFonts w:ascii="Arial" w:cs="Arial" w:eastAsia="Arial" w:hAnsi="Arial"/>
          <w:sz w:val="16"/>
          <w:szCs w:val="16"/>
          <w:b w:val="1"/>
          <w:bCs w:val="1"/>
          <w:color w:val="D7282F"/>
        </w:rPr>
      </w:pPr>
      <w:r>
        <w:rPr>
          <w:rFonts w:ascii="Arial" w:cs="Arial" w:eastAsia="Arial" w:hAnsi="Arial"/>
          <w:sz w:val="16"/>
          <w:szCs w:val="16"/>
          <w:color w:val="auto"/>
        </w:rPr>
        <w:t>A Certified Public Accountant.</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43"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50" w:lineRule="exact"/>
        <w:rPr>
          <w:rFonts w:ascii="Arial" w:cs="Arial" w:eastAsia="Arial" w:hAnsi="Arial"/>
          <w:sz w:val="16"/>
          <w:szCs w:val="16"/>
          <w:b w:val="1"/>
          <w:bCs w:val="1"/>
          <w:color w:val="D7282F"/>
        </w:rPr>
      </w:pPr>
    </w:p>
    <w:p>
      <w:pPr>
        <w:ind w:left="400" w:right="100" w:hanging="197"/>
        <w:spacing w:after="0" w:line="268" w:lineRule="auto"/>
        <w:tabs>
          <w:tab w:leader="none" w:pos="397" w:val="left"/>
        </w:tabs>
        <w:numPr>
          <w:ilvl w:val="1"/>
          <w:numId w:val="70"/>
        </w:numPr>
        <w:rPr>
          <w:rFonts w:ascii="Arial" w:cs="Arial" w:eastAsia="Arial" w:hAnsi="Arial"/>
          <w:sz w:val="16"/>
          <w:szCs w:val="16"/>
          <w:b w:val="1"/>
          <w:bCs w:val="1"/>
          <w:color w:val="D7282F"/>
        </w:rPr>
      </w:pPr>
      <w:r>
        <w:rPr>
          <w:rFonts w:ascii="Arial" w:cs="Arial" w:eastAsia="Arial" w:hAnsi="Arial"/>
          <w:sz w:val="16"/>
          <w:szCs w:val="16"/>
          <w:color w:val="auto"/>
        </w:rPr>
        <w:t>Extensive management, operational, cyber, IT, and accounting experience in the healthcare and information technology industries.</w:t>
      </w:r>
    </w:p>
    <w:p>
      <w:pPr>
        <w:spacing w:after="0" w:line="21" w:lineRule="exact"/>
        <w:rPr>
          <w:rFonts w:ascii="Arial" w:cs="Arial" w:eastAsia="Arial" w:hAnsi="Arial"/>
          <w:sz w:val="16"/>
          <w:szCs w:val="16"/>
          <w:b w:val="1"/>
          <w:bCs w:val="1"/>
          <w:color w:val="D7282F"/>
        </w:rPr>
      </w:pPr>
    </w:p>
    <w:p>
      <w:pPr>
        <w:ind w:left="400" w:right="100" w:hanging="197"/>
        <w:spacing w:after="0" w:line="268" w:lineRule="auto"/>
        <w:tabs>
          <w:tab w:leader="none" w:pos="397" w:val="left"/>
        </w:tabs>
        <w:numPr>
          <w:ilvl w:val="1"/>
          <w:numId w:val="70"/>
        </w:numPr>
        <w:rPr>
          <w:rFonts w:ascii="Arial" w:cs="Arial" w:eastAsia="Arial" w:hAnsi="Arial"/>
          <w:sz w:val="16"/>
          <w:szCs w:val="16"/>
          <w:b w:val="1"/>
          <w:bCs w:val="1"/>
          <w:color w:val="D7282F"/>
        </w:rPr>
      </w:pPr>
      <w:r>
        <w:rPr>
          <w:rFonts w:ascii="Arial" w:cs="Arial" w:eastAsia="Arial" w:hAnsi="Arial"/>
          <w:sz w:val="16"/>
          <w:szCs w:val="16"/>
          <w:color w:val="auto"/>
        </w:rPr>
        <w:t>Financial expertise, including in tax, financial reporting, accounting and controls, corporate finance, mergers and acquisitions, and capital markets.</w:t>
      </w:r>
    </w:p>
    <w:p>
      <w:pPr>
        <w:spacing w:after="0" w:line="7" w:lineRule="exact"/>
        <w:rPr>
          <w:rFonts w:ascii="Arial" w:cs="Arial" w:eastAsia="Arial" w:hAnsi="Arial"/>
          <w:sz w:val="16"/>
          <w:szCs w:val="16"/>
          <w:b w:val="1"/>
          <w:bCs w:val="1"/>
          <w:color w:val="D7282F"/>
        </w:rPr>
      </w:pPr>
    </w:p>
    <w:p>
      <w:pPr>
        <w:ind w:left="400" w:hanging="197"/>
        <w:spacing w:after="0"/>
        <w:tabs>
          <w:tab w:leader="none" w:pos="400" w:val="left"/>
        </w:tabs>
        <w:numPr>
          <w:ilvl w:val="1"/>
          <w:numId w:val="70"/>
        </w:numPr>
        <w:rPr>
          <w:rFonts w:ascii="Arial" w:cs="Arial" w:eastAsia="Arial" w:hAnsi="Arial"/>
          <w:sz w:val="16"/>
          <w:szCs w:val="16"/>
          <w:b w:val="1"/>
          <w:bCs w:val="1"/>
          <w:color w:val="D7282F"/>
        </w:rPr>
      </w:pPr>
      <w:r>
        <w:rPr>
          <w:rFonts w:ascii="Arial" w:cs="Arial" w:eastAsia="Arial" w:hAnsi="Arial"/>
          <w:sz w:val="16"/>
          <w:szCs w:val="16"/>
          <w:color w:val="auto"/>
        </w:rPr>
        <w:t>Broad experience on corporate governance issues gained through public company directorships.</w:t>
      </w:r>
    </w:p>
    <w:p>
      <w:pPr>
        <w:spacing w:after="0" w:line="496" w:lineRule="exact"/>
        <w:rPr>
          <w:sz w:val="20"/>
          <w:szCs w:val="20"/>
          <w:color w:val="auto"/>
        </w:rPr>
      </w:pPr>
    </w:p>
    <w:p>
      <w:pPr>
        <w:sectPr>
          <w:pgSz w:w="11900" w:h="16838" w:orient="portrait"/>
          <w:cols w:equalWidth="0" w:num="2">
            <w:col w:w="2620" w:space="300"/>
            <w:col w:w="8200"/>
          </w:cols>
          <w:pgMar w:left="320" w:top="230" w:right="459" w:bottom="1440" w:gutter="0" w:footer="0" w:header="0"/>
          <w:type w:val="continuous"/>
        </w:sect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ROBIN WATSON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FORMER CHIEF EXECUTIVE OFFICER, JOHN WOOD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23430" cy="34207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23430" cy="342074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Years of Service: </w:t>
      </w:r>
      <w:r>
        <w:rPr>
          <w:rFonts w:ascii="Arial" w:cs="Arial" w:eastAsia="Arial" w:hAnsi="Arial"/>
          <w:sz w:val="16"/>
          <w:szCs w:val="16"/>
          <w:b w:val="1"/>
          <w:bCs w:val="1"/>
          <w:color w:val="EE2724"/>
        </w:rPr>
        <w:t>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b w:val="1"/>
          <w:bCs w:val="1"/>
          <w:color w:val="D7282F"/>
        </w:rPr>
        <w:t>56</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COMMITTEES:</w:t>
      </w:r>
    </w:p>
    <w:p>
      <w:pPr>
        <w:spacing w:after="0" w:line="26" w:lineRule="exact"/>
        <w:rPr>
          <w:sz w:val="20"/>
          <w:szCs w:val="20"/>
          <w:color w:val="auto"/>
        </w:rPr>
      </w:pPr>
    </w:p>
    <w:p>
      <w:pPr>
        <w:ind w:left="220" w:hanging="194"/>
        <w:spacing w:after="0"/>
        <w:tabs>
          <w:tab w:leader="none" w:pos="220" w:val="left"/>
        </w:tabs>
        <w:numPr>
          <w:ilvl w:val="0"/>
          <w:numId w:val="71"/>
        </w:numPr>
        <w:rPr>
          <w:rFonts w:ascii="Arial" w:cs="Arial" w:eastAsia="Arial" w:hAnsi="Arial"/>
          <w:sz w:val="16"/>
          <w:szCs w:val="16"/>
          <w:b w:val="1"/>
          <w:bCs w:val="1"/>
          <w:color w:val="D7282F"/>
        </w:rPr>
      </w:pPr>
      <w:r>
        <w:rPr>
          <w:rFonts w:ascii="Arial" w:cs="Arial" w:eastAsia="Arial" w:hAnsi="Arial"/>
          <w:sz w:val="16"/>
          <w:szCs w:val="16"/>
          <w:color w:val="auto"/>
        </w:rPr>
        <w:t>Audit</w:t>
      </w:r>
    </w:p>
    <w:p>
      <w:pPr>
        <w:spacing w:after="0" w:line="115" w:lineRule="exact"/>
        <w:rPr>
          <w:sz w:val="20"/>
          <w:szCs w:val="20"/>
          <w:color w:val="auto"/>
        </w:rPr>
      </w:pPr>
    </w:p>
    <w:p>
      <w:pPr>
        <w:ind w:left="20"/>
        <w:spacing w:after="0" w:line="259" w:lineRule="auto"/>
        <w:rPr>
          <w:sz w:val="20"/>
          <w:szCs w:val="20"/>
          <w:color w:val="auto"/>
        </w:rPr>
      </w:pPr>
      <w:r>
        <w:rPr>
          <w:rFonts w:ascii="Arial" w:cs="Arial" w:eastAsia="Arial" w:hAnsi="Arial"/>
          <w:sz w:val="14"/>
          <w:szCs w:val="14"/>
          <w:b w:val="1"/>
          <w:bCs w:val="1"/>
          <w:color w:val="D7282F"/>
        </w:rPr>
        <w:t>OTHER CURRENT PUBLIC COMPANY BOARDS:</w:t>
      </w:r>
    </w:p>
    <w:p>
      <w:pPr>
        <w:spacing w:after="0" w:line="1" w:lineRule="exact"/>
        <w:rPr>
          <w:sz w:val="20"/>
          <w:szCs w:val="20"/>
          <w:color w:val="auto"/>
        </w:rPr>
      </w:pPr>
    </w:p>
    <w:p>
      <w:pPr>
        <w:ind w:left="220" w:hanging="194"/>
        <w:spacing w:after="0"/>
        <w:tabs>
          <w:tab w:leader="none" w:pos="220" w:val="left"/>
        </w:tabs>
        <w:numPr>
          <w:ilvl w:val="0"/>
          <w:numId w:val="72"/>
        </w:numPr>
        <w:rPr>
          <w:rFonts w:ascii="Arial" w:cs="Arial" w:eastAsia="Arial" w:hAnsi="Arial"/>
          <w:sz w:val="16"/>
          <w:szCs w:val="16"/>
          <w:b w:val="1"/>
          <w:bCs w:val="1"/>
          <w:color w:val="D7282F"/>
        </w:rPr>
      </w:pPr>
      <w:r>
        <w:rPr>
          <w:rFonts w:ascii="Arial" w:cs="Arial" w:eastAsia="Arial" w:hAnsi="Arial"/>
          <w:sz w:val="16"/>
          <w:szCs w:val="16"/>
          <w:color w:val="auto"/>
        </w:rPr>
        <w:t>None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D7282F"/>
        </w:rPr>
        <w:t>PAST PUBLIC COMPANY BOARDS:</w:t>
      </w:r>
    </w:p>
    <w:p>
      <w:pPr>
        <w:spacing w:after="0" w:line="12" w:lineRule="exact"/>
        <w:rPr>
          <w:sz w:val="20"/>
          <w:szCs w:val="20"/>
          <w:color w:val="auto"/>
        </w:rPr>
      </w:pPr>
    </w:p>
    <w:p>
      <w:pPr>
        <w:ind w:left="220" w:hanging="194"/>
        <w:spacing w:after="0"/>
        <w:tabs>
          <w:tab w:leader="none" w:pos="220" w:val="left"/>
        </w:tabs>
        <w:numPr>
          <w:ilvl w:val="0"/>
          <w:numId w:val="73"/>
        </w:numPr>
        <w:rPr>
          <w:rFonts w:ascii="Arial" w:cs="Arial" w:eastAsia="Arial" w:hAnsi="Arial"/>
          <w:sz w:val="16"/>
          <w:szCs w:val="16"/>
          <w:color w:val="D7282F"/>
        </w:rPr>
      </w:pPr>
      <w:r>
        <w:rPr>
          <w:rFonts w:ascii="Arial" w:cs="Arial" w:eastAsia="Arial" w:hAnsi="Arial"/>
          <w:sz w:val="16"/>
          <w:szCs w:val="16"/>
          <w:color w:val="auto"/>
        </w:rPr>
        <w:t>John Wood Group PLC</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BACKGROUND</w:t>
      </w:r>
    </w:p>
    <w:p>
      <w:pPr>
        <w:spacing w:after="0" w:line="37" w:lineRule="exact"/>
        <w:rPr>
          <w:sz w:val="20"/>
          <w:szCs w:val="20"/>
          <w:color w:val="auto"/>
        </w:rPr>
      </w:pPr>
    </w:p>
    <w:p>
      <w:pPr>
        <w:ind w:left="200" w:right="220" w:hanging="192"/>
        <w:spacing w:after="0" w:line="257" w:lineRule="auto"/>
        <w:tabs>
          <w:tab w:leader="none" w:pos="197"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Served as Chief Executive Officer of John Wood Group PLC (Wood Group), an integrated engineering and consultancy company, spanning a variety of growing end markets in energy and the built environment, with a focus on sustainable technologies, from January 2016 until July 2022.</w:t>
      </w:r>
    </w:p>
    <w:p>
      <w:pPr>
        <w:spacing w:after="0" w:line="16" w:lineRule="exact"/>
        <w:rPr>
          <w:rFonts w:ascii="Arial" w:cs="Arial" w:eastAsia="Arial" w:hAnsi="Arial"/>
          <w:sz w:val="16"/>
          <w:szCs w:val="16"/>
          <w:b w:val="1"/>
          <w:bCs w:val="1"/>
          <w:color w:val="D7282F"/>
        </w:rPr>
      </w:pPr>
    </w:p>
    <w:p>
      <w:pPr>
        <w:ind w:left="200" w:right="200" w:hanging="192"/>
        <w:spacing w:after="0" w:line="281" w:lineRule="auto"/>
        <w:tabs>
          <w:tab w:leader="none" w:pos="197"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Served as Chief Operating Officer and an executive member of the Wood Group Board from January 2013 to January 2016.</w:t>
      </w:r>
    </w:p>
    <w:p>
      <w:pPr>
        <w:spacing w:after="0" w:line="1" w:lineRule="exact"/>
        <w:rPr>
          <w:rFonts w:ascii="Arial" w:cs="Arial" w:eastAsia="Arial" w:hAnsi="Arial"/>
          <w:sz w:val="16"/>
          <w:szCs w:val="16"/>
          <w:b w:val="1"/>
          <w:bCs w:val="1"/>
          <w:color w:val="D7282F"/>
        </w:rPr>
      </w:pPr>
    </w:p>
    <w:p>
      <w:pPr>
        <w:ind w:left="200" w:right="380" w:hanging="192"/>
        <w:spacing w:after="0" w:line="268" w:lineRule="auto"/>
        <w:tabs>
          <w:tab w:leader="none" w:pos="197"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Previously served as a director and senior manager at Petrofac, working in a variety of roles in service and investment delivery.</w:t>
      </w:r>
    </w:p>
    <w:p>
      <w:pPr>
        <w:spacing w:after="0" w:line="21" w:lineRule="exact"/>
        <w:rPr>
          <w:rFonts w:ascii="Arial" w:cs="Arial" w:eastAsia="Arial" w:hAnsi="Arial"/>
          <w:sz w:val="16"/>
          <w:szCs w:val="16"/>
          <w:b w:val="1"/>
          <w:bCs w:val="1"/>
          <w:color w:val="D7282F"/>
        </w:rPr>
      </w:pPr>
    </w:p>
    <w:p>
      <w:pPr>
        <w:ind w:left="200" w:hanging="192"/>
        <w:spacing w:after="0"/>
        <w:tabs>
          <w:tab w:leader="none" w:pos="200"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Began his career in management and engineering at Mobil Oil in the United Kingdom.</w:t>
      </w:r>
    </w:p>
    <w:p>
      <w:pPr>
        <w:spacing w:after="0" w:line="59" w:lineRule="exact"/>
        <w:rPr>
          <w:rFonts w:ascii="Arial" w:cs="Arial" w:eastAsia="Arial" w:hAnsi="Arial"/>
          <w:sz w:val="16"/>
          <w:szCs w:val="16"/>
          <w:b w:val="1"/>
          <w:bCs w:val="1"/>
          <w:color w:val="D7282F"/>
        </w:rPr>
      </w:pPr>
    </w:p>
    <w:p>
      <w:pPr>
        <w:ind w:left="200" w:right="80" w:hanging="192"/>
        <w:spacing w:after="0" w:line="268" w:lineRule="auto"/>
        <w:tabs>
          <w:tab w:leader="none" w:pos="197"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Has served as a Non-Executive Director at the UK Institute of Directors (a non-profit membership organization) since August 2021.</w:t>
      </w:r>
    </w:p>
    <w:p>
      <w:pPr>
        <w:spacing w:after="0" w:line="21" w:lineRule="exact"/>
        <w:rPr>
          <w:rFonts w:ascii="Arial" w:cs="Arial" w:eastAsia="Arial" w:hAnsi="Arial"/>
          <w:sz w:val="16"/>
          <w:szCs w:val="16"/>
          <w:b w:val="1"/>
          <w:bCs w:val="1"/>
          <w:color w:val="D7282F"/>
        </w:rPr>
      </w:pPr>
    </w:p>
    <w:p>
      <w:pPr>
        <w:ind w:left="200" w:hanging="192"/>
        <w:spacing w:after="0" w:line="268" w:lineRule="auto"/>
        <w:tabs>
          <w:tab w:leader="none" w:pos="197" w:val="left"/>
        </w:tabs>
        <w:numPr>
          <w:ilvl w:val="0"/>
          <w:numId w:val="74"/>
        </w:numPr>
        <w:rPr>
          <w:rFonts w:ascii="Arial" w:cs="Arial" w:eastAsia="Arial" w:hAnsi="Arial"/>
          <w:sz w:val="16"/>
          <w:szCs w:val="16"/>
          <w:b w:val="1"/>
          <w:bCs w:val="1"/>
          <w:color w:val="D7282F"/>
        </w:rPr>
      </w:pPr>
      <w:r>
        <w:rPr>
          <w:rFonts w:ascii="Arial" w:cs="Arial" w:eastAsia="Arial" w:hAnsi="Arial"/>
          <w:sz w:val="16"/>
          <w:szCs w:val="16"/>
          <w:color w:val="auto"/>
        </w:rPr>
        <w:t>Is a chartered mechanical engineer and a Fellow of both the Institution of Mechanical Engineers and the Energy Institute.</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95"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4"/>
          <w:szCs w:val="14"/>
          <w:b w:val="1"/>
          <w:bCs w:val="1"/>
          <w:color w:val="D7282F"/>
        </w:rPr>
        <w:t>SPECIFIC QUALIFICATIONS, ATTRIBUTES, SKILLS, AND EXPERIENCE</w:t>
      </w:r>
    </w:p>
    <w:p>
      <w:pPr>
        <w:spacing w:after="0" w:line="36" w:lineRule="exact"/>
        <w:rPr>
          <w:rFonts w:ascii="Arial" w:cs="Arial" w:eastAsia="Arial" w:hAnsi="Arial"/>
          <w:sz w:val="16"/>
          <w:szCs w:val="16"/>
          <w:b w:val="1"/>
          <w:bCs w:val="1"/>
          <w:color w:val="D7282F"/>
        </w:rPr>
      </w:pPr>
    </w:p>
    <w:p>
      <w:pPr>
        <w:ind w:left="400" w:right="760" w:hanging="197"/>
        <w:spacing w:after="0" w:line="281" w:lineRule="auto"/>
        <w:tabs>
          <w:tab w:leader="none" w:pos="397"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Wealth of experience in unlocking opportunities in carbon capture, hydrogen, bio-refining, minerals processing, and solar and wind energy.</w:t>
      </w:r>
    </w:p>
    <w:p>
      <w:pPr>
        <w:spacing w:after="0" w:line="1" w:lineRule="exact"/>
        <w:rPr>
          <w:rFonts w:ascii="Arial" w:cs="Arial" w:eastAsia="Arial" w:hAnsi="Arial"/>
          <w:sz w:val="16"/>
          <w:szCs w:val="16"/>
          <w:b w:val="1"/>
          <w:bCs w:val="1"/>
          <w:color w:val="D7282F"/>
        </w:rPr>
      </w:pPr>
    </w:p>
    <w:p>
      <w:pPr>
        <w:ind w:left="400" w:hanging="197"/>
        <w:spacing w:after="0"/>
        <w:tabs>
          <w:tab w:leader="none" w:pos="400"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Demonstrated experience in helping organizations deliver a more sustainable future.</w:t>
      </w:r>
    </w:p>
    <w:p>
      <w:pPr>
        <w:spacing w:after="0" w:line="72" w:lineRule="exact"/>
        <w:rPr>
          <w:rFonts w:ascii="Arial" w:cs="Arial" w:eastAsia="Arial" w:hAnsi="Arial"/>
          <w:sz w:val="16"/>
          <w:szCs w:val="16"/>
          <w:b w:val="1"/>
          <w:bCs w:val="1"/>
          <w:color w:val="D7282F"/>
        </w:rPr>
      </w:pPr>
    </w:p>
    <w:p>
      <w:pPr>
        <w:ind w:left="400" w:hanging="197"/>
        <w:spacing w:after="0"/>
        <w:tabs>
          <w:tab w:leader="none" w:pos="400"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Significant knowledge of mechanical engineering, industry experience, and service to international trade.</w:t>
      </w:r>
    </w:p>
    <w:p>
      <w:pPr>
        <w:spacing w:after="0" w:line="59" w:lineRule="exact"/>
        <w:rPr>
          <w:rFonts w:ascii="Arial" w:cs="Arial" w:eastAsia="Arial" w:hAnsi="Arial"/>
          <w:sz w:val="16"/>
          <w:szCs w:val="16"/>
          <w:b w:val="1"/>
          <w:bCs w:val="1"/>
          <w:color w:val="D7282F"/>
        </w:rPr>
      </w:pPr>
    </w:p>
    <w:p>
      <w:pPr>
        <w:ind w:left="400" w:right="420" w:hanging="197"/>
        <w:spacing w:after="0" w:line="268" w:lineRule="auto"/>
        <w:tabs>
          <w:tab w:leader="none" w:pos="397" w:val="left"/>
        </w:tabs>
        <w:numPr>
          <w:ilvl w:val="1"/>
          <w:numId w:val="74"/>
        </w:numPr>
        <w:rPr>
          <w:rFonts w:ascii="Arial" w:cs="Arial" w:eastAsia="Arial" w:hAnsi="Arial"/>
          <w:sz w:val="16"/>
          <w:szCs w:val="16"/>
          <w:b w:val="1"/>
          <w:bCs w:val="1"/>
          <w:color w:val="D7282F"/>
        </w:rPr>
      </w:pPr>
      <w:r>
        <w:rPr>
          <w:rFonts w:ascii="Arial" w:cs="Arial" w:eastAsia="Arial" w:hAnsi="Arial"/>
          <w:sz w:val="16"/>
          <w:szCs w:val="16"/>
          <w:color w:val="auto"/>
        </w:rPr>
        <w:t>Extensive leadership and management experience with a well-established track record of implementing strategic change and operational delivery.</w:t>
      </w:r>
    </w:p>
    <w:p>
      <w:pPr>
        <w:spacing w:after="0" w:line="200" w:lineRule="exact"/>
        <w:rPr>
          <w:sz w:val="20"/>
          <w:szCs w:val="20"/>
          <w:color w:val="auto"/>
        </w:rPr>
      </w:pPr>
    </w:p>
    <w:p>
      <w:pPr>
        <w:sectPr>
          <w:pgSz w:w="11900" w:h="16838" w:orient="portrait"/>
          <w:cols w:equalWidth="0" w:num="2">
            <w:col w:w="2620" w:space="300"/>
            <w:col w:w="8200"/>
          </w:cols>
          <w:pgMar w:left="320" w:top="230" w:right="459" w:bottom="1440" w:gutter="0" w:footer="0" w:header="0"/>
          <w:type w:val="continuous"/>
        </w:sectPr>
      </w:pPr>
    </w:p>
    <w:p>
      <w:pPr>
        <w:spacing w:after="0" w:line="29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sz w:val="1"/>
          <w:szCs w:val="1"/>
          <w:color w:val="auto"/>
        </w:rPr>
        <w:drawing>
          <wp:inline distT="0" distB="0" distL="0" distR="0">
            <wp:extent cx="548640" cy="10287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45"/>
          <w:szCs w:val="45"/>
          <w:b w:val="1"/>
          <w:bCs w:val="1"/>
          <w:color w:val="auto"/>
        </w:rPr>
        <w:t>CORPORATE GOVERNANCE</w:t>
      </w:r>
    </w:p>
    <w:p>
      <w:pPr>
        <w:spacing w:after="0" w:line="59"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Honeywell is committed to strong corporate governance policies, practices, and procedures designed to ensure that its Board of Directors effectively exercises its oversight role. The Honeywell Board oversees management performance on behalf of shareowners to ensure that the long-term interests of shareowners are being served, to monitor adherence to Honeywell’s standards and policies, and to promote the exercise of responsible corporate citizenship. The Honeywell Board values and considers the feedback received from our shareowners. Taking into account their perspectives, Honeywell has implemented a number of actions over time to increase shareowner rights, enhance the Board’s structure, and augment our commitment to sustainability and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3340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spacing w:after="0" w:line="145" w:lineRule="exact"/>
        <w:rPr>
          <w:sz w:val="20"/>
          <w:szCs w:val="20"/>
          <w:color w:val="auto"/>
        </w:rPr>
      </w:pPr>
    </w:p>
    <w:p>
      <w:pPr>
        <w:jc w:val="center"/>
        <w:ind w:left="420"/>
        <w:spacing w:after="0" w:line="296" w:lineRule="auto"/>
        <w:rPr>
          <w:sz w:val="20"/>
          <w:szCs w:val="20"/>
          <w:color w:val="auto"/>
        </w:rPr>
      </w:pPr>
      <w:r>
        <w:rPr>
          <w:rFonts w:ascii="Arial" w:cs="Arial" w:eastAsia="Arial" w:hAnsi="Arial"/>
          <w:sz w:val="16"/>
          <w:szCs w:val="16"/>
          <w:b w:val="1"/>
          <w:bCs w:val="1"/>
          <w:color w:val="auto"/>
        </w:rPr>
        <w:t>HISTORY OF PROACTIVELY RESPONDING TO SHAREOWNER FEEDBACK TO ENSURE BEST-IN-CLASS GOVERNANCE, COMPENSATION, AND DISCLOSURE PRACTICES</w:t>
      </w:r>
    </w:p>
    <w:p>
      <w:pPr>
        <w:sectPr>
          <w:pgSz w:w="11900" w:h="16838" w:orient="portrait"/>
          <w:cols w:equalWidth="0" w:num="1">
            <w:col w:w="11240"/>
          </w:cols>
          <w:pgMar w:left="320" w:top="1293" w:right="3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Year</w:t>
            </w:r>
          </w:p>
        </w:tc>
        <w:tc>
          <w:tcPr>
            <w:tcW w:w="4500" w:type="dxa"/>
            <w:vAlign w:val="bottom"/>
          </w:tcPr>
          <w:p>
            <w:pPr>
              <w:ind w:left="140"/>
              <w:spacing w:after="0"/>
              <w:rPr>
                <w:sz w:val="20"/>
                <w:szCs w:val="20"/>
                <w:color w:val="auto"/>
              </w:rPr>
            </w:pPr>
            <w:r>
              <w:rPr>
                <w:rFonts w:ascii="Arial" w:cs="Arial" w:eastAsia="Arial" w:hAnsi="Arial"/>
                <w:sz w:val="14"/>
                <w:szCs w:val="14"/>
                <w:b w:val="1"/>
                <w:bCs w:val="1"/>
                <w:color w:val="auto"/>
              </w:rPr>
              <w:t>Enhancement</w:t>
            </w:r>
          </w:p>
        </w:tc>
        <w:tc>
          <w:tcPr>
            <w:tcW w:w="0" w:type="dxa"/>
            <w:vAlign w:val="bottom"/>
          </w:tcPr>
          <w:p>
            <w:pPr>
              <w:spacing w:after="0"/>
              <w:rPr>
                <w:sz w:val="1"/>
                <w:szCs w:val="1"/>
                <w:color w:val="auto"/>
              </w:rPr>
            </w:pPr>
          </w:p>
        </w:tc>
      </w:tr>
      <w:tr>
        <w:trPr>
          <w:trHeight w:val="287"/>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Adopted policy to instruct trade associations not to use our</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dues for political contributions.</w:t>
            </w:r>
          </w:p>
        </w:tc>
        <w:tc>
          <w:tcPr>
            <w:tcW w:w="0" w:type="dxa"/>
            <w:vAlign w:val="bottom"/>
          </w:tcPr>
          <w:p>
            <w:pPr>
              <w:spacing w:after="0"/>
              <w:rPr>
                <w:sz w:val="1"/>
                <w:szCs w:val="1"/>
                <w:color w:val="auto"/>
              </w:rPr>
            </w:pPr>
          </w:p>
        </w:tc>
      </w:tr>
      <w:tr>
        <w:trPr>
          <w:trHeight w:val="191"/>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Reduced the total number of public company boards on</w:t>
            </w:r>
          </w:p>
        </w:tc>
        <w:tc>
          <w:tcPr>
            <w:tcW w:w="0" w:type="dxa"/>
            <w:vAlign w:val="bottom"/>
          </w:tcPr>
          <w:p>
            <w:pPr>
              <w:spacing w:after="0"/>
              <w:rPr>
                <w:sz w:val="1"/>
                <w:szCs w:val="1"/>
                <w:color w:val="auto"/>
              </w:rPr>
            </w:pPr>
          </w:p>
        </w:tc>
      </w:tr>
      <w:tr>
        <w:trPr>
          <w:trHeight w:val="200"/>
        </w:trPr>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2019</w:t>
            </w: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which any director may sit from five to four.</w:t>
            </w:r>
          </w:p>
        </w:tc>
        <w:tc>
          <w:tcPr>
            <w:tcW w:w="0" w:type="dxa"/>
            <w:vAlign w:val="bottom"/>
          </w:tcPr>
          <w:p>
            <w:pPr>
              <w:spacing w:after="0"/>
              <w:rPr>
                <w:sz w:val="1"/>
                <w:szCs w:val="1"/>
                <w:color w:val="auto"/>
              </w:rPr>
            </w:pPr>
          </w:p>
        </w:tc>
      </w:tr>
      <w:tr>
        <w:trPr>
          <w:trHeight w:val="120"/>
        </w:trPr>
        <w:tc>
          <w:tcPr>
            <w:tcW w:w="880" w:type="dxa"/>
            <w:vAlign w:val="bottom"/>
            <w:vMerge w:val="continue"/>
            <w:shd w:val="clear" w:color="auto" w:fill="F2F2F2"/>
          </w:tcPr>
          <w:p>
            <w:pPr>
              <w:spacing w:after="0"/>
              <w:rPr>
                <w:sz w:val="10"/>
                <w:szCs w:val="10"/>
                <w:color w:val="auto"/>
              </w:rPr>
            </w:pPr>
          </w:p>
        </w:tc>
        <w:tc>
          <w:tcPr>
            <w:tcW w:w="4500" w:type="dxa"/>
            <w:vAlign w:val="bottom"/>
            <w:vMerge w:val="restart"/>
            <w:shd w:val="clear" w:color="auto" w:fill="F2F2F2"/>
          </w:tcPr>
          <w:p>
            <w:pPr>
              <w:ind w:left="160"/>
              <w:spacing w:after="0" w:line="181"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Formalized equivalency of independent Lead Director and</w:t>
            </w:r>
          </w:p>
        </w:tc>
        <w:tc>
          <w:tcPr>
            <w:tcW w:w="0" w:type="dxa"/>
            <w:vAlign w:val="bottom"/>
          </w:tcPr>
          <w:p>
            <w:pPr>
              <w:spacing w:after="0"/>
              <w:rPr>
                <w:sz w:val="1"/>
                <w:szCs w:val="1"/>
                <w:color w:val="auto"/>
              </w:rPr>
            </w:pPr>
          </w:p>
        </w:tc>
      </w:tr>
      <w:tr>
        <w:trPr>
          <w:trHeight w:val="62"/>
        </w:trPr>
        <w:tc>
          <w:tcPr>
            <w:tcW w:w="880" w:type="dxa"/>
            <w:vAlign w:val="bottom"/>
            <w:shd w:val="clear" w:color="auto" w:fill="F2F2F2"/>
          </w:tcPr>
          <w:p>
            <w:pPr>
              <w:spacing w:after="0"/>
              <w:rPr>
                <w:sz w:val="5"/>
                <w:szCs w:val="5"/>
                <w:color w:val="auto"/>
              </w:rPr>
            </w:pPr>
          </w:p>
        </w:tc>
        <w:tc>
          <w:tcPr>
            <w:tcW w:w="45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independent Chairman roles.</w:t>
            </w:r>
          </w:p>
        </w:tc>
        <w:tc>
          <w:tcPr>
            <w:tcW w:w="0" w:type="dxa"/>
            <w:vAlign w:val="bottom"/>
          </w:tcPr>
          <w:p>
            <w:pPr>
              <w:spacing w:after="0"/>
              <w:rPr>
                <w:sz w:val="1"/>
                <w:szCs w:val="1"/>
                <w:color w:val="auto"/>
              </w:rPr>
            </w:pPr>
          </w:p>
        </w:tc>
      </w:tr>
      <w:tr>
        <w:trPr>
          <w:trHeight w:val="187"/>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Amended committee charters to formalize areas of risk</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oversight responsibility.</w:t>
            </w:r>
          </w:p>
        </w:tc>
        <w:tc>
          <w:tcPr>
            <w:tcW w:w="0" w:type="dxa"/>
            <w:vAlign w:val="bottom"/>
          </w:tcPr>
          <w:p>
            <w:pPr>
              <w:spacing w:after="0"/>
              <w:rPr>
                <w:sz w:val="1"/>
                <w:szCs w:val="1"/>
                <w:color w:val="auto"/>
              </w:rPr>
            </w:pPr>
          </w:p>
        </w:tc>
      </w:tr>
      <w:tr>
        <w:trPr>
          <w:trHeight w:val="407"/>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Made enhancements to political contributions disclosure,</w:t>
            </w:r>
          </w:p>
        </w:tc>
        <w:tc>
          <w:tcPr>
            <w:tcW w:w="0" w:type="dxa"/>
            <w:vAlign w:val="bottom"/>
          </w:tcPr>
          <w:p>
            <w:pPr>
              <w:spacing w:after="0"/>
              <w:rPr>
                <w:sz w:val="1"/>
                <w:szCs w:val="1"/>
                <w:color w:val="auto"/>
              </w:rPr>
            </w:pPr>
          </w:p>
        </w:tc>
      </w:tr>
      <w:tr>
        <w:trPr>
          <w:trHeight w:val="162"/>
        </w:trPr>
        <w:tc>
          <w:tcPr>
            <w:tcW w:w="880" w:type="dxa"/>
            <w:vAlign w:val="bottom"/>
            <w:shd w:val="clear" w:color="auto" w:fill="F2F2F2"/>
          </w:tcPr>
          <w:p>
            <w:pPr>
              <w:spacing w:after="0"/>
              <w:rPr>
                <w:sz w:val="14"/>
                <w:szCs w:val="14"/>
                <w:color w:val="auto"/>
              </w:rPr>
            </w:pPr>
          </w:p>
        </w:tc>
        <w:tc>
          <w:tcPr>
            <w:tcW w:w="4500" w:type="dxa"/>
            <w:vAlign w:val="bottom"/>
            <w:shd w:val="clear" w:color="auto" w:fill="F2F2F2"/>
          </w:tcPr>
          <w:p>
            <w:pPr>
              <w:ind w:left="360"/>
              <w:spacing w:after="0" w:line="162" w:lineRule="exact"/>
              <w:rPr>
                <w:sz w:val="20"/>
                <w:szCs w:val="20"/>
                <w:color w:val="auto"/>
              </w:rPr>
            </w:pPr>
            <w:r>
              <w:rPr>
                <w:rFonts w:ascii="Arial" w:cs="Arial" w:eastAsia="Arial" w:hAnsi="Arial"/>
                <w:sz w:val="15"/>
                <w:szCs w:val="15"/>
                <w:color w:val="auto"/>
              </w:rPr>
              <w:t>including disclosure of &gt;$50K trade</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association memberships.</w:t>
            </w:r>
          </w:p>
        </w:tc>
        <w:tc>
          <w:tcPr>
            <w:tcW w:w="0" w:type="dxa"/>
            <w:vAlign w:val="bottom"/>
          </w:tcPr>
          <w:p>
            <w:pPr>
              <w:spacing w:after="0"/>
              <w:rPr>
                <w:sz w:val="1"/>
                <w:szCs w:val="1"/>
                <w:color w:val="auto"/>
              </w:rPr>
            </w:pPr>
          </w:p>
        </w:tc>
      </w:tr>
      <w:tr>
        <w:trPr>
          <w:trHeight w:val="241"/>
        </w:trPr>
        <w:tc>
          <w:tcPr>
            <w:tcW w:w="880" w:type="dxa"/>
            <w:vAlign w:val="bottom"/>
            <w:shd w:val="clear" w:color="auto" w:fill="F2F2F2"/>
          </w:tcPr>
          <w:p>
            <w:pPr>
              <w:jc w:val="center"/>
              <w:spacing w:after="0"/>
              <w:rPr>
                <w:sz w:val="20"/>
                <w:szCs w:val="20"/>
                <w:color w:val="auto"/>
              </w:rPr>
            </w:pPr>
            <w:r>
              <w:rPr>
                <w:rFonts w:ascii="Arial" w:cs="Arial" w:eastAsia="Arial" w:hAnsi="Arial"/>
                <w:sz w:val="16"/>
                <w:szCs w:val="16"/>
                <w:b w:val="1"/>
                <w:bCs w:val="1"/>
                <w:color w:val="auto"/>
              </w:rPr>
              <w:t>2020</w:t>
            </w: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ESG reporting in line with SASB and TCFD.</w:t>
            </w:r>
          </w:p>
        </w:tc>
        <w:tc>
          <w:tcPr>
            <w:tcW w:w="0" w:type="dxa"/>
            <w:vAlign w:val="bottom"/>
          </w:tcPr>
          <w:p>
            <w:pPr>
              <w:spacing w:after="0"/>
              <w:rPr>
                <w:sz w:val="1"/>
                <w:szCs w:val="1"/>
                <w:color w:val="auto"/>
              </w:rPr>
            </w:pPr>
          </w:p>
        </w:tc>
      </w:tr>
      <w:tr>
        <w:trPr>
          <w:trHeight w:val="170"/>
        </w:trPr>
        <w:tc>
          <w:tcPr>
            <w:tcW w:w="880" w:type="dxa"/>
            <w:vAlign w:val="bottom"/>
            <w:shd w:val="clear" w:color="auto" w:fill="F2F2F2"/>
          </w:tcPr>
          <w:p>
            <w:pPr>
              <w:spacing w:after="0"/>
              <w:rPr>
                <w:sz w:val="14"/>
                <w:szCs w:val="14"/>
                <w:color w:val="auto"/>
              </w:rPr>
            </w:pPr>
          </w:p>
        </w:tc>
        <w:tc>
          <w:tcPr>
            <w:tcW w:w="4500" w:type="dxa"/>
            <w:vAlign w:val="bottom"/>
            <w:shd w:val="clear" w:color="auto" w:fill="F2F2F2"/>
          </w:tcPr>
          <w:p>
            <w:pPr>
              <w:ind w:left="160"/>
              <w:spacing w:after="0" w:line="170"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Established a bipartisan Political Contributions Advisory</w:t>
            </w:r>
          </w:p>
        </w:tc>
        <w:tc>
          <w:tcPr>
            <w:tcW w:w="0" w:type="dxa"/>
            <w:vAlign w:val="bottom"/>
          </w:tcPr>
          <w:p>
            <w:pPr>
              <w:spacing w:after="0"/>
              <w:rPr>
                <w:sz w:val="1"/>
                <w:szCs w:val="1"/>
                <w:color w:val="auto"/>
              </w:rPr>
            </w:pPr>
          </w:p>
        </w:tc>
      </w:tr>
      <w:tr>
        <w:trPr>
          <w:trHeight w:val="158"/>
        </w:trPr>
        <w:tc>
          <w:tcPr>
            <w:tcW w:w="880" w:type="dxa"/>
            <w:vAlign w:val="bottom"/>
            <w:shd w:val="clear" w:color="auto" w:fill="F2F2F2"/>
          </w:tcPr>
          <w:p>
            <w:pPr>
              <w:spacing w:after="0"/>
              <w:rPr>
                <w:sz w:val="13"/>
                <w:szCs w:val="13"/>
                <w:color w:val="auto"/>
              </w:rPr>
            </w:pPr>
          </w:p>
        </w:tc>
        <w:tc>
          <w:tcPr>
            <w:tcW w:w="4500" w:type="dxa"/>
            <w:vAlign w:val="bottom"/>
            <w:shd w:val="clear" w:color="auto" w:fill="F2F2F2"/>
          </w:tcPr>
          <w:p>
            <w:pPr>
              <w:ind w:left="360"/>
              <w:spacing w:after="0" w:line="158" w:lineRule="exact"/>
              <w:rPr>
                <w:sz w:val="20"/>
                <w:szCs w:val="20"/>
                <w:color w:val="auto"/>
              </w:rPr>
            </w:pPr>
            <w:r>
              <w:rPr>
                <w:rFonts w:ascii="Arial" w:cs="Arial" w:eastAsia="Arial" w:hAnsi="Arial"/>
                <w:sz w:val="15"/>
                <w:szCs w:val="15"/>
                <w:color w:val="auto"/>
              </w:rPr>
              <w:t>Board to ensure alignment of HIPAC political contributions</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with company values.</w:t>
            </w:r>
          </w:p>
        </w:tc>
        <w:tc>
          <w:tcPr>
            <w:tcW w:w="0" w:type="dxa"/>
            <w:vAlign w:val="bottom"/>
          </w:tcPr>
          <w:p>
            <w:pPr>
              <w:spacing w:after="0"/>
              <w:rPr>
                <w:sz w:val="1"/>
                <w:szCs w:val="1"/>
                <w:color w:val="auto"/>
              </w:rPr>
            </w:pPr>
          </w:p>
        </w:tc>
      </w:tr>
      <w:tr>
        <w:trPr>
          <w:trHeight w:val="407"/>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Adopted formal requirement to interview diverse</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candidates prior to selecting new directors.</w:t>
            </w:r>
          </w:p>
        </w:tc>
        <w:tc>
          <w:tcPr>
            <w:tcW w:w="0" w:type="dxa"/>
            <w:vAlign w:val="bottom"/>
          </w:tcPr>
          <w:p>
            <w:pPr>
              <w:spacing w:after="0"/>
              <w:rPr>
                <w:sz w:val="1"/>
                <w:szCs w:val="1"/>
                <w:color w:val="auto"/>
              </w:rPr>
            </w:pPr>
          </w:p>
        </w:tc>
      </w:tr>
      <w:tr>
        <w:trPr>
          <w:trHeight w:val="191"/>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Assigned responsibility for oversight of overall ESG</w:t>
            </w:r>
          </w:p>
        </w:tc>
        <w:tc>
          <w:tcPr>
            <w:tcW w:w="0" w:type="dxa"/>
            <w:vAlign w:val="bottom"/>
          </w:tcPr>
          <w:p>
            <w:pPr>
              <w:spacing w:after="0"/>
              <w:rPr>
                <w:sz w:val="1"/>
                <w:szCs w:val="1"/>
                <w:color w:val="auto"/>
              </w:rPr>
            </w:pPr>
          </w:p>
        </w:tc>
      </w:tr>
      <w:tr>
        <w:trPr>
          <w:trHeight w:val="200"/>
        </w:trPr>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2021</w:t>
            </w: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performance, strategy, and risks to the CGRC.</w:t>
            </w:r>
          </w:p>
        </w:tc>
        <w:tc>
          <w:tcPr>
            <w:tcW w:w="0" w:type="dxa"/>
            <w:vAlign w:val="bottom"/>
          </w:tcPr>
          <w:p>
            <w:pPr>
              <w:spacing w:after="0"/>
              <w:rPr>
                <w:sz w:val="1"/>
                <w:szCs w:val="1"/>
                <w:color w:val="auto"/>
              </w:rPr>
            </w:pPr>
          </w:p>
        </w:tc>
      </w:tr>
      <w:tr>
        <w:trPr>
          <w:trHeight w:val="120"/>
        </w:trPr>
        <w:tc>
          <w:tcPr>
            <w:tcW w:w="880" w:type="dxa"/>
            <w:vAlign w:val="bottom"/>
            <w:vMerge w:val="continue"/>
            <w:shd w:val="clear" w:color="auto" w:fill="F2F2F2"/>
          </w:tcPr>
          <w:p>
            <w:pPr>
              <w:spacing w:after="0"/>
              <w:rPr>
                <w:sz w:val="10"/>
                <w:szCs w:val="10"/>
                <w:color w:val="auto"/>
              </w:rPr>
            </w:pPr>
          </w:p>
        </w:tc>
        <w:tc>
          <w:tcPr>
            <w:tcW w:w="4500" w:type="dxa"/>
            <w:vAlign w:val="bottom"/>
            <w:vMerge w:val="restart"/>
            <w:shd w:val="clear" w:color="auto" w:fill="F2F2F2"/>
          </w:tcPr>
          <w:p>
            <w:pPr>
              <w:ind w:left="160"/>
              <w:spacing w:after="0" w:line="181"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ESG considerations integrated into Enterprise Risk</w:t>
            </w:r>
          </w:p>
        </w:tc>
        <w:tc>
          <w:tcPr>
            <w:tcW w:w="0" w:type="dxa"/>
            <w:vAlign w:val="bottom"/>
          </w:tcPr>
          <w:p>
            <w:pPr>
              <w:spacing w:after="0"/>
              <w:rPr>
                <w:sz w:val="1"/>
                <w:szCs w:val="1"/>
                <w:color w:val="auto"/>
              </w:rPr>
            </w:pPr>
          </w:p>
        </w:tc>
      </w:tr>
      <w:tr>
        <w:trPr>
          <w:trHeight w:val="61"/>
        </w:trPr>
        <w:tc>
          <w:tcPr>
            <w:tcW w:w="880" w:type="dxa"/>
            <w:vAlign w:val="bottom"/>
            <w:shd w:val="clear" w:color="auto" w:fill="F2F2F2"/>
          </w:tcPr>
          <w:p>
            <w:pPr>
              <w:spacing w:after="0"/>
              <w:rPr>
                <w:sz w:val="5"/>
                <w:szCs w:val="5"/>
                <w:color w:val="auto"/>
              </w:rPr>
            </w:pPr>
          </w:p>
        </w:tc>
        <w:tc>
          <w:tcPr>
            <w:tcW w:w="45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Management framework.</w:t>
            </w:r>
          </w:p>
        </w:tc>
        <w:tc>
          <w:tcPr>
            <w:tcW w:w="0" w:type="dxa"/>
            <w:vAlign w:val="bottom"/>
          </w:tcPr>
          <w:p>
            <w:pPr>
              <w:spacing w:after="0"/>
              <w:rPr>
                <w:sz w:val="1"/>
                <w:szCs w:val="1"/>
                <w:color w:val="auto"/>
              </w:rPr>
            </w:pPr>
          </w:p>
        </w:tc>
      </w:tr>
      <w:tr>
        <w:trPr>
          <w:trHeight w:val="187"/>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Appointed Chief Sustainability Officer and Chief Inclusion</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and Diversity Officer.</w:t>
            </w:r>
          </w:p>
        </w:tc>
        <w:tc>
          <w:tcPr>
            <w:tcW w:w="0" w:type="dxa"/>
            <w:vAlign w:val="bottom"/>
          </w:tcPr>
          <w:p>
            <w:pPr>
              <w:spacing w:after="0"/>
              <w:rPr>
                <w:sz w:val="1"/>
                <w:szCs w:val="1"/>
                <w:color w:val="auto"/>
              </w:rPr>
            </w:pPr>
          </w:p>
        </w:tc>
      </w:tr>
      <w:tr>
        <w:trPr>
          <w:trHeight w:val="458"/>
        </w:trPr>
        <w:tc>
          <w:tcPr>
            <w:tcW w:w="880" w:type="dxa"/>
            <w:vAlign w:val="bottom"/>
            <w:shd w:val="clear" w:color="auto" w:fill="F2F2F2"/>
          </w:tcPr>
          <w:p>
            <w:pPr>
              <w:spacing w:after="0"/>
              <w:rPr>
                <w:sz w:val="24"/>
                <w:szCs w:val="24"/>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ESG added to Board Skillset Matrix as a strategic skill.</w:t>
            </w:r>
          </w:p>
        </w:tc>
        <w:tc>
          <w:tcPr>
            <w:tcW w:w="0" w:type="dxa"/>
            <w:vAlign w:val="bottom"/>
          </w:tcPr>
          <w:p>
            <w:pPr>
              <w:spacing w:after="0"/>
              <w:rPr>
                <w:sz w:val="1"/>
                <w:szCs w:val="1"/>
                <w:color w:val="auto"/>
              </w:rPr>
            </w:pPr>
          </w:p>
        </w:tc>
      </w:tr>
      <w:tr>
        <w:trPr>
          <w:trHeight w:val="179"/>
        </w:trPr>
        <w:tc>
          <w:tcPr>
            <w:tcW w:w="880" w:type="dxa"/>
            <w:vAlign w:val="bottom"/>
            <w:shd w:val="clear" w:color="auto" w:fill="F2F2F2"/>
          </w:tcPr>
          <w:p>
            <w:pPr>
              <w:spacing w:after="0"/>
              <w:rPr>
                <w:sz w:val="15"/>
                <w:szCs w:val="15"/>
                <w:color w:val="auto"/>
              </w:rPr>
            </w:pPr>
          </w:p>
        </w:tc>
        <w:tc>
          <w:tcPr>
            <w:tcW w:w="4500" w:type="dxa"/>
            <w:vAlign w:val="bottom"/>
            <w:shd w:val="clear" w:color="auto" w:fill="F2F2F2"/>
          </w:tcPr>
          <w:p>
            <w:pPr>
              <w:ind w:left="160"/>
              <w:spacing w:after="0" w:line="179"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Political Contributions Advisory Board mandate expanded</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to include review of trade association memberships.</w:t>
            </w:r>
          </w:p>
        </w:tc>
        <w:tc>
          <w:tcPr>
            <w:tcW w:w="0" w:type="dxa"/>
            <w:vAlign w:val="bottom"/>
          </w:tcPr>
          <w:p>
            <w:pPr>
              <w:spacing w:after="0"/>
              <w:rPr>
                <w:sz w:val="1"/>
                <w:szCs w:val="1"/>
                <w:color w:val="auto"/>
              </w:rPr>
            </w:pPr>
          </w:p>
        </w:tc>
      </w:tr>
      <w:tr>
        <w:trPr>
          <w:trHeight w:val="191"/>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Publicly disclosed our EEO-1 Report and committed to do</w:t>
            </w:r>
          </w:p>
        </w:tc>
        <w:tc>
          <w:tcPr>
            <w:tcW w:w="0" w:type="dxa"/>
            <w:vAlign w:val="bottom"/>
          </w:tcPr>
          <w:p>
            <w:pPr>
              <w:spacing w:after="0"/>
              <w:rPr>
                <w:sz w:val="1"/>
                <w:szCs w:val="1"/>
                <w:color w:val="auto"/>
              </w:rPr>
            </w:pPr>
          </w:p>
        </w:tc>
      </w:tr>
      <w:tr>
        <w:trPr>
          <w:trHeight w:val="200"/>
        </w:trPr>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6"/>
                <w:szCs w:val="16"/>
                <w:b w:val="1"/>
                <w:bCs w:val="1"/>
                <w:color w:val="auto"/>
              </w:rPr>
              <w:t>2022</w:t>
            </w: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so annually.</w:t>
            </w:r>
          </w:p>
        </w:tc>
        <w:tc>
          <w:tcPr>
            <w:tcW w:w="0" w:type="dxa"/>
            <w:vAlign w:val="bottom"/>
          </w:tcPr>
          <w:p>
            <w:pPr>
              <w:spacing w:after="0"/>
              <w:rPr>
                <w:sz w:val="1"/>
                <w:szCs w:val="1"/>
                <w:color w:val="auto"/>
              </w:rPr>
            </w:pPr>
          </w:p>
        </w:tc>
      </w:tr>
      <w:tr>
        <w:trPr>
          <w:trHeight w:val="178"/>
        </w:trPr>
        <w:tc>
          <w:tcPr>
            <w:tcW w:w="880" w:type="dxa"/>
            <w:vAlign w:val="bottom"/>
            <w:vMerge w:val="continue"/>
            <w:shd w:val="clear" w:color="auto" w:fill="F2F2F2"/>
          </w:tcPr>
          <w:p>
            <w:pPr>
              <w:spacing w:after="0"/>
              <w:rPr>
                <w:sz w:val="15"/>
                <w:szCs w:val="15"/>
                <w:color w:val="auto"/>
              </w:rPr>
            </w:pPr>
          </w:p>
        </w:tc>
        <w:tc>
          <w:tcPr>
            <w:tcW w:w="4500" w:type="dxa"/>
            <w:vAlign w:val="bottom"/>
            <w:shd w:val="clear" w:color="auto" w:fill="F2F2F2"/>
          </w:tcPr>
          <w:p>
            <w:pPr>
              <w:ind w:left="160"/>
              <w:spacing w:after="0" w:line="178"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Published inaugural Climate and Sustainability Lobbying</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Report.</w:t>
            </w:r>
          </w:p>
        </w:tc>
        <w:tc>
          <w:tcPr>
            <w:tcW w:w="0" w:type="dxa"/>
            <w:vAlign w:val="bottom"/>
          </w:tcPr>
          <w:p>
            <w:pPr>
              <w:spacing w:after="0"/>
              <w:rPr>
                <w:sz w:val="1"/>
                <w:szCs w:val="1"/>
                <w:color w:val="auto"/>
              </w:rPr>
            </w:pPr>
          </w:p>
        </w:tc>
      </w:tr>
      <w:tr>
        <w:trPr>
          <w:trHeight w:val="191"/>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Published inaugural Report on Due Diligence Processes to</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Identify and Address Environmental and Social Risks.</w:t>
            </w:r>
          </w:p>
        </w:tc>
        <w:tc>
          <w:tcPr>
            <w:tcW w:w="0" w:type="dxa"/>
            <w:vAlign w:val="bottom"/>
          </w:tcPr>
          <w:p>
            <w:pPr>
              <w:spacing w:after="0"/>
              <w:rPr>
                <w:sz w:val="1"/>
                <w:szCs w:val="1"/>
                <w:color w:val="auto"/>
              </w:rPr>
            </w:pPr>
          </w:p>
        </w:tc>
      </w:tr>
      <w:tr>
        <w:trPr>
          <w:trHeight w:val="191"/>
        </w:trPr>
        <w:tc>
          <w:tcPr>
            <w:tcW w:w="880" w:type="dxa"/>
            <w:vAlign w:val="bottom"/>
            <w:shd w:val="clear" w:color="auto" w:fill="F2F2F2"/>
          </w:tcPr>
          <w:p>
            <w:pPr>
              <w:spacing w:after="0"/>
              <w:rPr>
                <w:sz w:val="16"/>
                <w:szCs w:val="16"/>
                <w:color w:val="auto"/>
              </w:rPr>
            </w:pPr>
          </w:p>
        </w:tc>
        <w:tc>
          <w:tcPr>
            <w:tcW w:w="4500" w:type="dxa"/>
            <w:vAlign w:val="bottom"/>
            <w:shd w:val="clear" w:color="auto" w:fill="F2F2F2"/>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5"/>
                <w:szCs w:val="15"/>
                <w:color w:val="000000"/>
              </w:rPr>
              <w:t>Assigned responsibility for oversight of employee well-</w:t>
            </w:r>
          </w:p>
        </w:tc>
        <w:tc>
          <w:tcPr>
            <w:tcW w:w="0" w:type="dxa"/>
            <w:vAlign w:val="bottom"/>
          </w:tcPr>
          <w:p>
            <w:pPr>
              <w:spacing w:after="0"/>
              <w:rPr>
                <w:sz w:val="1"/>
                <w:szCs w:val="1"/>
                <w:color w:val="auto"/>
              </w:rPr>
            </w:pPr>
          </w:p>
        </w:tc>
      </w:tr>
      <w:tr>
        <w:trPr>
          <w:trHeight w:val="200"/>
        </w:trPr>
        <w:tc>
          <w:tcPr>
            <w:tcW w:w="880" w:type="dxa"/>
            <w:vAlign w:val="bottom"/>
            <w:shd w:val="clear" w:color="auto" w:fill="F2F2F2"/>
          </w:tcPr>
          <w:p>
            <w:pPr>
              <w:spacing w:after="0"/>
              <w:rPr>
                <w:sz w:val="17"/>
                <w:szCs w:val="17"/>
                <w:color w:val="auto"/>
              </w:rPr>
            </w:pPr>
          </w:p>
        </w:tc>
        <w:tc>
          <w:tcPr>
            <w:tcW w:w="4500" w:type="dxa"/>
            <w:vAlign w:val="bottom"/>
            <w:shd w:val="clear" w:color="auto" w:fill="F2F2F2"/>
          </w:tcPr>
          <w:p>
            <w:pPr>
              <w:ind w:left="360"/>
              <w:spacing w:after="0"/>
              <w:rPr>
                <w:sz w:val="20"/>
                <w:szCs w:val="20"/>
                <w:color w:val="auto"/>
              </w:rPr>
            </w:pPr>
            <w:r>
              <w:rPr>
                <w:rFonts w:ascii="Arial" w:cs="Arial" w:eastAsia="Arial" w:hAnsi="Arial"/>
                <w:sz w:val="15"/>
                <w:szCs w:val="15"/>
                <w:color w:val="auto"/>
              </w:rPr>
              <w:t>being to the MDCC.</w:t>
            </w:r>
          </w:p>
        </w:tc>
        <w:tc>
          <w:tcPr>
            <w:tcW w:w="0" w:type="dxa"/>
            <w:vAlign w:val="bottom"/>
          </w:tcPr>
          <w:p>
            <w:pPr>
              <w:spacing w:after="0"/>
              <w:rPr>
                <w:sz w:val="1"/>
                <w:szCs w:val="1"/>
                <w:color w:val="auto"/>
              </w:rPr>
            </w:pPr>
          </w:p>
        </w:tc>
      </w:tr>
      <w:tr>
        <w:trPr>
          <w:trHeight w:val="128"/>
        </w:trPr>
        <w:tc>
          <w:tcPr>
            <w:tcW w:w="880" w:type="dxa"/>
            <w:vAlign w:val="bottom"/>
            <w:shd w:val="clear" w:color="auto" w:fill="F2F2F2"/>
          </w:tcPr>
          <w:p>
            <w:pPr>
              <w:spacing w:after="0"/>
              <w:rPr>
                <w:sz w:val="11"/>
                <w:szCs w:val="11"/>
                <w:color w:val="auto"/>
              </w:rPr>
            </w:pPr>
          </w:p>
        </w:tc>
        <w:tc>
          <w:tcPr>
            <w:tcW w:w="45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-4739640</wp:posOffset>
            </wp:positionV>
            <wp:extent cx="7123430" cy="51435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23430" cy="5143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242424"/>
        </w:rPr>
        <w:t>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242424"/>
        </w:rPr>
        <w:t>Enhancement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32385</wp:posOffset>
            </wp:positionV>
            <wp:extent cx="3402965" cy="44919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02965" cy="4491990"/>
                    </a:xfrm>
                    <a:prstGeom prst="rect">
                      <a:avLst/>
                    </a:prstGeom>
                    <a:noFill/>
                  </pic:spPr>
                </pic:pic>
              </a:graphicData>
            </a:graphic>
          </wp:anchor>
        </w:drawing>
      </w:r>
    </w:p>
    <w:p>
      <w:pPr>
        <w:spacing w:after="0" w:line="148" w:lineRule="exact"/>
        <w:rPr>
          <w:sz w:val="20"/>
          <w:szCs w:val="20"/>
          <w:color w:val="auto"/>
        </w:rPr>
      </w:pPr>
    </w:p>
    <w:p>
      <w:pPr>
        <w:ind w:left="200" w:right="500" w:hanging="188"/>
        <w:spacing w:after="0" w:line="226"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Enhanced the Report on Due Diligence Processes to Identify and Address Environmental and Social Risks to address Environmental Justice considerations in</w:t>
      </w:r>
    </w:p>
    <w:p>
      <w:pPr>
        <w:spacing w:after="0" w:line="1" w:lineRule="exact"/>
        <w:rPr>
          <w:rFonts w:ascii="Arial" w:cs="Arial" w:eastAsia="Arial" w:hAnsi="Arial"/>
          <w:sz w:val="16"/>
          <w:szCs w:val="16"/>
          <w:b w:val="1"/>
          <w:bCs w:val="1"/>
          <w:color w:val="D7282F"/>
        </w:rPr>
      </w:pPr>
    </w:p>
    <w:p>
      <w:pPr>
        <w:ind w:left="200"/>
        <w:spacing w:after="0"/>
        <w:rPr>
          <w:rFonts w:ascii="Arial" w:cs="Arial" w:eastAsia="Arial" w:hAnsi="Arial"/>
          <w:sz w:val="16"/>
          <w:szCs w:val="16"/>
          <w:b w:val="1"/>
          <w:bCs w:val="1"/>
          <w:color w:val="D7282F"/>
        </w:rPr>
      </w:pPr>
      <w:r>
        <w:rPr>
          <w:rFonts w:ascii="Arial" w:cs="Arial" w:eastAsia="Arial" w:hAnsi="Arial"/>
          <w:sz w:val="15"/>
          <w:szCs w:val="15"/>
          <w:color w:val="auto"/>
        </w:rPr>
        <w:t>our processes.</w:t>
      </w:r>
    </w:p>
    <w:p>
      <w:pPr>
        <w:spacing w:after="0" w:line="29" w:lineRule="exact"/>
        <w:rPr>
          <w:rFonts w:ascii="Arial" w:cs="Arial" w:eastAsia="Arial" w:hAnsi="Arial"/>
          <w:sz w:val="16"/>
          <w:szCs w:val="16"/>
          <w:b w:val="1"/>
          <w:bCs w:val="1"/>
          <w:color w:val="D7282F"/>
        </w:rPr>
      </w:pPr>
    </w:p>
    <w:p>
      <w:pPr>
        <w:ind w:left="200" w:right="500" w:hanging="188"/>
        <w:spacing w:after="0" w:line="245" w:lineRule="auto"/>
        <w:tabs>
          <w:tab w:leader="none" w:pos="194" w:val="left"/>
        </w:tabs>
        <w:numPr>
          <w:ilvl w:val="0"/>
          <w:numId w:val="75"/>
        </w:numPr>
        <w:rPr>
          <w:rFonts w:ascii="Arial" w:cs="Arial" w:eastAsia="Arial" w:hAnsi="Arial"/>
          <w:sz w:val="15"/>
          <w:szCs w:val="15"/>
          <w:b w:val="1"/>
          <w:bCs w:val="1"/>
          <w:color w:val="D7282F"/>
        </w:rPr>
      </w:pPr>
      <w:r>
        <w:rPr>
          <w:rFonts w:ascii="Arial" w:cs="Arial" w:eastAsia="Arial" w:hAnsi="Arial"/>
          <w:sz w:val="15"/>
          <w:szCs w:val="15"/>
          <w:color w:val="auto"/>
        </w:rPr>
        <w:t>Amended our Executive Stock Ownership Guidelines to exclude performance shares.</w:t>
      </w:r>
    </w:p>
    <w:p>
      <w:pPr>
        <w:spacing w:after="0" w:line="12" w:lineRule="exact"/>
        <w:rPr>
          <w:rFonts w:ascii="Arial" w:cs="Arial" w:eastAsia="Arial" w:hAnsi="Arial"/>
          <w:sz w:val="15"/>
          <w:szCs w:val="15"/>
          <w:b w:val="1"/>
          <w:bCs w:val="1"/>
          <w:color w:val="D7282F"/>
        </w:rPr>
      </w:pPr>
    </w:p>
    <w:p>
      <w:pPr>
        <w:ind w:left="200" w:right="380" w:hanging="188"/>
        <w:spacing w:after="0" w:line="261" w:lineRule="auto"/>
        <w:tabs>
          <w:tab w:leader="none" w:pos="194" w:val="left"/>
        </w:tabs>
        <w:numPr>
          <w:ilvl w:val="0"/>
          <w:numId w:val="75"/>
        </w:numPr>
        <w:rPr>
          <w:rFonts w:ascii="Arial" w:cs="Arial" w:eastAsia="Arial" w:hAnsi="Arial"/>
          <w:sz w:val="15"/>
          <w:szCs w:val="15"/>
          <w:b w:val="1"/>
          <w:bCs w:val="1"/>
          <w:color w:val="D7282F"/>
        </w:rPr>
      </w:pPr>
      <w:r>
        <w:rPr>
          <w:rFonts w:ascii="Arial" w:cs="Arial" w:eastAsia="Arial" w:hAnsi="Arial"/>
          <w:sz w:val="15"/>
          <w:szCs w:val="15"/>
          <w:color w:val="auto"/>
        </w:rPr>
        <w:t>MDCC incorporated an ESG scorecard when assessing the qualitative portion of ICP for executive compensation.</w:t>
      </w:r>
    </w:p>
    <w:p>
      <w:pPr>
        <w:spacing w:after="0" w:line="2" w:lineRule="exact"/>
        <w:rPr>
          <w:rFonts w:ascii="Arial" w:cs="Arial" w:eastAsia="Arial" w:hAnsi="Arial"/>
          <w:sz w:val="15"/>
          <w:szCs w:val="15"/>
          <w:b w:val="1"/>
          <w:bCs w:val="1"/>
          <w:color w:val="D7282F"/>
        </w:rPr>
      </w:pPr>
    </w:p>
    <w:p>
      <w:pPr>
        <w:ind w:left="200" w:right="440" w:hanging="188"/>
        <w:spacing w:after="0" w:line="238" w:lineRule="auto"/>
        <w:tabs>
          <w:tab w:leader="none" w:pos="194" w:val="left"/>
        </w:tabs>
        <w:numPr>
          <w:ilvl w:val="0"/>
          <w:numId w:val="75"/>
        </w:numPr>
        <w:rPr>
          <w:rFonts w:ascii="Arial" w:cs="Arial" w:eastAsia="Arial" w:hAnsi="Arial"/>
          <w:sz w:val="15"/>
          <w:szCs w:val="15"/>
          <w:b w:val="1"/>
          <w:bCs w:val="1"/>
          <w:color w:val="D7282F"/>
        </w:rPr>
      </w:pPr>
      <w:r>
        <w:rPr>
          <w:rFonts w:ascii="Arial" w:cs="Arial" w:eastAsia="Arial" w:hAnsi="Arial"/>
          <w:sz w:val="15"/>
          <w:szCs w:val="15"/>
          <w:color w:val="auto"/>
        </w:rPr>
        <w:t>Execution of successful leadership transition plan, with announcement of Vimal Kapur as next CEO, with Darius Adamczyk continuing to serve as Executive Chairman of the Board.</w:t>
      </w:r>
    </w:p>
    <w:p>
      <w:pPr>
        <w:spacing w:after="0" w:line="31" w:lineRule="exact"/>
        <w:rPr>
          <w:rFonts w:ascii="Arial" w:cs="Arial" w:eastAsia="Arial" w:hAnsi="Arial"/>
          <w:sz w:val="15"/>
          <w:szCs w:val="15"/>
          <w:b w:val="1"/>
          <w:bCs w:val="1"/>
          <w:color w:val="D7282F"/>
        </w:rPr>
      </w:pPr>
    </w:p>
    <w:p>
      <w:pPr>
        <w:ind w:left="200" w:right="320" w:hanging="188"/>
        <w:spacing w:after="0" w:line="231"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Adopted standalone Clawback Policy that meets SEC and Nasdaq standards while maintaining existing policy as a secondary recoupment mechanism.</w:t>
      </w:r>
    </w:p>
    <w:p>
      <w:pPr>
        <w:spacing w:after="0" w:line="17" w:lineRule="exact"/>
        <w:rPr>
          <w:rFonts w:ascii="Arial" w:cs="Arial" w:eastAsia="Arial" w:hAnsi="Arial"/>
          <w:sz w:val="16"/>
          <w:szCs w:val="16"/>
          <w:b w:val="1"/>
          <w:bCs w:val="1"/>
          <w:color w:val="D7282F"/>
        </w:rPr>
      </w:pPr>
    </w:p>
    <w:p>
      <w:pPr>
        <w:jc w:val="both"/>
        <w:ind w:left="200" w:right="440" w:hanging="188"/>
        <w:spacing w:after="0" w:line="244" w:lineRule="auto"/>
        <w:tabs>
          <w:tab w:leader="none" w:pos="194" w:val="left"/>
        </w:tabs>
        <w:numPr>
          <w:ilvl w:val="0"/>
          <w:numId w:val="75"/>
        </w:numPr>
        <w:rPr>
          <w:rFonts w:ascii="Arial" w:cs="Arial" w:eastAsia="Arial" w:hAnsi="Arial"/>
          <w:sz w:val="15"/>
          <w:szCs w:val="15"/>
          <w:b w:val="1"/>
          <w:bCs w:val="1"/>
          <w:color w:val="D7282F"/>
        </w:rPr>
      </w:pPr>
      <w:r>
        <w:rPr>
          <w:rFonts w:ascii="Arial" w:cs="Arial" w:eastAsia="Arial" w:hAnsi="Arial"/>
          <w:sz w:val="15"/>
          <w:szCs w:val="15"/>
          <w:color w:val="auto"/>
        </w:rPr>
        <w:t>After evaluating industry standard defined attributes and input from independent consultants, MDCC added Cisco and Medtronic to our Compensation Peer Group.</w:t>
      </w:r>
    </w:p>
    <w:p>
      <w:pPr>
        <w:spacing w:after="0" w:line="27" w:lineRule="exact"/>
        <w:rPr>
          <w:rFonts w:ascii="Arial" w:cs="Arial" w:eastAsia="Arial" w:hAnsi="Arial"/>
          <w:sz w:val="15"/>
          <w:szCs w:val="15"/>
          <w:b w:val="1"/>
          <w:bCs w:val="1"/>
          <w:color w:val="D7282F"/>
        </w:rPr>
      </w:pPr>
    </w:p>
    <w:p>
      <w:pPr>
        <w:ind w:left="200" w:right="580" w:hanging="188"/>
        <w:spacing w:after="0" w:line="248"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Science-based target that includes Scope 3 emissions validated by SBTi.</w:t>
      </w:r>
    </w:p>
    <w:p>
      <w:pPr>
        <w:spacing w:after="0" w:line="293" w:lineRule="exact"/>
        <w:rPr>
          <w:rFonts w:ascii="Arial" w:cs="Arial" w:eastAsia="Arial" w:hAnsi="Arial"/>
          <w:sz w:val="16"/>
          <w:szCs w:val="16"/>
          <w:b w:val="1"/>
          <w:bCs w:val="1"/>
          <w:color w:val="D7282F"/>
        </w:rPr>
      </w:pPr>
    </w:p>
    <w:p>
      <w:pPr>
        <w:ind w:left="200" w:right="680" w:hanging="188"/>
        <w:spacing w:after="0" w:line="248"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Elected William S. Ayer to succeed D. Scott Davis as independent Lead Director in May.</w:t>
      </w:r>
    </w:p>
    <w:p>
      <w:pPr>
        <w:spacing w:after="0" w:line="23" w:lineRule="exact"/>
        <w:rPr>
          <w:rFonts w:ascii="Arial" w:cs="Arial" w:eastAsia="Arial" w:hAnsi="Arial"/>
          <w:sz w:val="16"/>
          <w:szCs w:val="16"/>
          <w:b w:val="1"/>
          <w:bCs w:val="1"/>
          <w:color w:val="D7282F"/>
        </w:rPr>
      </w:pPr>
    </w:p>
    <w:p>
      <w:pPr>
        <w:ind w:left="200" w:right="660" w:hanging="188"/>
        <w:spacing w:after="0" w:line="248"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Elected Vimal Kapur to succeed Darius Adamczyk as Chairman of the Board in June.</w:t>
      </w:r>
    </w:p>
    <w:p>
      <w:pPr>
        <w:spacing w:after="0" w:line="23" w:lineRule="exact"/>
        <w:rPr>
          <w:rFonts w:ascii="Arial" w:cs="Arial" w:eastAsia="Arial" w:hAnsi="Arial"/>
          <w:sz w:val="16"/>
          <w:szCs w:val="16"/>
          <w:b w:val="1"/>
          <w:bCs w:val="1"/>
          <w:color w:val="D7282F"/>
        </w:rPr>
      </w:pPr>
    </w:p>
    <w:p>
      <w:pPr>
        <w:jc w:val="both"/>
        <w:ind w:left="200" w:right="360" w:hanging="188"/>
        <w:spacing w:after="0" w:line="230"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Independent Lead Director role augmented to include the right to approve all Board meeting agendas (in addition to already existing rights to unilaterally call a Board meeting and make agenda changes).</w:t>
      </w:r>
    </w:p>
    <w:p>
      <w:pPr>
        <w:spacing w:after="0" w:line="29" w:lineRule="exact"/>
        <w:rPr>
          <w:rFonts w:ascii="Arial" w:cs="Arial" w:eastAsia="Arial" w:hAnsi="Arial"/>
          <w:sz w:val="16"/>
          <w:szCs w:val="16"/>
          <w:b w:val="1"/>
          <w:bCs w:val="1"/>
          <w:color w:val="D7282F"/>
        </w:rPr>
      </w:pPr>
    </w:p>
    <w:p>
      <w:pPr>
        <w:ind w:left="200" w:right="260" w:hanging="188"/>
        <w:spacing w:after="0" w:line="248"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Audit Committee Charter amended to specify that the Chief Compliance Officer be invited to all committee meetings.</w:t>
      </w:r>
    </w:p>
    <w:p>
      <w:pPr>
        <w:spacing w:after="0" w:line="23" w:lineRule="exact"/>
        <w:rPr>
          <w:rFonts w:ascii="Arial" w:cs="Arial" w:eastAsia="Arial" w:hAnsi="Arial"/>
          <w:sz w:val="16"/>
          <w:szCs w:val="16"/>
          <w:b w:val="1"/>
          <w:bCs w:val="1"/>
          <w:color w:val="D7282F"/>
        </w:rPr>
      </w:pPr>
    </w:p>
    <w:p>
      <w:pPr>
        <w:jc w:val="both"/>
        <w:ind w:left="200" w:right="280" w:hanging="188"/>
        <w:spacing w:after="0" w:line="237" w:lineRule="auto"/>
        <w:tabs>
          <w:tab w:leader="none" w:pos="197" w:val="left"/>
        </w:tabs>
        <w:numPr>
          <w:ilvl w:val="0"/>
          <w:numId w:val="75"/>
        </w:numPr>
        <w:rPr>
          <w:rFonts w:ascii="Arial" w:cs="Arial" w:eastAsia="Arial" w:hAnsi="Arial"/>
          <w:sz w:val="16"/>
          <w:szCs w:val="16"/>
          <w:b w:val="1"/>
          <w:bCs w:val="1"/>
          <w:color w:val="D7282F"/>
        </w:rPr>
      </w:pPr>
      <w:r>
        <w:rPr>
          <w:rFonts w:ascii="Arial" w:cs="Arial" w:eastAsia="Arial" w:hAnsi="Arial"/>
          <w:sz w:val="15"/>
          <w:szCs w:val="15"/>
          <w:color w:val="auto"/>
        </w:rPr>
        <w:t>Assigned responsibility for oversight of artificial intelligence risk to the Audit Committee and oversight of environmental justice to the CGRC.</w:t>
      </w:r>
    </w:p>
    <w:p>
      <w:pPr>
        <w:spacing w:after="0" w:line="17" w:lineRule="exact"/>
        <w:rPr>
          <w:rFonts w:ascii="Arial" w:cs="Arial" w:eastAsia="Arial" w:hAnsi="Arial"/>
          <w:sz w:val="16"/>
          <w:szCs w:val="16"/>
          <w:b w:val="1"/>
          <w:bCs w:val="1"/>
          <w:color w:val="D7282F"/>
        </w:rPr>
      </w:pPr>
    </w:p>
    <w:p>
      <w:pPr>
        <w:ind w:left="200" w:right="620" w:hanging="188"/>
        <w:spacing w:after="0" w:line="236" w:lineRule="auto"/>
        <w:tabs>
          <w:tab w:leader="none" w:pos="194" w:val="left"/>
        </w:tabs>
        <w:numPr>
          <w:ilvl w:val="0"/>
          <w:numId w:val="75"/>
        </w:numPr>
        <w:rPr>
          <w:rFonts w:ascii="Arial" w:cs="Arial" w:eastAsia="Arial" w:hAnsi="Arial"/>
          <w:sz w:val="15"/>
          <w:szCs w:val="15"/>
          <w:b w:val="1"/>
          <w:bCs w:val="1"/>
          <w:color w:val="D7282F"/>
        </w:rPr>
      </w:pPr>
      <w:r>
        <w:rPr>
          <w:rFonts w:ascii="Arial" w:cs="Arial" w:eastAsia="Arial" w:hAnsi="Arial"/>
          <w:sz w:val="15"/>
          <w:szCs w:val="15"/>
          <w:color w:val="auto"/>
        </w:rPr>
        <w:t>Enhancing environmental justice disclosure to include quantitative metrics and augment discussion of the Company's risk oversight and governance framework.</w:t>
      </w:r>
    </w:p>
    <w:p>
      <w:pPr>
        <w:spacing w:after="0" w:line="721" w:lineRule="exact"/>
        <w:rPr>
          <w:sz w:val="20"/>
          <w:szCs w:val="20"/>
          <w:color w:val="auto"/>
        </w:rPr>
      </w:pPr>
    </w:p>
    <w:p>
      <w:pPr>
        <w:sectPr>
          <w:pgSz w:w="11900" w:h="16838" w:orient="portrait"/>
          <w:cols w:equalWidth="0" w:num="3">
            <w:col w:w="5380" w:space="620"/>
            <w:col w:w="360" w:space="420"/>
            <w:col w:w="4460"/>
          </w:cols>
          <w:pgMar w:left="320" w:top="1293" w:right="339" w:bottom="1440" w:gutter="0" w:footer="0" w:header="0"/>
          <w:type w:val="continuous"/>
        </w:sectPr>
      </w:pP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Continuously Augmenting Governance and Disclosure Practices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SHAREOWNER OUTREACH AND ENGAGEMENT</w:t>
      </w:r>
    </w:p>
    <w:p>
      <w:pPr>
        <w:spacing w:after="0" w:line="12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Understanding the issues that are important to our shareowners is critical to ensuring that the Company addresses their interests in a meaningful and effective manner. It is also foundational to good corporate governance. Honeywell engages with shareowners on a regular basis throughout the year to discuss a range of topics, including performance, strategy, risk management, executive compensation, corporate governance, and sustainability. The Company recognizes the value of taking shareowners’ views into account. Dialogue and engagement with shareowners help set goals and expectations for performance and help identify emerging issues that may affect corporate governance, compensation practices, and other aspects of strategy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20231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2023110"/>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SHAREOWNER ENGAGEMENT IN 2023</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color w:val="FFFFFF"/>
        </w:rPr>
        <w:t>Shareowner engagement during 2023 was robust. The Company’s shareowner and investor outreach and engagement take many forms:</w:t>
      </w:r>
    </w:p>
    <w:p>
      <w:pPr>
        <w:sectPr>
          <w:pgSz w:w="11900" w:h="16838" w:orient="portrait"/>
          <w:cols w:equalWidth="0" w:num="1">
            <w:col w:w="11220"/>
          </w:cols>
          <w:pgMar w:left="320" w:top="230" w:right="359" w:bottom="1440" w:gutter="0" w:footer="0" w:header="0"/>
        </w:sectPr>
      </w:pPr>
    </w:p>
    <w:p>
      <w:pPr>
        <w:spacing w:after="0" w:line="181" w:lineRule="exact"/>
        <w:rPr>
          <w:sz w:val="20"/>
          <w:szCs w:val="20"/>
          <w:color w:val="auto"/>
        </w:rPr>
      </w:pPr>
    </w:p>
    <w:p>
      <w:pPr>
        <w:ind w:left="160"/>
        <w:spacing w:after="0" w:line="259" w:lineRule="auto"/>
        <w:rPr>
          <w:sz w:val="20"/>
          <w:szCs w:val="20"/>
          <w:color w:val="auto"/>
        </w:rPr>
      </w:pPr>
      <w:r>
        <w:rPr>
          <w:rFonts w:ascii="Arial" w:cs="Arial" w:eastAsia="Arial" w:hAnsi="Arial"/>
          <w:sz w:val="16"/>
          <w:szCs w:val="16"/>
          <w:color w:val="auto"/>
        </w:rPr>
        <w:t>The Company participates in numerous investor conferences and analyst meetings; holds its own investor events, some of which focus on individual businesses, at Honeywell facilities; and meets one-on-one with shareowners in a variety of contexts and forums.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part of Honeywell’s governance-focused shareowner engagement program, members of the Board, including the independent Lead Director, the CGRC Chair, and/or the MDCC Chair, participate in many shareowner meetings to discuss a range of matters, including executive compensation, corporate governance, and sustainability. In 2023, these meetings were particularly important to us as we wanted explicit feedback on items that were voted on at the 2023 Annual Meeting of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258445</wp:posOffset>
            </wp:positionV>
            <wp:extent cx="7132320"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60"/>
        <w:spacing w:after="0" w:line="265" w:lineRule="auto"/>
        <w:rPr>
          <w:sz w:val="20"/>
          <w:szCs w:val="20"/>
          <w:color w:val="auto"/>
        </w:rPr>
      </w:pPr>
      <w:r>
        <w:rPr>
          <w:rFonts w:ascii="Arial" w:cs="Arial" w:eastAsia="Arial" w:hAnsi="Arial"/>
          <w:sz w:val="16"/>
          <w:szCs w:val="16"/>
          <w:color w:val="auto"/>
        </w:rPr>
        <w:t>In addition, the Company’s Executive Chairman, Chief Executive Officer, Chief Financial Officer, and other executive officers hosted</w:t>
      </w:r>
    </w:p>
    <w:p>
      <w:pPr>
        <w:spacing w:after="0" w:line="4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&gt;150</w:t>
      </w:r>
    </w:p>
    <w:p>
      <w:pPr>
        <w:spacing w:after="0" w:line="44"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one-on-one or small-group shareowner meetings to discuss business performance, strategy, end markets, and the overall competitive landscape, while seeking shareowner feedback.</w:t>
      </w:r>
    </w:p>
    <w:p>
      <w:pPr>
        <w:spacing w:after="0" w:line="200" w:lineRule="exact"/>
        <w:rPr>
          <w:sz w:val="20"/>
          <w:szCs w:val="20"/>
          <w:color w:val="auto"/>
        </w:rPr>
      </w:pPr>
    </w:p>
    <w:p>
      <w:pPr>
        <w:sectPr>
          <w:pgSz w:w="11900" w:h="16838" w:orient="portrait"/>
          <w:cols w:equalWidth="0" w:num="3">
            <w:col w:w="3380" w:space="520"/>
            <w:col w:w="3420" w:space="340"/>
            <w:col w:w="3560"/>
          </w:cols>
          <w:pgMar w:left="320" w:top="230" w:right="359" w:bottom="1440" w:gutter="0" w:footer="0" w:header="0"/>
          <w:type w:val="continuous"/>
        </w:sectPr>
      </w:pP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SHAREOWNER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23430" cy="25546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23430" cy="255460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SPRING</w:t>
      </w:r>
    </w:p>
    <w:p>
      <w:pPr>
        <w:spacing w:after="0" w:line="127" w:lineRule="exact"/>
        <w:rPr>
          <w:sz w:val="20"/>
          <w:szCs w:val="20"/>
          <w:color w:val="auto"/>
        </w:rPr>
      </w:pPr>
    </w:p>
    <w:p>
      <w:pPr>
        <w:ind w:left="160"/>
        <w:spacing w:after="0" w:line="259" w:lineRule="auto"/>
        <w:rPr>
          <w:sz w:val="20"/>
          <w:szCs w:val="20"/>
          <w:color w:val="auto"/>
        </w:rPr>
      </w:pPr>
      <w:r>
        <w:rPr>
          <w:rFonts w:ascii="Arial" w:cs="Arial" w:eastAsia="Arial" w:hAnsi="Arial"/>
          <w:sz w:val="16"/>
          <w:szCs w:val="16"/>
          <w:color w:val="auto"/>
        </w:rPr>
        <w:t>The Annual Report and Proxy Statement are distributed to shareowners. Management and members of the Board extend invitations to our largest shareowners to discuss matters to be voted on at the upcoming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auto"/>
        </w:rPr>
        <w:t>SUMMER</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Management reports to the Board on the just-ended proxy season, including a discussion on voting results and shareowner feedback. This discussion sets the agenda for Summer/Fall shareowner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0" w:type="dxa"/>
            <w:vAlign w:val="bottom"/>
          </w:tcPr>
          <w:p>
            <w:pPr>
              <w:ind w:left="1200"/>
              <w:spacing w:after="0"/>
              <w:rPr>
                <w:sz w:val="20"/>
                <w:szCs w:val="20"/>
                <w:color w:val="auto"/>
              </w:rPr>
            </w:pPr>
            <w:r>
              <w:rPr>
                <w:rFonts w:ascii="Arial" w:cs="Arial" w:eastAsia="Arial" w:hAnsi="Arial"/>
                <w:sz w:val="16"/>
                <w:szCs w:val="16"/>
                <w:b w:val="1"/>
                <w:bCs w:val="1"/>
                <w:color w:val="auto"/>
              </w:rPr>
              <w:t>FALL</w:t>
            </w:r>
          </w:p>
        </w:tc>
        <w:tc>
          <w:tcPr>
            <w:tcW w:w="2840" w:type="dxa"/>
            <w:vAlign w:val="bottom"/>
          </w:tcPr>
          <w:p>
            <w:pPr>
              <w:ind w:left="1120"/>
              <w:spacing w:after="0"/>
              <w:rPr>
                <w:sz w:val="20"/>
                <w:szCs w:val="20"/>
                <w:color w:val="auto"/>
              </w:rPr>
            </w:pPr>
            <w:r>
              <w:rPr>
                <w:rFonts w:ascii="Arial" w:cs="Arial" w:eastAsia="Arial" w:hAnsi="Arial"/>
                <w:sz w:val="16"/>
                <w:szCs w:val="16"/>
                <w:b w:val="1"/>
                <w:bCs w:val="1"/>
                <w:color w:val="auto"/>
              </w:rPr>
              <w:t>WINTER</w:t>
            </w:r>
          </w:p>
        </w:tc>
      </w:tr>
      <w:tr>
        <w:trPr>
          <w:trHeight w:val="277"/>
        </w:trPr>
        <w:tc>
          <w:tcPr>
            <w:tcW w:w="2800" w:type="dxa"/>
            <w:vAlign w:val="bottom"/>
          </w:tcPr>
          <w:p>
            <w:pPr>
              <w:ind w:left="180"/>
              <w:spacing w:after="0"/>
              <w:rPr>
                <w:sz w:val="20"/>
                <w:szCs w:val="20"/>
                <w:color w:val="auto"/>
              </w:rPr>
            </w:pPr>
            <w:r>
              <w:rPr>
                <w:rFonts w:ascii="Arial" w:cs="Arial" w:eastAsia="Arial" w:hAnsi="Arial"/>
                <w:sz w:val="16"/>
                <w:szCs w:val="16"/>
                <w:color w:val="auto"/>
              </w:rPr>
              <w:t>Management determines topics</w:t>
            </w:r>
          </w:p>
        </w:tc>
        <w:tc>
          <w:tcPr>
            <w:tcW w:w="2840" w:type="dxa"/>
            <w:vAlign w:val="bottom"/>
          </w:tcPr>
          <w:p>
            <w:pPr>
              <w:ind w:left="180"/>
              <w:spacing w:after="0"/>
              <w:rPr>
                <w:sz w:val="20"/>
                <w:szCs w:val="20"/>
                <w:color w:val="auto"/>
              </w:rPr>
            </w:pPr>
            <w:r>
              <w:rPr>
                <w:rFonts w:ascii="Arial" w:cs="Arial" w:eastAsia="Arial" w:hAnsi="Arial"/>
                <w:sz w:val="16"/>
                <w:szCs w:val="16"/>
                <w:color w:val="auto"/>
              </w:rPr>
              <w:t>The Board implements governance</w:t>
            </w:r>
          </w:p>
        </w:tc>
      </w:tr>
      <w:tr>
        <w:trPr>
          <w:trHeight w:val="203"/>
        </w:trPr>
        <w:tc>
          <w:tcPr>
            <w:tcW w:w="2800" w:type="dxa"/>
            <w:vAlign w:val="bottom"/>
          </w:tcPr>
          <w:p>
            <w:pPr>
              <w:ind w:left="180"/>
              <w:spacing w:after="0"/>
              <w:rPr>
                <w:sz w:val="20"/>
                <w:szCs w:val="20"/>
                <w:color w:val="auto"/>
              </w:rPr>
            </w:pPr>
            <w:r>
              <w:rPr>
                <w:rFonts w:ascii="Arial" w:cs="Arial" w:eastAsia="Arial" w:hAnsi="Arial"/>
                <w:sz w:val="16"/>
                <w:szCs w:val="16"/>
                <w:color w:val="auto"/>
              </w:rPr>
              <w:t>for upcoming shareowner</w:t>
            </w:r>
          </w:p>
        </w:tc>
        <w:tc>
          <w:tcPr>
            <w:tcW w:w="2840" w:type="dxa"/>
            <w:vAlign w:val="bottom"/>
          </w:tcPr>
          <w:p>
            <w:pPr>
              <w:ind w:left="180"/>
              <w:spacing w:after="0"/>
              <w:rPr>
                <w:sz w:val="20"/>
                <w:szCs w:val="20"/>
                <w:color w:val="auto"/>
              </w:rPr>
            </w:pPr>
            <w:r>
              <w:rPr>
                <w:rFonts w:ascii="Arial" w:cs="Arial" w:eastAsia="Arial" w:hAnsi="Arial"/>
                <w:sz w:val="16"/>
                <w:szCs w:val="16"/>
                <w:color w:val="auto"/>
              </w:rPr>
              <w:t>changes, if appropriate,</w:t>
            </w: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discussions based on Board</w:t>
            </w:r>
          </w:p>
        </w:tc>
        <w:tc>
          <w:tcPr>
            <w:tcW w:w="2840" w:type="dxa"/>
            <w:vAlign w:val="bottom"/>
          </w:tcPr>
          <w:p>
            <w:pPr>
              <w:ind w:left="180"/>
              <w:spacing w:after="0"/>
              <w:rPr>
                <w:sz w:val="20"/>
                <w:szCs w:val="20"/>
                <w:color w:val="auto"/>
              </w:rPr>
            </w:pPr>
            <w:r>
              <w:rPr>
                <w:rFonts w:ascii="Arial" w:cs="Arial" w:eastAsia="Arial" w:hAnsi="Arial"/>
                <w:sz w:val="16"/>
                <w:szCs w:val="16"/>
                <w:color w:val="auto"/>
              </w:rPr>
              <w:t>considering feedback from Fall</w:t>
            </w: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discussion, its review of new</w:t>
            </w:r>
          </w:p>
        </w:tc>
        <w:tc>
          <w:tcPr>
            <w:tcW w:w="2840" w:type="dxa"/>
            <w:vAlign w:val="bottom"/>
          </w:tcPr>
          <w:p>
            <w:pPr>
              <w:ind w:left="180"/>
              <w:spacing w:after="0"/>
              <w:rPr>
                <w:sz w:val="20"/>
                <w:szCs w:val="20"/>
                <w:color w:val="auto"/>
              </w:rPr>
            </w:pPr>
            <w:r>
              <w:rPr>
                <w:rFonts w:ascii="Arial" w:cs="Arial" w:eastAsia="Arial" w:hAnsi="Arial"/>
                <w:sz w:val="16"/>
                <w:szCs w:val="16"/>
                <w:color w:val="auto"/>
              </w:rPr>
              <w:t>engagement with shareowners.</w:t>
            </w:r>
          </w:p>
        </w:tc>
      </w:tr>
      <w:tr>
        <w:trPr>
          <w:trHeight w:val="203"/>
        </w:trPr>
        <w:tc>
          <w:tcPr>
            <w:tcW w:w="2800" w:type="dxa"/>
            <w:vAlign w:val="bottom"/>
          </w:tcPr>
          <w:p>
            <w:pPr>
              <w:ind w:left="180"/>
              <w:spacing w:after="0"/>
              <w:rPr>
                <w:sz w:val="20"/>
                <w:szCs w:val="20"/>
                <w:color w:val="auto"/>
              </w:rPr>
            </w:pPr>
            <w:r>
              <w:rPr>
                <w:rFonts w:ascii="Arial" w:cs="Arial" w:eastAsia="Arial" w:hAnsi="Arial"/>
                <w:sz w:val="16"/>
                <w:szCs w:val="16"/>
                <w:color w:val="auto"/>
              </w:rPr>
              <w:t>governance trends, regulatory</w:t>
            </w:r>
          </w:p>
        </w:tc>
        <w:tc>
          <w:tcPr>
            <w:tcW w:w="2840" w:type="dxa"/>
            <w:vAlign w:val="bottom"/>
          </w:tcPr>
          <w:p>
            <w:pPr>
              <w:spacing w:after="0"/>
              <w:rPr>
                <w:sz w:val="17"/>
                <w:szCs w:val="17"/>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developments, and the results of</w:t>
            </w:r>
          </w:p>
        </w:tc>
        <w:tc>
          <w:tcPr>
            <w:tcW w:w="2840" w:type="dxa"/>
            <w:vAlign w:val="bottom"/>
          </w:tcPr>
          <w:p>
            <w:pPr>
              <w:spacing w:after="0"/>
              <w:rPr>
                <w:sz w:val="16"/>
                <w:szCs w:val="16"/>
                <w:color w:val="auto"/>
              </w:rPr>
            </w:pPr>
          </w:p>
        </w:tc>
      </w:tr>
      <w:tr>
        <w:trPr>
          <w:trHeight w:val="203"/>
        </w:trPr>
        <w:tc>
          <w:tcPr>
            <w:tcW w:w="2800" w:type="dxa"/>
            <w:vAlign w:val="bottom"/>
          </w:tcPr>
          <w:p>
            <w:pPr>
              <w:ind w:left="180"/>
              <w:spacing w:after="0"/>
              <w:rPr>
                <w:sz w:val="20"/>
                <w:szCs w:val="20"/>
                <w:color w:val="auto"/>
              </w:rPr>
            </w:pPr>
            <w:r>
              <w:rPr>
                <w:rFonts w:ascii="Arial" w:cs="Arial" w:eastAsia="Arial" w:hAnsi="Arial"/>
                <w:sz w:val="16"/>
                <w:szCs w:val="16"/>
                <w:color w:val="auto"/>
              </w:rPr>
              <w:t>the recently concluded Annual</w:t>
            </w:r>
          </w:p>
        </w:tc>
        <w:tc>
          <w:tcPr>
            <w:tcW w:w="2840" w:type="dxa"/>
            <w:vAlign w:val="bottom"/>
          </w:tcPr>
          <w:p>
            <w:pPr>
              <w:spacing w:after="0"/>
              <w:rPr>
                <w:sz w:val="17"/>
                <w:szCs w:val="17"/>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Shareowner Meeting.</w:t>
            </w:r>
          </w:p>
        </w:tc>
        <w:tc>
          <w:tcPr>
            <w:tcW w:w="2840" w:type="dxa"/>
            <w:vAlign w:val="bottom"/>
          </w:tcPr>
          <w:p>
            <w:pPr>
              <w:spacing w:after="0"/>
              <w:rPr>
                <w:sz w:val="16"/>
                <w:szCs w:val="16"/>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Management and members of the</w:t>
            </w:r>
          </w:p>
        </w:tc>
        <w:tc>
          <w:tcPr>
            <w:tcW w:w="2840" w:type="dxa"/>
            <w:vAlign w:val="bottom"/>
          </w:tcPr>
          <w:p>
            <w:pPr>
              <w:spacing w:after="0"/>
              <w:rPr>
                <w:sz w:val="16"/>
                <w:szCs w:val="16"/>
                <w:color w:val="auto"/>
              </w:rPr>
            </w:pPr>
          </w:p>
        </w:tc>
      </w:tr>
      <w:tr>
        <w:trPr>
          <w:trHeight w:val="202"/>
        </w:trPr>
        <w:tc>
          <w:tcPr>
            <w:tcW w:w="2800" w:type="dxa"/>
            <w:vAlign w:val="bottom"/>
          </w:tcPr>
          <w:p>
            <w:pPr>
              <w:ind w:left="180"/>
              <w:spacing w:after="0"/>
              <w:rPr>
                <w:sz w:val="20"/>
                <w:szCs w:val="20"/>
                <w:color w:val="auto"/>
              </w:rPr>
            </w:pPr>
            <w:r>
              <w:rPr>
                <w:rFonts w:ascii="Arial" w:cs="Arial" w:eastAsia="Arial" w:hAnsi="Arial"/>
                <w:sz w:val="16"/>
                <w:szCs w:val="16"/>
                <w:color w:val="auto"/>
              </w:rPr>
              <w:t>Board extend invitations to the</w:t>
            </w:r>
          </w:p>
        </w:tc>
        <w:tc>
          <w:tcPr>
            <w:tcW w:w="2840" w:type="dxa"/>
            <w:vAlign w:val="bottom"/>
          </w:tcPr>
          <w:p>
            <w:pPr>
              <w:spacing w:after="0"/>
              <w:rPr>
                <w:sz w:val="17"/>
                <w:szCs w:val="17"/>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largest shareowners to engage</w:t>
            </w:r>
          </w:p>
        </w:tc>
        <w:tc>
          <w:tcPr>
            <w:tcW w:w="2840" w:type="dxa"/>
            <w:vAlign w:val="bottom"/>
          </w:tcPr>
          <w:p>
            <w:pPr>
              <w:spacing w:after="0"/>
              <w:rPr>
                <w:sz w:val="16"/>
                <w:szCs w:val="16"/>
                <w:color w:val="auto"/>
              </w:rPr>
            </w:pPr>
          </w:p>
        </w:tc>
      </w:tr>
      <w:tr>
        <w:trPr>
          <w:trHeight w:val="215"/>
        </w:trPr>
        <w:tc>
          <w:tcPr>
            <w:tcW w:w="2800" w:type="dxa"/>
            <w:vAlign w:val="bottom"/>
          </w:tcPr>
          <w:p>
            <w:pPr>
              <w:ind w:left="180"/>
              <w:spacing w:after="0"/>
              <w:rPr>
                <w:sz w:val="20"/>
                <w:szCs w:val="20"/>
                <w:color w:val="auto"/>
              </w:rPr>
            </w:pPr>
            <w:r>
              <w:rPr>
                <w:rFonts w:ascii="Arial" w:cs="Arial" w:eastAsia="Arial" w:hAnsi="Arial"/>
                <w:sz w:val="16"/>
                <w:szCs w:val="16"/>
                <w:color w:val="auto"/>
              </w:rPr>
              <w:t>on topics of interest.</w:t>
            </w:r>
          </w:p>
        </w:tc>
        <w:tc>
          <w:tcPr>
            <w:tcW w:w="2840" w:type="dxa"/>
            <w:vAlign w:val="bottom"/>
          </w:tcPr>
          <w:p>
            <w:pPr>
              <w:spacing w:after="0"/>
              <w:rPr>
                <w:sz w:val="18"/>
                <w:szCs w:val="18"/>
                <w:color w:val="auto"/>
              </w:rPr>
            </w:pPr>
          </w:p>
        </w:tc>
      </w:tr>
      <w:tr>
        <w:trPr>
          <w:trHeight w:val="29"/>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108"/>
        </w:trPr>
        <w:tc>
          <w:tcPr>
            <w:tcW w:w="2800" w:type="dxa"/>
            <w:vAlign w:val="bottom"/>
            <w:shd w:val="clear" w:color="auto" w:fill="F2F2F2"/>
          </w:tcPr>
          <w:p>
            <w:pPr>
              <w:spacing w:after="0"/>
              <w:rPr>
                <w:sz w:val="9"/>
                <w:szCs w:val="9"/>
                <w:color w:val="auto"/>
              </w:rPr>
            </w:pPr>
          </w:p>
        </w:tc>
        <w:tc>
          <w:tcPr>
            <w:tcW w:w="2840" w:type="dxa"/>
            <w:vAlign w:val="bottom"/>
            <w:shd w:val="clear" w:color="auto" w:fill="F2F2F2"/>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3">
            <w:col w:w="2620" w:space="340"/>
            <w:col w:w="2440" w:space="180"/>
            <w:col w:w="5640"/>
          </w:cols>
          <w:pgMar w:left="320" w:top="230" w:right="359" w:bottom="1440" w:gutter="0" w:footer="0" w:header="0"/>
          <w:type w:val="continuous"/>
        </w:sectPr>
      </w:pPr>
    </w:p>
    <w:p>
      <w:pPr>
        <w:spacing w:after="0" w:line="12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sz w:val="1"/>
          <w:szCs w:val="1"/>
          <w:color w:val="auto"/>
        </w:rPr>
        <w:drawing>
          <wp:inline distT="0" distB="0" distL="0" distR="0">
            <wp:extent cx="548640" cy="10287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2023 SPRING ENGAGEMENT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3380" w:type="dxa"/>
            <w:vAlign w:val="bottom"/>
            <w:tcBorders>
              <w:top w:val="single" w:sz="8" w:color="D7282F"/>
              <w:right w:val="single" w:sz="8" w:color="D7282F"/>
            </w:tcBorders>
          </w:tcPr>
          <w:p>
            <w:pPr>
              <w:ind w:left="20"/>
              <w:spacing w:after="0"/>
              <w:rPr>
                <w:sz w:val="20"/>
                <w:szCs w:val="20"/>
                <w:color w:val="auto"/>
              </w:rPr>
            </w:pPr>
            <w:r>
              <w:rPr>
                <w:rFonts w:ascii="Arial" w:cs="Arial" w:eastAsia="Arial" w:hAnsi="Arial"/>
                <w:sz w:val="14"/>
                <w:szCs w:val="14"/>
                <w:b w:val="1"/>
                <w:bCs w:val="1"/>
                <w:color w:val="auto"/>
              </w:rPr>
              <w:t>TOTAL CONTACTED</w:t>
            </w:r>
          </w:p>
        </w:tc>
        <w:tc>
          <w:tcPr>
            <w:tcW w:w="3840" w:type="dxa"/>
            <w:vAlign w:val="bottom"/>
            <w:tcBorders>
              <w:top w:val="single" w:sz="8" w:color="D7282F"/>
              <w:right w:val="single" w:sz="8" w:color="D7282F"/>
            </w:tcBorders>
          </w:tcPr>
          <w:p>
            <w:pPr>
              <w:ind w:left="100"/>
              <w:spacing w:after="0"/>
              <w:rPr>
                <w:sz w:val="20"/>
                <w:szCs w:val="20"/>
                <w:color w:val="auto"/>
              </w:rPr>
            </w:pPr>
            <w:r>
              <w:rPr>
                <w:rFonts w:ascii="Arial" w:cs="Arial" w:eastAsia="Arial" w:hAnsi="Arial"/>
                <w:sz w:val="14"/>
                <w:szCs w:val="14"/>
                <w:b w:val="1"/>
                <w:bCs w:val="1"/>
                <w:color w:val="auto"/>
              </w:rPr>
              <w:t>TOTAL ENGAGED</w:t>
            </w:r>
          </w:p>
        </w:tc>
        <w:tc>
          <w:tcPr>
            <w:tcW w:w="4000" w:type="dxa"/>
            <w:vAlign w:val="bottom"/>
            <w:tcBorders>
              <w:top w:val="single" w:sz="8" w:color="D7282F"/>
            </w:tcBorders>
          </w:tcPr>
          <w:p>
            <w:pPr>
              <w:ind w:left="100"/>
              <w:spacing w:after="0"/>
              <w:rPr>
                <w:sz w:val="20"/>
                <w:szCs w:val="20"/>
                <w:color w:val="auto"/>
              </w:rPr>
            </w:pPr>
            <w:r>
              <w:rPr>
                <w:rFonts w:ascii="Arial" w:cs="Arial" w:eastAsia="Arial" w:hAnsi="Arial"/>
                <w:sz w:val="14"/>
                <w:szCs w:val="14"/>
                <w:b w:val="1"/>
                <w:bCs w:val="1"/>
                <w:color w:val="auto"/>
              </w:rPr>
              <w:t>DIRECTOR ENGAGED</w:t>
            </w:r>
          </w:p>
        </w:tc>
      </w:tr>
      <w:tr>
        <w:trPr>
          <w:trHeight w:val="488"/>
        </w:trPr>
        <w:tc>
          <w:tcPr>
            <w:tcW w:w="3380" w:type="dxa"/>
            <w:vAlign w:val="bottom"/>
            <w:tcBorders>
              <w:right w:val="single" w:sz="8" w:color="D7282F"/>
            </w:tcBorders>
          </w:tcPr>
          <w:p>
            <w:pPr>
              <w:ind w:left="20"/>
              <w:spacing w:after="0" w:line="489" w:lineRule="exact"/>
              <w:rPr>
                <w:sz w:val="20"/>
                <w:szCs w:val="20"/>
                <w:color w:val="auto"/>
              </w:rPr>
            </w:pPr>
            <w:r>
              <w:rPr>
                <w:rFonts w:ascii="Arial" w:cs="Arial" w:eastAsia="Arial" w:hAnsi="Arial"/>
                <w:sz w:val="16"/>
                <w:szCs w:val="16"/>
                <w:color w:val="auto"/>
              </w:rPr>
              <w:t xml:space="preserve">Top </w:t>
            </w:r>
            <w:r>
              <w:rPr>
                <w:rFonts w:ascii="Arial" w:cs="Arial" w:eastAsia="Arial" w:hAnsi="Arial"/>
                <w:sz w:val="43"/>
                <w:szCs w:val="43"/>
                <w:b w:val="1"/>
                <w:bCs w:val="1"/>
                <w:color w:val="auto"/>
              </w:rPr>
              <w:t>100</w:t>
            </w:r>
            <w:r>
              <w:rPr>
                <w:rFonts w:ascii="Arial" w:cs="Arial" w:eastAsia="Arial" w:hAnsi="Arial"/>
                <w:sz w:val="16"/>
                <w:szCs w:val="16"/>
                <w:color w:val="auto"/>
              </w:rPr>
              <w:t xml:space="preserve"> shareowners representing</w:t>
            </w:r>
          </w:p>
        </w:tc>
        <w:tc>
          <w:tcPr>
            <w:tcW w:w="3840" w:type="dxa"/>
            <w:vAlign w:val="bottom"/>
            <w:tcBorders>
              <w:right w:val="single" w:sz="8" w:color="D7282F"/>
            </w:tcBorders>
          </w:tcPr>
          <w:p>
            <w:pPr>
              <w:ind w:left="100"/>
              <w:spacing w:after="0" w:line="489" w:lineRule="exact"/>
              <w:rPr>
                <w:sz w:val="20"/>
                <w:szCs w:val="20"/>
                <w:color w:val="auto"/>
              </w:rPr>
            </w:pPr>
            <w:r>
              <w:rPr>
                <w:rFonts w:ascii="Arial" w:cs="Arial" w:eastAsia="Arial" w:hAnsi="Arial"/>
                <w:sz w:val="43"/>
                <w:szCs w:val="43"/>
                <w:b w:val="1"/>
                <w:bCs w:val="1"/>
                <w:color w:val="auto"/>
              </w:rPr>
              <w:t>28%</w:t>
            </w:r>
          </w:p>
        </w:tc>
        <w:tc>
          <w:tcPr>
            <w:tcW w:w="4000" w:type="dxa"/>
            <w:vAlign w:val="bottom"/>
          </w:tcPr>
          <w:p>
            <w:pPr>
              <w:ind w:left="100"/>
              <w:spacing w:after="0" w:line="489" w:lineRule="exact"/>
              <w:rPr>
                <w:sz w:val="20"/>
                <w:szCs w:val="20"/>
                <w:color w:val="auto"/>
              </w:rPr>
            </w:pPr>
            <w:r>
              <w:rPr>
                <w:rFonts w:ascii="Arial" w:cs="Arial" w:eastAsia="Arial" w:hAnsi="Arial"/>
                <w:sz w:val="43"/>
                <w:szCs w:val="43"/>
                <w:b w:val="1"/>
                <w:bCs w:val="1"/>
                <w:color w:val="auto"/>
              </w:rPr>
              <w:t>25%</w:t>
            </w:r>
          </w:p>
        </w:tc>
      </w:tr>
      <w:tr>
        <w:trPr>
          <w:trHeight w:val="189"/>
        </w:trPr>
        <w:tc>
          <w:tcPr>
            <w:tcW w:w="3380" w:type="dxa"/>
            <w:vAlign w:val="bottom"/>
            <w:tcBorders>
              <w:right w:val="single" w:sz="8" w:color="D7282F"/>
            </w:tcBorders>
          </w:tcPr>
          <w:p>
            <w:pPr>
              <w:ind w:left="20"/>
              <w:spacing w:after="0"/>
              <w:rPr>
                <w:sz w:val="20"/>
                <w:szCs w:val="20"/>
                <w:color w:val="auto"/>
              </w:rPr>
            </w:pPr>
            <w:r>
              <w:rPr>
                <w:rFonts w:ascii="Arial" w:cs="Arial" w:eastAsia="Arial" w:hAnsi="Arial"/>
                <w:sz w:val="16"/>
                <w:szCs w:val="16"/>
                <w:color w:val="auto"/>
              </w:rPr>
              <w:t>58% of shares outstanding</w:t>
            </w: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of shares outstanding, held by 18 of our largest</w:t>
            </w:r>
          </w:p>
        </w:tc>
        <w:tc>
          <w:tcPr>
            <w:tcW w:w="4000" w:type="dxa"/>
            <w:vAlign w:val="bottom"/>
          </w:tcPr>
          <w:p>
            <w:pPr>
              <w:ind w:left="100"/>
              <w:spacing w:after="0"/>
              <w:rPr>
                <w:sz w:val="20"/>
                <w:szCs w:val="20"/>
                <w:color w:val="auto"/>
              </w:rPr>
            </w:pPr>
            <w:r>
              <w:rPr>
                <w:rFonts w:ascii="Arial" w:cs="Arial" w:eastAsia="Arial" w:hAnsi="Arial"/>
                <w:sz w:val="16"/>
                <w:szCs w:val="16"/>
                <w:color w:val="auto"/>
              </w:rPr>
              <w:t>of shares outstanding engaged by independent Lead</w:t>
            </w:r>
          </w:p>
        </w:tc>
      </w:tr>
      <w:tr>
        <w:trPr>
          <w:trHeight w:val="230"/>
        </w:trPr>
        <w:tc>
          <w:tcPr>
            <w:tcW w:w="3380" w:type="dxa"/>
            <w:vAlign w:val="bottom"/>
            <w:tcBorders>
              <w:right w:val="single" w:sz="8" w:color="D7282F"/>
            </w:tcBorders>
          </w:tcPr>
          <w:p>
            <w:pPr>
              <w:spacing w:after="0"/>
              <w:rPr>
                <w:sz w:val="20"/>
                <w:szCs w:val="20"/>
                <w:color w:val="auto"/>
              </w:rPr>
            </w:pP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shareowners</w:t>
            </w:r>
          </w:p>
        </w:tc>
        <w:tc>
          <w:tcPr>
            <w:tcW w:w="4000" w:type="dxa"/>
            <w:vAlign w:val="bottom"/>
          </w:tcPr>
          <w:p>
            <w:pPr>
              <w:ind w:left="100"/>
              <w:spacing w:after="0"/>
              <w:rPr>
                <w:sz w:val="20"/>
                <w:szCs w:val="20"/>
                <w:color w:val="auto"/>
              </w:rPr>
            </w:pPr>
            <w:r>
              <w:rPr>
                <w:rFonts w:ascii="Arial" w:cs="Arial" w:eastAsia="Arial" w:hAnsi="Arial"/>
                <w:sz w:val="16"/>
                <w:szCs w:val="16"/>
                <w:color w:val="auto"/>
              </w:rPr>
              <w:t>Director, MDCC Chair, or CGRC Chair</w:t>
            </w:r>
          </w:p>
        </w:tc>
      </w:tr>
      <w:tr>
        <w:trPr>
          <w:trHeight w:val="674"/>
        </w:trPr>
        <w:tc>
          <w:tcPr>
            <w:tcW w:w="3380" w:type="dxa"/>
            <w:vAlign w:val="bottom"/>
          </w:tcPr>
          <w:p>
            <w:pPr>
              <w:spacing w:after="0"/>
              <w:rPr>
                <w:sz w:val="20"/>
                <w:szCs w:val="20"/>
                <w:color w:val="auto"/>
              </w:rPr>
            </w:pPr>
            <w:r>
              <w:rPr>
                <w:rFonts w:ascii="Arial" w:cs="Arial" w:eastAsia="Arial" w:hAnsi="Arial"/>
                <w:sz w:val="25"/>
                <w:szCs w:val="25"/>
                <w:b w:val="1"/>
                <w:bCs w:val="1"/>
                <w:color w:val="auto"/>
              </w:rPr>
              <w:t>2023 FALL ENGAGEMENT</w:t>
            </w:r>
          </w:p>
        </w:tc>
        <w:tc>
          <w:tcPr>
            <w:tcW w:w="38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08"/>
        </w:trPr>
        <w:tc>
          <w:tcPr>
            <w:tcW w:w="3380" w:type="dxa"/>
            <w:vAlign w:val="bottom"/>
            <w:tcBorders>
              <w:bottom w:val="single" w:sz="8" w:color="D7282F"/>
            </w:tcBorders>
          </w:tcPr>
          <w:p>
            <w:pPr>
              <w:spacing w:after="0"/>
              <w:rPr>
                <w:sz w:val="9"/>
                <w:szCs w:val="9"/>
                <w:color w:val="auto"/>
              </w:rPr>
            </w:pPr>
          </w:p>
        </w:tc>
        <w:tc>
          <w:tcPr>
            <w:tcW w:w="3840" w:type="dxa"/>
            <w:vAlign w:val="bottom"/>
            <w:tcBorders>
              <w:bottom w:val="single" w:sz="8" w:color="D7282F"/>
            </w:tcBorders>
          </w:tcPr>
          <w:p>
            <w:pPr>
              <w:spacing w:after="0"/>
              <w:rPr>
                <w:sz w:val="9"/>
                <w:szCs w:val="9"/>
                <w:color w:val="auto"/>
              </w:rPr>
            </w:pPr>
          </w:p>
        </w:tc>
        <w:tc>
          <w:tcPr>
            <w:tcW w:w="4000" w:type="dxa"/>
            <w:vAlign w:val="bottom"/>
            <w:tcBorders>
              <w:bottom w:val="single" w:sz="8" w:color="D7282F"/>
            </w:tcBorders>
          </w:tcPr>
          <w:p>
            <w:pPr>
              <w:spacing w:after="0"/>
              <w:rPr>
                <w:sz w:val="9"/>
                <w:szCs w:val="9"/>
                <w:color w:val="auto"/>
              </w:rPr>
            </w:pPr>
          </w:p>
        </w:tc>
      </w:tr>
      <w:tr>
        <w:trPr>
          <w:trHeight w:val="274"/>
        </w:trPr>
        <w:tc>
          <w:tcPr>
            <w:tcW w:w="3380" w:type="dxa"/>
            <w:vAlign w:val="bottom"/>
            <w:tcBorders>
              <w:right w:val="single" w:sz="8" w:color="D7282F"/>
            </w:tcBorders>
          </w:tcPr>
          <w:p>
            <w:pPr>
              <w:ind w:left="20"/>
              <w:spacing w:after="0"/>
              <w:rPr>
                <w:sz w:val="20"/>
                <w:szCs w:val="20"/>
                <w:color w:val="auto"/>
              </w:rPr>
            </w:pPr>
            <w:r>
              <w:rPr>
                <w:rFonts w:ascii="Arial" w:cs="Arial" w:eastAsia="Arial" w:hAnsi="Arial"/>
                <w:sz w:val="14"/>
                <w:szCs w:val="14"/>
                <w:b w:val="1"/>
                <w:bCs w:val="1"/>
                <w:color w:val="auto"/>
              </w:rPr>
              <w:t>TOTAL CONTACTED</w:t>
            </w: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4"/>
                <w:szCs w:val="14"/>
                <w:b w:val="1"/>
                <w:bCs w:val="1"/>
                <w:color w:val="auto"/>
              </w:rPr>
              <w:t>TOTAL ENGAGED</w:t>
            </w:r>
          </w:p>
        </w:tc>
        <w:tc>
          <w:tcPr>
            <w:tcW w:w="4000" w:type="dxa"/>
            <w:vAlign w:val="bottom"/>
          </w:tcPr>
          <w:p>
            <w:pPr>
              <w:ind w:left="100"/>
              <w:spacing w:after="0"/>
              <w:rPr>
                <w:sz w:val="20"/>
                <w:szCs w:val="20"/>
                <w:color w:val="auto"/>
              </w:rPr>
            </w:pPr>
            <w:r>
              <w:rPr>
                <w:rFonts w:ascii="Arial" w:cs="Arial" w:eastAsia="Arial" w:hAnsi="Arial"/>
                <w:sz w:val="14"/>
                <w:szCs w:val="14"/>
                <w:b w:val="1"/>
                <w:bCs w:val="1"/>
                <w:color w:val="auto"/>
              </w:rPr>
              <w:t>DIRECTOR ENGAGED</w:t>
            </w:r>
          </w:p>
        </w:tc>
      </w:tr>
      <w:tr>
        <w:trPr>
          <w:trHeight w:val="488"/>
        </w:trPr>
        <w:tc>
          <w:tcPr>
            <w:tcW w:w="3380" w:type="dxa"/>
            <w:vAlign w:val="bottom"/>
            <w:tcBorders>
              <w:right w:val="single" w:sz="8" w:color="D7282F"/>
            </w:tcBorders>
          </w:tcPr>
          <w:p>
            <w:pPr>
              <w:ind w:left="20"/>
              <w:spacing w:after="0" w:line="489" w:lineRule="exact"/>
              <w:rPr>
                <w:sz w:val="20"/>
                <w:szCs w:val="20"/>
                <w:color w:val="auto"/>
              </w:rPr>
            </w:pPr>
            <w:r>
              <w:rPr>
                <w:rFonts w:ascii="Arial" w:cs="Arial" w:eastAsia="Arial" w:hAnsi="Arial"/>
                <w:sz w:val="16"/>
                <w:szCs w:val="16"/>
                <w:color w:val="auto"/>
              </w:rPr>
              <w:t xml:space="preserve">Top </w:t>
            </w:r>
            <w:r>
              <w:rPr>
                <w:rFonts w:ascii="Arial" w:cs="Arial" w:eastAsia="Arial" w:hAnsi="Arial"/>
                <w:sz w:val="43"/>
                <w:szCs w:val="43"/>
                <w:b w:val="1"/>
                <w:bCs w:val="1"/>
                <w:color w:val="auto"/>
              </w:rPr>
              <w:t>50</w:t>
            </w:r>
            <w:r>
              <w:rPr>
                <w:rFonts w:ascii="Arial" w:cs="Arial" w:eastAsia="Arial" w:hAnsi="Arial"/>
                <w:sz w:val="16"/>
                <w:szCs w:val="16"/>
                <w:color w:val="auto"/>
              </w:rPr>
              <w:t xml:space="preserve"> shareowners representing 52%</w:t>
            </w:r>
          </w:p>
        </w:tc>
        <w:tc>
          <w:tcPr>
            <w:tcW w:w="3840" w:type="dxa"/>
            <w:vAlign w:val="bottom"/>
            <w:tcBorders>
              <w:right w:val="single" w:sz="8" w:color="D7282F"/>
            </w:tcBorders>
          </w:tcPr>
          <w:p>
            <w:pPr>
              <w:ind w:left="100"/>
              <w:spacing w:after="0" w:line="489" w:lineRule="exact"/>
              <w:rPr>
                <w:sz w:val="20"/>
                <w:szCs w:val="20"/>
                <w:color w:val="auto"/>
              </w:rPr>
            </w:pPr>
            <w:r>
              <w:rPr>
                <w:rFonts w:ascii="Arial" w:cs="Arial" w:eastAsia="Arial" w:hAnsi="Arial"/>
                <w:sz w:val="43"/>
                <w:szCs w:val="43"/>
                <w:b w:val="1"/>
                <w:bCs w:val="1"/>
                <w:color w:val="auto"/>
              </w:rPr>
              <w:t>21%</w:t>
            </w:r>
          </w:p>
        </w:tc>
        <w:tc>
          <w:tcPr>
            <w:tcW w:w="4000" w:type="dxa"/>
            <w:vAlign w:val="bottom"/>
          </w:tcPr>
          <w:p>
            <w:pPr>
              <w:ind w:left="100"/>
              <w:spacing w:after="0" w:line="489" w:lineRule="exact"/>
              <w:rPr>
                <w:sz w:val="20"/>
                <w:szCs w:val="20"/>
                <w:color w:val="auto"/>
              </w:rPr>
            </w:pPr>
            <w:r>
              <w:rPr>
                <w:rFonts w:ascii="Arial" w:cs="Arial" w:eastAsia="Arial" w:hAnsi="Arial"/>
                <w:sz w:val="43"/>
                <w:szCs w:val="43"/>
                <w:b w:val="1"/>
                <w:bCs w:val="1"/>
                <w:color w:val="auto"/>
              </w:rPr>
              <w:t>20%</w:t>
            </w:r>
          </w:p>
        </w:tc>
      </w:tr>
      <w:tr>
        <w:trPr>
          <w:trHeight w:val="203"/>
        </w:trPr>
        <w:tc>
          <w:tcPr>
            <w:tcW w:w="3380" w:type="dxa"/>
            <w:vAlign w:val="bottom"/>
            <w:tcBorders>
              <w:right w:val="single" w:sz="8" w:color="D7282F"/>
            </w:tcBorders>
          </w:tcPr>
          <w:p>
            <w:pPr>
              <w:ind w:left="20"/>
              <w:spacing w:after="0"/>
              <w:rPr>
                <w:sz w:val="20"/>
                <w:szCs w:val="20"/>
                <w:color w:val="auto"/>
              </w:rPr>
            </w:pPr>
            <w:r>
              <w:rPr>
                <w:rFonts w:ascii="Arial" w:cs="Arial" w:eastAsia="Arial" w:hAnsi="Arial"/>
                <w:sz w:val="16"/>
                <w:szCs w:val="16"/>
                <w:color w:val="auto"/>
              </w:rPr>
              <w:t>of shares outstanding</w:t>
            </w: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of shares outstanding, held by 18 of our largest</w:t>
            </w:r>
          </w:p>
        </w:tc>
        <w:tc>
          <w:tcPr>
            <w:tcW w:w="4000" w:type="dxa"/>
            <w:vAlign w:val="bottom"/>
          </w:tcPr>
          <w:p>
            <w:pPr>
              <w:ind w:left="100"/>
              <w:spacing w:after="0"/>
              <w:rPr>
                <w:sz w:val="20"/>
                <w:szCs w:val="20"/>
                <w:color w:val="auto"/>
              </w:rPr>
            </w:pPr>
            <w:r>
              <w:rPr>
                <w:rFonts w:ascii="Arial" w:cs="Arial" w:eastAsia="Arial" w:hAnsi="Arial"/>
                <w:sz w:val="16"/>
                <w:szCs w:val="16"/>
                <w:color w:val="auto"/>
              </w:rPr>
              <w:t>of shares outstanding engaged by independent Lead</w:t>
            </w:r>
          </w:p>
        </w:tc>
      </w:tr>
      <w:tr>
        <w:trPr>
          <w:trHeight w:val="230"/>
        </w:trPr>
        <w:tc>
          <w:tcPr>
            <w:tcW w:w="3380" w:type="dxa"/>
            <w:vAlign w:val="bottom"/>
            <w:tcBorders>
              <w:right w:val="single" w:sz="8" w:color="D7282F"/>
            </w:tcBorders>
          </w:tcPr>
          <w:p>
            <w:pPr>
              <w:spacing w:after="0"/>
              <w:rPr>
                <w:sz w:val="20"/>
                <w:szCs w:val="20"/>
                <w:color w:val="auto"/>
              </w:rPr>
            </w:pP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shareowners</w:t>
            </w:r>
          </w:p>
        </w:tc>
        <w:tc>
          <w:tcPr>
            <w:tcW w:w="4000" w:type="dxa"/>
            <w:vAlign w:val="bottom"/>
          </w:tcPr>
          <w:p>
            <w:pPr>
              <w:ind w:left="100"/>
              <w:spacing w:after="0"/>
              <w:rPr>
                <w:sz w:val="20"/>
                <w:szCs w:val="20"/>
                <w:color w:val="auto"/>
              </w:rPr>
            </w:pPr>
            <w:r>
              <w:rPr>
                <w:rFonts w:ascii="Arial" w:cs="Arial" w:eastAsia="Arial" w:hAnsi="Arial"/>
                <w:sz w:val="16"/>
                <w:szCs w:val="16"/>
                <w:color w:val="auto"/>
              </w:rPr>
              <w:t>Director, MDCC Chair, or CGRC Chair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23430" cy="23406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23430" cy="2340610"/>
                    </a:xfrm>
                    <a:prstGeom prst="rect">
                      <a:avLst/>
                    </a:prstGeom>
                    <a:noFill/>
                  </pic:spPr>
                </pic:pic>
              </a:graphicData>
            </a:graphic>
          </wp:anchor>
        </w:drawing>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FALL 2023 SHAREOWNER ENGAGEMENT — SOUGHT FEEDBACK ON KEY FOCUS AREAS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Board Leadership Structure and CEO Transition:</w:t>
      </w:r>
    </w:p>
    <w:p>
      <w:pPr>
        <w:spacing w:after="0" w:line="113" w:lineRule="exact"/>
        <w:rPr>
          <w:sz w:val="20"/>
          <w:szCs w:val="20"/>
          <w:color w:val="auto"/>
        </w:rPr>
      </w:pPr>
    </w:p>
    <w:p>
      <w:pPr>
        <w:ind w:left="360" w:right="240" w:hanging="191"/>
        <w:spacing w:after="0" w:line="299" w:lineRule="auto"/>
        <w:tabs>
          <w:tab w:leader="none" w:pos="357" w:val="left"/>
        </w:tabs>
        <w:numPr>
          <w:ilvl w:val="0"/>
          <w:numId w:val="76"/>
        </w:numPr>
        <w:rPr>
          <w:rFonts w:ascii="Arial" w:cs="Arial" w:eastAsia="Arial" w:hAnsi="Arial"/>
          <w:sz w:val="16"/>
          <w:szCs w:val="16"/>
          <w:b w:val="1"/>
          <w:bCs w:val="1"/>
          <w:color w:val="D7282F"/>
        </w:rPr>
      </w:pPr>
      <w:r>
        <w:rPr>
          <w:rFonts w:ascii="Arial" w:cs="Arial" w:eastAsia="Arial" w:hAnsi="Arial"/>
          <w:sz w:val="16"/>
          <w:szCs w:val="16"/>
          <w:color w:val="auto"/>
        </w:rPr>
        <w:t>Discussed the Board's view that it is important to have flexibility to determine the most effective leadership structure using its best business judgment in light of the Company's circumstances at any given time.</w:t>
      </w:r>
    </w:p>
    <w:p>
      <w:pPr>
        <w:ind w:left="360" w:right="200" w:hanging="191"/>
        <w:spacing w:after="0" w:line="304" w:lineRule="auto"/>
        <w:tabs>
          <w:tab w:leader="none" w:pos="357" w:val="left"/>
        </w:tabs>
        <w:numPr>
          <w:ilvl w:val="0"/>
          <w:numId w:val="76"/>
        </w:numPr>
        <w:rPr>
          <w:rFonts w:ascii="Arial" w:cs="Arial" w:eastAsia="Arial" w:hAnsi="Arial"/>
          <w:sz w:val="16"/>
          <w:szCs w:val="16"/>
          <w:b w:val="1"/>
          <w:bCs w:val="1"/>
          <w:color w:val="D7282F"/>
        </w:rPr>
      </w:pPr>
      <w:r>
        <w:rPr>
          <w:rFonts w:ascii="Arial" w:cs="Arial" w:eastAsia="Arial" w:hAnsi="Arial"/>
          <w:sz w:val="16"/>
          <w:szCs w:val="16"/>
          <w:color w:val="auto"/>
        </w:rPr>
        <w:t>Reviewed CEO transition planning, including the Board's considerations when determining that having Darius Adamczyk serve as Executive Chair for a transitionary period would best enable a seamless CEO transition.</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w:t>
      </w:r>
    </w:p>
    <w:p>
      <w:pPr>
        <w:spacing w:after="0" w:line="113" w:lineRule="exact"/>
        <w:rPr>
          <w:sz w:val="20"/>
          <w:szCs w:val="20"/>
          <w:color w:val="auto"/>
        </w:rPr>
      </w:pPr>
    </w:p>
    <w:p>
      <w:pPr>
        <w:ind w:left="360" w:hanging="191"/>
        <w:spacing w:after="0"/>
        <w:tabs>
          <w:tab w:leader="none" w:pos="360" w:val="left"/>
        </w:tabs>
        <w:numPr>
          <w:ilvl w:val="0"/>
          <w:numId w:val="77"/>
        </w:numPr>
        <w:rPr>
          <w:rFonts w:ascii="Arial" w:cs="Arial" w:eastAsia="Arial" w:hAnsi="Arial"/>
          <w:sz w:val="16"/>
          <w:szCs w:val="16"/>
          <w:b w:val="1"/>
          <w:bCs w:val="1"/>
          <w:color w:val="D7282F"/>
        </w:rPr>
      </w:pPr>
      <w:r>
        <w:rPr>
          <w:rFonts w:ascii="Arial" w:cs="Arial" w:eastAsia="Arial" w:hAnsi="Arial"/>
          <w:sz w:val="16"/>
          <w:szCs w:val="16"/>
          <w:color w:val="auto"/>
        </w:rPr>
        <w:t>Discussed the use of measurable ESG metrics as a component of executive compensation.</w:t>
      </w:r>
    </w:p>
    <w:p>
      <w:pPr>
        <w:spacing w:after="0" w:line="86" w:lineRule="exact"/>
        <w:rPr>
          <w:rFonts w:ascii="Arial" w:cs="Arial" w:eastAsia="Arial" w:hAnsi="Arial"/>
          <w:sz w:val="16"/>
          <w:szCs w:val="16"/>
          <w:b w:val="1"/>
          <w:bCs w:val="1"/>
          <w:color w:val="D7282F"/>
        </w:rPr>
      </w:pPr>
    </w:p>
    <w:p>
      <w:pPr>
        <w:ind w:left="360" w:right="480" w:hanging="191"/>
        <w:spacing w:after="0" w:line="304" w:lineRule="auto"/>
        <w:tabs>
          <w:tab w:leader="none" w:pos="357" w:val="left"/>
        </w:tabs>
        <w:numPr>
          <w:ilvl w:val="0"/>
          <w:numId w:val="77"/>
        </w:numPr>
        <w:rPr>
          <w:rFonts w:ascii="Arial" w:cs="Arial" w:eastAsia="Arial" w:hAnsi="Arial"/>
          <w:sz w:val="16"/>
          <w:szCs w:val="16"/>
          <w:b w:val="1"/>
          <w:bCs w:val="1"/>
          <w:color w:val="D7282F"/>
        </w:rPr>
      </w:pPr>
      <w:r>
        <w:rPr>
          <w:rFonts w:ascii="Arial" w:cs="Arial" w:eastAsia="Arial" w:hAnsi="Arial"/>
          <w:sz w:val="16"/>
          <w:szCs w:val="16"/>
          <w:color w:val="auto"/>
        </w:rPr>
        <w:t>Reviewed the Company's compensation peer group in light of its ongoing transformation and size and how the MDCC benchmarks compensation and performance when making compensation decisions.</w:t>
      </w:r>
    </w:p>
    <w:p>
      <w:pPr>
        <w:spacing w:after="0" w:line="3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Environmental Justice and Other ESG Disclosure:</w:t>
      </w:r>
    </w:p>
    <w:p>
      <w:pPr>
        <w:spacing w:after="0" w:line="113" w:lineRule="exact"/>
        <w:rPr>
          <w:sz w:val="20"/>
          <w:szCs w:val="20"/>
          <w:color w:val="auto"/>
        </w:rPr>
      </w:pPr>
    </w:p>
    <w:p>
      <w:pPr>
        <w:ind w:left="360" w:hanging="191"/>
        <w:spacing w:after="0"/>
        <w:tabs>
          <w:tab w:leader="none" w:pos="360"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Discussed the Company's environmental justice program and reporting.</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78"/>
        </w:numPr>
        <w:rPr>
          <w:rFonts w:ascii="Arial" w:cs="Arial" w:eastAsia="Arial" w:hAnsi="Arial"/>
          <w:sz w:val="16"/>
          <w:szCs w:val="16"/>
          <w:b w:val="1"/>
          <w:bCs w:val="1"/>
          <w:color w:val="D7282F"/>
        </w:rPr>
      </w:pPr>
      <w:r>
        <w:rPr>
          <w:rFonts w:ascii="Arial" w:cs="Arial" w:eastAsia="Arial" w:hAnsi="Arial"/>
          <w:sz w:val="16"/>
          <w:szCs w:val="16"/>
          <w:color w:val="auto"/>
        </w:rPr>
        <w:t>Reviewed Honeywell's ESG reporting to identify additional disclosures that may be meaningful to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24257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242570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FFFFF"/>
        </w:rPr>
        <w:t>FALL 2023 SHAREOWNER FEEDBACK</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Board Leadership Structure and CEO Transition:</w:t>
      </w:r>
    </w:p>
    <w:p>
      <w:pPr>
        <w:spacing w:after="0" w:line="127" w:lineRule="exact"/>
        <w:rPr>
          <w:sz w:val="20"/>
          <w:szCs w:val="20"/>
          <w:color w:val="auto"/>
        </w:rPr>
      </w:pPr>
    </w:p>
    <w:p>
      <w:pPr>
        <w:ind w:left="360" w:right="740" w:hanging="191"/>
        <w:spacing w:after="0" w:line="286" w:lineRule="auto"/>
        <w:tabs>
          <w:tab w:leader="none" w:pos="357" w:val="left"/>
        </w:tabs>
        <w:numPr>
          <w:ilvl w:val="0"/>
          <w:numId w:val="79"/>
        </w:numPr>
        <w:rPr>
          <w:rFonts w:ascii="Arial" w:cs="Arial" w:eastAsia="Arial" w:hAnsi="Arial"/>
          <w:sz w:val="16"/>
          <w:szCs w:val="16"/>
          <w:b w:val="1"/>
          <w:bCs w:val="1"/>
          <w:color w:val="D7282F"/>
        </w:rPr>
      </w:pPr>
      <w:r>
        <w:rPr>
          <w:rFonts w:ascii="Arial" w:cs="Arial" w:eastAsia="Arial" w:hAnsi="Arial"/>
          <w:sz w:val="16"/>
          <w:szCs w:val="16"/>
          <w:color w:val="auto"/>
        </w:rPr>
        <w:t>Shareowners representing over 65% of the shares held by the firms we spoke with indicated that they would not support an independent chair proposal.</w:t>
      </w:r>
    </w:p>
    <w:p>
      <w:pPr>
        <w:spacing w:after="0" w:line="20" w:lineRule="exact"/>
        <w:rPr>
          <w:rFonts w:ascii="Arial" w:cs="Arial" w:eastAsia="Arial" w:hAnsi="Arial"/>
          <w:sz w:val="16"/>
          <w:szCs w:val="16"/>
          <w:b w:val="1"/>
          <w:bCs w:val="1"/>
          <w:color w:val="D7282F"/>
        </w:rPr>
      </w:pPr>
    </w:p>
    <w:p>
      <w:pPr>
        <w:ind w:left="360" w:right="180" w:hanging="191"/>
        <w:spacing w:after="0" w:line="286" w:lineRule="auto"/>
        <w:tabs>
          <w:tab w:leader="none" w:pos="357" w:val="left"/>
        </w:tabs>
        <w:numPr>
          <w:ilvl w:val="0"/>
          <w:numId w:val="79"/>
        </w:numPr>
        <w:rPr>
          <w:rFonts w:ascii="Arial" w:cs="Arial" w:eastAsia="Arial" w:hAnsi="Arial"/>
          <w:sz w:val="16"/>
          <w:szCs w:val="16"/>
          <w:b w:val="1"/>
          <w:bCs w:val="1"/>
          <w:color w:val="D7282F"/>
        </w:rPr>
      </w:pPr>
      <w:r>
        <w:rPr>
          <w:rFonts w:ascii="Arial" w:cs="Arial" w:eastAsia="Arial" w:hAnsi="Arial"/>
          <w:sz w:val="16"/>
          <w:szCs w:val="16"/>
          <w:color w:val="auto"/>
        </w:rPr>
        <w:t>The Company's transparency with regard to CEO succession was well-received, with general interest in the scope and timeline of the Executive Chair role.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w:t>
      </w:r>
    </w:p>
    <w:p>
      <w:pPr>
        <w:spacing w:after="0" w:line="113" w:lineRule="exact"/>
        <w:rPr>
          <w:sz w:val="20"/>
          <w:szCs w:val="20"/>
          <w:color w:val="auto"/>
        </w:rPr>
      </w:pPr>
    </w:p>
    <w:p>
      <w:pPr>
        <w:ind w:left="360" w:hanging="191"/>
        <w:spacing w:after="0"/>
        <w:tabs>
          <w:tab w:leader="none" w:pos="360" w:val="left"/>
        </w:tabs>
        <w:numPr>
          <w:ilvl w:val="0"/>
          <w:numId w:val="80"/>
        </w:numPr>
        <w:rPr>
          <w:rFonts w:ascii="Arial" w:cs="Arial" w:eastAsia="Arial" w:hAnsi="Arial"/>
          <w:sz w:val="16"/>
          <w:szCs w:val="16"/>
          <w:b w:val="1"/>
          <w:bCs w:val="1"/>
          <w:color w:val="D7282F"/>
        </w:rPr>
      </w:pPr>
      <w:r>
        <w:rPr>
          <w:rFonts w:ascii="Arial" w:cs="Arial" w:eastAsia="Arial" w:hAnsi="Arial"/>
          <w:sz w:val="16"/>
          <w:szCs w:val="16"/>
          <w:color w:val="auto"/>
        </w:rPr>
        <w:t>Shareowners generally support the design and administration of the executive compensation plan.</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0"/>
        </w:numPr>
        <w:rPr>
          <w:rFonts w:ascii="Arial" w:cs="Arial" w:eastAsia="Arial" w:hAnsi="Arial"/>
          <w:sz w:val="16"/>
          <w:szCs w:val="16"/>
          <w:b w:val="1"/>
          <w:bCs w:val="1"/>
          <w:color w:val="D7282F"/>
        </w:rPr>
      </w:pPr>
      <w:r>
        <w:rPr>
          <w:rFonts w:ascii="Arial" w:cs="Arial" w:eastAsia="Arial" w:hAnsi="Arial"/>
          <w:sz w:val="16"/>
          <w:szCs w:val="16"/>
          <w:color w:val="auto"/>
        </w:rPr>
        <w:t>Most shareowners acknowledge the limitations of the compensation peer group and agree with a shift over time.</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0"/>
        </w:numPr>
        <w:rPr>
          <w:rFonts w:ascii="Arial" w:cs="Arial" w:eastAsia="Arial" w:hAnsi="Arial"/>
          <w:sz w:val="16"/>
          <w:szCs w:val="16"/>
          <w:b w:val="1"/>
          <w:bCs w:val="1"/>
          <w:color w:val="D7282F"/>
        </w:rPr>
      </w:pPr>
      <w:r>
        <w:rPr>
          <w:rFonts w:ascii="Arial" w:cs="Arial" w:eastAsia="Arial" w:hAnsi="Arial"/>
          <w:sz w:val="16"/>
          <w:szCs w:val="16"/>
          <w:color w:val="auto"/>
        </w:rPr>
        <w:t>Enhanced disclosure demonstrating how ESG is measured is beneficial when evaluating pay decisions.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Environmental Justice and Other ESG Disclosure:</w:t>
      </w:r>
    </w:p>
    <w:p>
      <w:pPr>
        <w:spacing w:after="0" w:line="113" w:lineRule="exact"/>
        <w:rPr>
          <w:sz w:val="20"/>
          <w:szCs w:val="20"/>
          <w:color w:val="auto"/>
        </w:rPr>
      </w:pPr>
    </w:p>
    <w:p>
      <w:pPr>
        <w:ind w:left="360" w:hanging="191"/>
        <w:spacing w:after="0"/>
        <w:tabs>
          <w:tab w:leader="none" w:pos="360" w:val="left"/>
        </w:tabs>
        <w:numPr>
          <w:ilvl w:val="0"/>
          <w:numId w:val="81"/>
        </w:numPr>
        <w:rPr>
          <w:rFonts w:ascii="Arial" w:cs="Arial" w:eastAsia="Arial" w:hAnsi="Arial"/>
          <w:sz w:val="16"/>
          <w:szCs w:val="16"/>
          <w:b w:val="1"/>
          <w:bCs w:val="1"/>
          <w:color w:val="D7282F"/>
        </w:rPr>
      </w:pPr>
      <w:r>
        <w:rPr>
          <w:rFonts w:ascii="Arial" w:cs="Arial" w:eastAsia="Arial" w:hAnsi="Arial"/>
          <w:sz w:val="16"/>
          <w:szCs w:val="16"/>
          <w:color w:val="auto"/>
        </w:rPr>
        <w:t>No shareowners expressed a desire for specific enhancements to the Company's environmental justice disclosure.</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1"/>
        </w:numPr>
        <w:rPr>
          <w:rFonts w:ascii="Arial" w:cs="Arial" w:eastAsia="Arial" w:hAnsi="Arial"/>
          <w:sz w:val="16"/>
          <w:szCs w:val="16"/>
          <w:b w:val="1"/>
          <w:bCs w:val="1"/>
          <w:color w:val="D7282F"/>
        </w:rPr>
      </w:pPr>
      <w:r>
        <w:rPr>
          <w:rFonts w:ascii="Arial" w:cs="Arial" w:eastAsia="Arial" w:hAnsi="Arial"/>
          <w:sz w:val="16"/>
          <w:szCs w:val="16"/>
          <w:color w:val="auto"/>
        </w:rPr>
        <w:t>Shareowners generally satisfied with or complimentary of the Company's ESG disclosures.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LEADERSHIP STRUCTURE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CHAIRMAN OF THE BOARD</w:t>
      </w:r>
    </w:p>
    <w:p>
      <w:pPr>
        <w:spacing w:after="0" w:line="12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Darius Adamczyk, Honeywell's Executive Chairman and former CEO, will retire from the Board on June 7, 2024. After careful consideration, including feedback from dialogue with shareowners, the Board determined that it is in the best long-term interest of the Company and its shareowners to appoint current CEO, Vimal Kapur, to succeed Mr. Adamczyk as Chairman.</w:t>
      </w:r>
    </w:p>
    <w:p>
      <w:pPr>
        <w:spacing w:after="0" w:line="56"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Board understands the importance of this leadership decision and has thoroughly explored different structures and a wide range of considerations through an open-minded and unbiased decision-making process. In reaching its decision to recombine the roles under Mr. Kapur, the Board evaluated the best leadership structure for the Company in the context of its present circumstances, taking into account the Company's strategic needs over the next phase of its transformation, Mr. Kapur's leadership qualities, the independence of the Board, and the strength of the independent Lead Director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23577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2357755"/>
                    </a:xfrm>
                    <a:prstGeom prst="rect">
                      <a:avLst/>
                    </a:prstGeom>
                    <a:noFill/>
                  </pic:spPr>
                </pic:pic>
              </a:graphicData>
            </a:graphic>
          </wp:anchor>
        </w:drawing>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BOARD RATIONALE FOR COMBINING THE CHAIRMAN AND CEO ROLES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Board's key considerations when deciding to combine the roles of Chairman and CEO under Mr. Kapur include:</w:t>
      </w:r>
    </w:p>
    <w:p>
      <w:pPr>
        <w:spacing w:after="0" w:line="113" w:lineRule="exact"/>
        <w:rPr>
          <w:sz w:val="20"/>
          <w:szCs w:val="20"/>
          <w:color w:val="auto"/>
        </w:rPr>
      </w:pPr>
    </w:p>
    <w:p>
      <w:pPr>
        <w:ind w:left="360" w:right="400" w:hanging="191"/>
        <w:spacing w:after="0" w:line="271" w:lineRule="auto"/>
        <w:tabs>
          <w:tab w:leader="none" w:pos="357" w:val="left"/>
        </w:tabs>
        <w:numPr>
          <w:ilvl w:val="0"/>
          <w:numId w:val="82"/>
        </w:numPr>
        <w:rPr>
          <w:rFonts w:ascii="Arial" w:cs="Arial" w:eastAsia="Arial" w:hAnsi="Arial"/>
          <w:sz w:val="16"/>
          <w:szCs w:val="16"/>
          <w:color w:val="EE2724"/>
        </w:rPr>
      </w:pPr>
      <w:r>
        <w:rPr>
          <w:rFonts w:ascii="Arial" w:cs="Arial" w:eastAsia="Arial" w:hAnsi="Arial"/>
          <w:sz w:val="16"/>
          <w:szCs w:val="16"/>
          <w:color w:val="auto"/>
        </w:rPr>
        <w:t>The benefits of a unified leadership structure during a period when Honeywell is laser-focused on pivoting to its next phase of transformation — “innovate and grow” — while aligning our portfolio with three key megatrends and driving growth through innovation and M&amp;A. Combining the Chairman and CEO roles under Mr. Kapur will better enable decision-making speed, and agility when prioritizing and driving organic and inorganic growth opportunities.</w:t>
      </w:r>
    </w:p>
    <w:p>
      <w:pPr>
        <w:spacing w:after="0" w:line="19" w:lineRule="exact"/>
        <w:rPr>
          <w:rFonts w:ascii="Arial" w:cs="Arial" w:eastAsia="Arial" w:hAnsi="Arial"/>
          <w:sz w:val="16"/>
          <w:szCs w:val="16"/>
          <w:color w:val="EE2724"/>
        </w:rPr>
      </w:pPr>
    </w:p>
    <w:p>
      <w:pPr>
        <w:ind w:left="360" w:right="160" w:hanging="191"/>
        <w:spacing w:after="0" w:line="299" w:lineRule="auto"/>
        <w:tabs>
          <w:tab w:leader="none" w:pos="357"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The Board's evaluation of Mr. Kapur's leadership and effectiveness since becoming CEO and its confidence in Vimal's judgment and character, which was earned over the course of his 35-year career at Honeywell.</w:t>
      </w:r>
    </w:p>
    <w:p>
      <w:pPr>
        <w:ind w:left="360" w:hanging="191"/>
        <w:spacing w:after="0"/>
        <w:tabs>
          <w:tab w:leader="none" w:pos="36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The Company's track record of out-performance and effective risk management under a unified Chairman and CEO leadership structure.</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The highly independent nature of the Board, where, following Mr. Adamczyk's retirement, there will only be one non-independent director.</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The strength and experience of Honeywell's independent directors, eight of whom have served as CEOs.</w:t>
      </w:r>
    </w:p>
    <w:p>
      <w:pPr>
        <w:spacing w:after="0" w:line="86" w:lineRule="exact"/>
        <w:rPr>
          <w:rFonts w:ascii="Arial" w:cs="Arial" w:eastAsia="Arial" w:hAnsi="Arial"/>
          <w:sz w:val="16"/>
          <w:szCs w:val="16"/>
          <w:b w:val="1"/>
          <w:bCs w:val="1"/>
          <w:color w:val="D7282F"/>
        </w:rPr>
      </w:pPr>
    </w:p>
    <w:p>
      <w:pPr>
        <w:ind w:left="360" w:right="280" w:hanging="191"/>
        <w:spacing w:after="0" w:line="266" w:lineRule="auto"/>
        <w:tabs>
          <w:tab w:leader="none" w:pos="357" w:val="left"/>
        </w:tabs>
        <w:numPr>
          <w:ilvl w:val="0"/>
          <w:numId w:val="82"/>
        </w:numPr>
        <w:rPr>
          <w:rFonts w:ascii="Arial" w:cs="Arial" w:eastAsia="Arial" w:hAnsi="Arial"/>
          <w:sz w:val="16"/>
          <w:szCs w:val="16"/>
          <w:b w:val="1"/>
          <w:bCs w:val="1"/>
          <w:color w:val="D7282F"/>
        </w:rPr>
      </w:pPr>
      <w:r>
        <w:rPr>
          <w:rFonts w:ascii="Arial" w:cs="Arial" w:eastAsia="Arial" w:hAnsi="Arial"/>
          <w:sz w:val="16"/>
          <w:szCs w:val="16"/>
          <w:color w:val="auto"/>
        </w:rPr>
        <w:t>The robust roles, responsibilities, and authorities of the independent Lead Director role under the Company's Corporate Governance Guidelines, which, following its decision to recombine the Chairman and CEO roles, the Board amended to require that all Board meeting agendas be approved by the Lead Director.</w:t>
      </w:r>
    </w:p>
    <w:p>
      <w:pPr>
        <w:spacing w:after="0" w:line="37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Honeywell's Corporate Governance Guidelines do not establish a fixed rule as to whether the offices of Chairman and CEO should be vested in the same person or two different people, but rather specify that Honeywell's Board leadership structure is best considered as part of corporate governance and CEO succession planning processes. The Board believes that the decision as to whether the positions of Chairman and CEO should be combined or separated, and whether an executive or an independent director should serve as Chairman if the roles are split, should be based upon the particular circumstances facing the Company. Maintaining a flexible policy allows the Board to exercise its best business judgment to choose the leadership structure that best serves the interests of the Company and its shareowners at any particular time. The Board believes its risk oversight framework would be effective under a variety of leadership structures.</w:t>
      </w:r>
    </w:p>
    <w:p>
      <w:pPr>
        <w:spacing w:after="0" w:line="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Board carefully weighed feedback from its shareowners as part of the deliberations leading up to its decision to combine the roles under Mr. Kapur and intends to continue to engage with shareowners on this topic during shareowner engagement meetings. The Company has heard a range of views during those meetings, with most shareowners expressing confidence that the Honeywell Board understands the importance of good corporate governance and has the ability and insight to make the right decisions regarding its ongoing leadership structure, specifically the determination of whether and when to separate and combine the roles of Chairman and CEO.</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LEAD DIRECTOR</w:t>
      </w:r>
    </w:p>
    <w:p>
      <w:pPr>
        <w:spacing w:after="0" w:line="12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 pillar of the Board's leadership structure is the independent Lead Director position. The Company's Corporate Governance Guidelines explicitly mandate that if the Chairman is not an independent director, then an independent Lead Director will be elected by the independent directors. The roles, responsibilities, and authorities of the independent Lead Director are robust and ensure effective independent oversight.</w:t>
      </w:r>
    </w:p>
    <w:p>
      <w:pPr>
        <w:spacing w:after="0" w:line="7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The independent Lead Director plays an important role in Honeywell's governance structure, serving as the de facto leader of the independent directors, the focal point charged with ensuring that the Board as a whole is providing appropriate independent oversight of management. The Lead Director serves as an </w:t>
      </w:r>
      <w:r>
        <w:rPr>
          <w:rFonts w:ascii="Arial" w:cs="Arial" w:eastAsia="Arial" w:hAnsi="Arial"/>
          <w:sz w:val="16"/>
          <w:szCs w:val="16"/>
          <w:i w:val="1"/>
          <w:iCs w:val="1"/>
          <w:color w:val="auto"/>
        </w:rPr>
        <w:t xml:space="preserve">ex officio </w:t>
      </w:r>
      <w:r>
        <w:rPr>
          <w:rFonts w:ascii="Arial" w:cs="Arial" w:eastAsia="Arial" w:hAnsi="Arial"/>
          <w:sz w:val="16"/>
          <w:szCs w:val="16"/>
          <w:color w:val="auto"/>
        </w:rPr>
        <w:t>member of each Board committee on which he or she does not otherwise serve and plays a formal role in the recruitment and selection of new</w:t>
      </w:r>
      <w:r>
        <w:rPr>
          <w:rFonts w:ascii="Arial" w:cs="Arial" w:eastAsia="Arial" w:hAnsi="Arial"/>
          <w:sz w:val="16"/>
          <w:szCs w:val="16"/>
          <w:i w:val="1"/>
          <w:iCs w:val="1"/>
          <w:color w:val="auto"/>
        </w:rPr>
        <w:t xml:space="preserve"> </w:t>
      </w:r>
      <w:r>
        <w:rPr>
          <w:rFonts w:ascii="Arial" w:cs="Arial" w:eastAsia="Arial" w:hAnsi="Arial"/>
          <w:sz w:val="16"/>
          <w:szCs w:val="16"/>
          <w:color w:val="auto"/>
        </w:rPr>
        <w:t>Board members and in the Board's annual self-evaluation process.</w:t>
      </w:r>
    </w:p>
    <w:p>
      <w:pPr>
        <w:spacing w:after="0" w:line="20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sz w:val="1"/>
          <w:szCs w:val="1"/>
          <w:color w:val="auto"/>
        </w:rPr>
        <w:drawing>
          <wp:inline distT="0" distB="0" distL="0" distR="0">
            <wp:extent cx="548640" cy="10287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27178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INDEPENDENT LEAD DIRECTOR ROLES, RESPONSIBILITIES, AND AUTHORITIES</w:t>
      </w:r>
    </w:p>
    <w:p>
      <w:pPr>
        <w:spacing w:after="0" w:line="203" w:lineRule="exact"/>
        <w:rPr>
          <w:sz w:val="20"/>
          <w:szCs w:val="20"/>
          <w:color w:val="auto"/>
        </w:rPr>
      </w:pPr>
    </w:p>
    <w:p>
      <w:pPr>
        <w:ind w:left="160" w:right="320"/>
        <w:spacing w:after="0" w:line="286" w:lineRule="auto"/>
        <w:rPr>
          <w:sz w:val="20"/>
          <w:szCs w:val="20"/>
          <w:color w:val="auto"/>
        </w:rPr>
      </w:pPr>
      <w:r>
        <w:rPr>
          <w:rFonts w:ascii="Arial" w:cs="Arial" w:eastAsia="Arial" w:hAnsi="Arial"/>
          <w:sz w:val="16"/>
          <w:szCs w:val="16"/>
          <w:color w:val="auto"/>
        </w:rPr>
        <w:t>The roles, responsibilities, and authorities of the Lead Director are described in the Company’s Corporate Governance Guidelines, which explicitly acknowledge that, in the absence of an independent Chairman, the independent Lead Director assumes the same roles and responsibilities, including:</w:t>
      </w:r>
    </w:p>
    <w:p>
      <w:pPr>
        <w:spacing w:after="0" w:line="7" w:lineRule="exact"/>
        <w:rPr>
          <w:sz w:val="20"/>
          <w:szCs w:val="20"/>
          <w:color w:val="auto"/>
        </w:rPr>
      </w:pPr>
    </w:p>
    <w:p>
      <w:pPr>
        <w:ind w:left="360" w:right="600" w:hanging="191"/>
        <w:spacing w:after="0" w:line="264" w:lineRule="auto"/>
        <w:tabs>
          <w:tab w:leader="none" w:pos="357"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Work with the CEO, Chairman, the CGRC, and the full Board to help identify and prioritize the specific skillsets, experience, and knowledge that candidates for election to the Board must possess.</w:t>
      </w:r>
    </w:p>
    <w:p>
      <w:pPr>
        <w:ind w:left="360" w:right="580" w:hanging="191"/>
        <w:spacing w:after="0" w:line="264" w:lineRule="auto"/>
        <w:tabs>
          <w:tab w:leader="none" w:pos="357"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Review, approve, and make changes to Board meeting agendas and Board meeting schedules, including to add or remove agenda items and to ensure that there is sufficient time for discussion of all agenda items.</w:t>
      </w: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Review, and when appropriate, make changes to presentation material and other written information provided to directors for Board meetings.</w:t>
      </w:r>
    </w:p>
    <w:p>
      <w:pPr>
        <w:spacing w:after="0" w:line="45" w:lineRule="exact"/>
        <w:rPr>
          <w:rFonts w:ascii="Arial" w:cs="Arial" w:eastAsia="Arial" w:hAnsi="Arial"/>
          <w:sz w:val="16"/>
          <w:szCs w:val="16"/>
          <w:b w:val="1"/>
          <w:bCs w:val="1"/>
          <w:color w:val="D7282F"/>
        </w:rPr>
      </w:pPr>
    </w:p>
    <w:p>
      <w:pPr>
        <w:ind w:left="360" w:right="700" w:hanging="191"/>
        <w:spacing w:after="0" w:line="264" w:lineRule="auto"/>
        <w:tabs>
          <w:tab w:leader="none" w:pos="357"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Preside at all Board meetings at which the Chairman is not present, including executive sessions of the independent directors, and apprise the Chairman of the issues considered.</w:t>
      </w: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Serve as liaison between the Chairman and the independent directors.</w:t>
      </w:r>
    </w:p>
    <w:p>
      <w:pPr>
        <w:spacing w:after="0" w:line="45"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Be available for consultation and direct communication with the Company’s shareowners.</w:t>
      </w:r>
    </w:p>
    <w:p>
      <w:pPr>
        <w:spacing w:after="0" w:line="38"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Call meetings of the independent directors when necessary and appropriate.</w:t>
      </w:r>
    </w:p>
    <w:p>
      <w:pPr>
        <w:spacing w:after="0" w:line="32"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Call special meetings of the Board when necessary and appropriate.</w:t>
      </w:r>
    </w:p>
    <w:p>
      <w:pPr>
        <w:spacing w:after="0" w:line="38"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Retain outside professionals on behalf of the Board.</w:t>
      </w:r>
    </w:p>
    <w:p>
      <w:pPr>
        <w:spacing w:after="0" w:line="38"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Consult with management about what information is to be sent to the Board.</w:t>
      </w:r>
    </w:p>
    <w:p>
      <w:pPr>
        <w:spacing w:after="0" w:line="38"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Identify key strategic direction and operational issues upon which the Board’s annual core agenda is based.</w:t>
      </w:r>
    </w:p>
    <w:p>
      <w:pPr>
        <w:spacing w:after="0" w:line="38" w:lineRule="exact"/>
        <w:rPr>
          <w:rFonts w:ascii="Arial" w:cs="Arial" w:eastAsia="Arial" w:hAnsi="Arial"/>
          <w:sz w:val="16"/>
          <w:szCs w:val="16"/>
          <w:b w:val="1"/>
          <w:bCs w:val="1"/>
          <w:color w:val="D7282F"/>
        </w:rPr>
      </w:pPr>
    </w:p>
    <w:p>
      <w:pPr>
        <w:ind w:left="360" w:hanging="191"/>
        <w:spacing w:after="0"/>
        <w:tabs>
          <w:tab w:leader="none" w:pos="360" w:val="left"/>
        </w:tabs>
        <w:numPr>
          <w:ilvl w:val="0"/>
          <w:numId w:val="83"/>
        </w:numPr>
        <w:rPr>
          <w:rFonts w:ascii="Arial" w:cs="Arial" w:eastAsia="Arial" w:hAnsi="Arial"/>
          <w:sz w:val="16"/>
          <w:szCs w:val="16"/>
          <w:b w:val="1"/>
          <w:bCs w:val="1"/>
          <w:color w:val="D7282F"/>
        </w:rPr>
      </w:pPr>
      <w:r>
        <w:rPr>
          <w:rFonts w:ascii="Arial" w:cs="Arial" w:eastAsia="Arial" w:hAnsi="Arial"/>
          <w:sz w:val="16"/>
          <w:szCs w:val="16"/>
          <w:color w:val="auto"/>
        </w:rPr>
        <w:t xml:space="preserve">Serve as an </w:t>
      </w:r>
      <w:r>
        <w:rPr>
          <w:rFonts w:ascii="Arial" w:cs="Arial" w:eastAsia="Arial" w:hAnsi="Arial"/>
          <w:sz w:val="16"/>
          <w:szCs w:val="16"/>
          <w:i w:val="1"/>
          <w:iCs w:val="1"/>
          <w:color w:val="auto"/>
        </w:rPr>
        <w:t>ex officio</w:t>
      </w:r>
      <w:r>
        <w:rPr>
          <w:rFonts w:ascii="Arial" w:cs="Arial" w:eastAsia="Arial" w:hAnsi="Arial"/>
          <w:sz w:val="16"/>
          <w:szCs w:val="16"/>
          <w:color w:val="auto"/>
        </w:rPr>
        <w:t xml:space="preserve"> member of each committee on which he or she does not otherwise serve.</w:t>
      </w:r>
    </w:p>
    <w:p>
      <w:pPr>
        <w:spacing w:after="0" w:line="34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The independent Lead Director is selected biennially by Honeywell’s independent directors to serve a two-year term, considering the independent Lead Director selection criteria memorialized in the Company's Corporate Governance Guidelines. </w:t>
      </w:r>
      <w:r>
        <w:rPr>
          <w:rFonts w:ascii="Arial" w:cs="Arial" w:eastAsia="Arial" w:hAnsi="Arial"/>
          <w:sz w:val="16"/>
          <w:szCs w:val="16"/>
          <w:b w:val="1"/>
          <w:bCs w:val="1"/>
          <w:color w:val="D7282F"/>
        </w:rPr>
        <w:t>Taking these criteria into account, the independent</w:t>
      </w:r>
      <w:r>
        <w:rPr>
          <w:rFonts w:ascii="Arial" w:cs="Arial" w:eastAsia="Arial" w:hAnsi="Arial"/>
          <w:sz w:val="16"/>
          <w:szCs w:val="16"/>
          <w:color w:val="auto"/>
        </w:rPr>
        <w:t xml:space="preserve"> </w:t>
      </w:r>
      <w:r>
        <w:rPr>
          <w:rFonts w:ascii="Arial" w:cs="Arial" w:eastAsia="Arial" w:hAnsi="Arial"/>
          <w:sz w:val="16"/>
          <w:szCs w:val="16"/>
          <w:b w:val="1"/>
          <w:bCs w:val="1"/>
          <w:color w:val="D7282F"/>
        </w:rPr>
        <w:t xml:space="preserve">directors have unanimously elected Mr. William S. Ayer to serve as Lead Director for a two-year term, which will commence on the date of the Annual Meeting and expire at the 2026 Annual Meeting of Shareowners. </w:t>
      </w:r>
      <w:r>
        <w:rPr>
          <w:rFonts w:ascii="Arial" w:cs="Arial" w:eastAsia="Arial" w:hAnsi="Arial"/>
          <w:sz w:val="16"/>
          <w:szCs w:val="16"/>
          <w:color w:val="000000"/>
        </w:rPr>
        <w:t>Mr. Ayer has served on the Board for nine years, and as the former Chairman</w:t>
      </w:r>
      <w:r>
        <w:rPr>
          <w:rFonts w:ascii="Arial" w:cs="Arial" w:eastAsia="Arial" w:hAnsi="Arial"/>
          <w:sz w:val="16"/>
          <w:szCs w:val="16"/>
          <w:b w:val="1"/>
          <w:bCs w:val="1"/>
          <w:color w:val="D7282F"/>
        </w:rPr>
        <w:t xml:space="preserve"> </w:t>
      </w:r>
      <w:r>
        <w:rPr>
          <w:rFonts w:ascii="Arial" w:cs="Arial" w:eastAsia="Arial" w:hAnsi="Arial"/>
          <w:sz w:val="16"/>
          <w:szCs w:val="16"/>
          <w:color w:val="000000"/>
        </w:rPr>
        <w:t>and CEO of Alaska Air Group, has significant experience leading a large public company.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4720" w:type="dxa"/>
            <w:vAlign w:val="bottom"/>
            <w:tcBorders>
              <w:right w:val="single" w:sz="8" w:color="auto"/>
            </w:tcBorders>
            <w:shd w:val="clear" w:color="auto" w:fill="D7282F"/>
          </w:tcPr>
          <w:p>
            <w:pPr>
              <w:ind w:left="100"/>
              <w:spacing w:after="0"/>
              <w:rPr>
                <w:sz w:val="20"/>
                <w:szCs w:val="20"/>
                <w:color w:val="auto"/>
              </w:rPr>
            </w:pPr>
            <w:r>
              <w:rPr>
                <w:rFonts w:ascii="Arial" w:cs="Arial" w:eastAsia="Arial" w:hAnsi="Arial"/>
                <w:sz w:val="18"/>
                <w:szCs w:val="18"/>
                <w:b w:val="1"/>
                <w:bCs w:val="1"/>
                <w:color w:val="FFFFFF"/>
              </w:rPr>
              <w:t>LEAD DIRECTOR SELECTION CRITERIA</w:t>
            </w:r>
          </w:p>
        </w:tc>
        <w:tc>
          <w:tcPr>
            <w:tcW w:w="6300" w:type="dxa"/>
            <w:vAlign w:val="bottom"/>
            <w:shd w:val="clear" w:color="auto" w:fill="000000"/>
          </w:tcPr>
          <w:p>
            <w:pPr>
              <w:ind w:left="80"/>
              <w:spacing w:after="0"/>
              <w:rPr>
                <w:sz w:val="20"/>
                <w:szCs w:val="20"/>
                <w:color w:val="auto"/>
              </w:rPr>
            </w:pPr>
            <w:r>
              <w:rPr>
                <w:rFonts w:ascii="Arial" w:cs="Arial" w:eastAsia="Arial" w:hAnsi="Arial"/>
                <w:sz w:val="18"/>
                <w:szCs w:val="18"/>
                <w:b w:val="1"/>
                <w:bCs w:val="1"/>
                <w:color w:val="FFFFFF"/>
              </w:rPr>
              <w:t>MR. AYER'S QUALIFICATIONS</w:t>
            </w:r>
          </w:p>
        </w:tc>
        <w:tc>
          <w:tcPr>
            <w:tcW w:w="200" w:type="dxa"/>
            <w:vAlign w:val="bottom"/>
            <w:shd w:val="clear" w:color="auto" w:fill="000000"/>
          </w:tcPr>
          <w:p>
            <w:pPr>
              <w:spacing w:after="0"/>
              <w:rPr>
                <w:sz w:val="24"/>
                <w:szCs w:val="24"/>
                <w:color w:val="auto"/>
              </w:rPr>
            </w:pPr>
          </w:p>
        </w:tc>
        <w:tc>
          <w:tcPr>
            <w:tcW w:w="20" w:type="dxa"/>
            <w:vAlign w:val="bottom"/>
          </w:tcPr>
          <w:p>
            <w:pPr>
              <w:spacing w:after="0"/>
              <w:rPr>
                <w:sz w:val="24"/>
                <w:szCs w:val="24"/>
                <w:color w:val="auto"/>
              </w:rPr>
            </w:pPr>
          </w:p>
        </w:tc>
      </w:tr>
      <w:tr>
        <w:trPr>
          <w:trHeight w:val="83"/>
        </w:trPr>
        <w:tc>
          <w:tcPr>
            <w:tcW w:w="4720" w:type="dxa"/>
            <w:vAlign w:val="bottom"/>
            <w:tcBorders>
              <w:right w:val="single" w:sz="8" w:color="auto"/>
            </w:tcBorders>
            <w:shd w:val="clear" w:color="auto" w:fill="D7282F"/>
          </w:tcPr>
          <w:p>
            <w:pPr>
              <w:spacing w:after="0"/>
              <w:rPr>
                <w:sz w:val="7"/>
                <w:szCs w:val="7"/>
                <w:color w:val="auto"/>
              </w:rPr>
            </w:pPr>
          </w:p>
        </w:tc>
        <w:tc>
          <w:tcPr>
            <w:tcW w:w="6300" w:type="dxa"/>
            <w:vAlign w:val="bottom"/>
            <w:shd w:val="clear" w:color="auto" w:fill="000000"/>
          </w:tcPr>
          <w:p>
            <w:pPr>
              <w:spacing w:after="0"/>
              <w:rPr>
                <w:sz w:val="7"/>
                <w:szCs w:val="7"/>
                <w:color w:val="auto"/>
              </w:rPr>
            </w:pPr>
          </w:p>
        </w:tc>
        <w:tc>
          <w:tcPr>
            <w:tcW w:w="200" w:type="dxa"/>
            <w:vAlign w:val="bottom"/>
            <w:shd w:val="clear" w:color="auto" w:fill="000000"/>
          </w:tcPr>
          <w:p>
            <w:pPr>
              <w:spacing w:after="0"/>
              <w:rPr>
                <w:sz w:val="7"/>
                <w:szCs w:val="7"/>
                <w:color w:val="auto"/>
              </w:rPr>
            </w:pPr>
          </w:p>
        </w:tc>
        <w:tc>
          <w:tcPr>
            <w:tcW w:w="20" w:type="dxa"/>
            <w:vAlign w:val="bottom"/>
          </w:tcPr>
          <w:p>
            <w:pPr>
              <w:spacing w:after="0"/>
              <w:rPr>
                <w:sz w:val="7"/>
                <w:szCs w:val="7"/>
                <w:color w:val="auto"/>
              </w:rPr>
            </w:pPr>
          </w:p>
        </w:tc>
      </w:tr>
      <w:tr>
        <w:trPr>
          <w:trHeight w:val="216"/>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Commitment. </w:t>
            </w:r>
            <w:r>
              <w:rPr>
                <w:rFonts w:ascii="Arial" w:cs="Arial" w:eastAsia="Arial" w:hAnsi="Arial"/>
                <w:sz w:val="16"/>
                <w:szCs w:val="16"/>
                <w:color w:val="000000"/>
              </w:rPr>
              <w:t>Able to commit the time and level of</w:t>
            </w:r>
          </w:p>
        </w:tc>
        <w:tc>
          <w:tcPr>
            <w:tcW w:w="6300" w:type="dxa"/>
            <w:vAlign w:val="bottom"/>
          </w:tcPr>
          <w:p>
            <w:pPr>
              <w:ind w:left="300"/>
              <w:spacing w:after="0"/>
              <w:rPr>
                <w:sz w:val="20"/>
                <w:szCs w:val="20"/>
                <w:color w:val="auto"/>
              </w:rPr>
            </w:pPr>
            <w:r>
              <w:rPr>
                <w:rFonts w:ascii="Arial" w:cs="Arial" w:eastAsia="Arial" w:hAnsi="Arial"/>
                <w:sz w:val="16"/>
                <w:szCs w:val="16"/>
                <w:color w:val="auto"/>
              </w:rPr>
              <w:t>Mr. Ayer has excelled as CGRC Chair (a time-intensive role that requires constant,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engagement required to fulfill the substantial responsibilities of</w:t>
            </w:r>
          </w:p>
        </w:tc>
        <w:tc>
          <w:tcPr>
            <w:tcW w:w="6520" w:type="dxa"/>
            <w:vAlign w:val="bottom"/>
            <w:gridSpan w:val="3"/>
          </w:tcPr>
          <w:p>
            <w:pPr>
              <w:ind w:left="300"/>
              <w:spacing w:after="0"/>
              <w:rPr>
                <w:sz w:val="20"/>
                <w:szCs w:val="20"/>
                <w:color w:val="auto"/>
              </w:rPr>
            </w:pPr>
            <w:r>
              <w:rPr>
                <w:rFonts w:ascii="Arial" w:cs="Arial" w:eastAsia="Arial" w:hAnsi="Arial"/>
                <w:sz w:val="16"/>
                <w:szCs w:val="16"/>
                <w:color w:val="auto"/>
              </w:rPr>
              <w:t>proactive engagement with shareowners, management, and his fellow directors) while</w:t>
            </w:r>
          </w:p>
        </w:tc>
      </w:tr>
      <w:tr>
        <w:trPr>
          <w:trHeight w:val="241"/>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the role.</w:t>
            </w:r>
          </w:p>
        </w:tc>
        <w:tc>
          <w:tcPr>
            <w:tcW w:w="6300" w:type="dxa"/>
            <w:vAlign w:val="bottom"/>
          </w:tcPr>
          <w:p>
            <w:pPr>
              <w:ind w:left="300"/>
              <w:spacing w:after="0"/>
              <w:rPr>
                <w:sz w:val="20"/>
                <w:szCs w:val="20"/>
                <w:color w:val="auto"/>
              </w:rPr>
            </w:pPr>
            <w:r>
              <w:rPr>
                <w:rFonts w:ascii="Arial" w:cs="Arial" w:eastAsia="Arial" w:hAnsi="Arial"/>
                <w:sz w:val="16"/>
                <w:szCs w:val="16"/>
                <w:color w:val="auto"/>
              </w:rPr>
              <w:t>simultaneously serving on the MDCC.</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
        </w:trPr>
        <w:tc>
          <w:tcPr>
            <w:tcW w:w="4720" w:type="dxa"/>
            <w:vAlign w:val="bottom"/>
            <w:tcBorders>
              <w:bottom w:val="single" w:sz="8" w:color="939598"/>
              <w:right w:val="single" w:sz="8" w:color="D7282F"/>
            </w:tcBorders>
          </w:tcPr>
          <w:p>
            <w:pPr>
              <w:spacing w:after="0"/>
              <w:rPr>
                <w:sz w:val="2"/>
                <w:szCs w:val="2"/>
                <w:color w:val="auto"/>
              </w:rPr>
            </w:pPr>
          </w:p>
        </w:tc>
        <w:tc>
          <w:tcPr>
            <w:tcW w:w="630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Effective Communication. </w:t>
            </w:r>
            <w:r>
              <w:rPr>
                <w:rFonts w:ascii="Arial" w:cs="Arial" w:eastAsia="Arial" w:hAnsi="Arial"/>
                <w:sz w:val="16"/>
                <w:szCs w:val="16"/>
                <w:color w:val="000000"/>
              </w:rPr>
              <w:t>Able to facilitate discussions</w:t>
            </w:r>
          </w:p>
        </w:tc>
        <w:tc>
          <w:tcPr>
            <w:tcW w:w="6300" w:type="dxa"/>
            <w:vAlign w:val="bottom"/>
          </w:tcPr>
          <w:p>
            <w:pPr>
              <w:ind w:left="300"/>
              <w:spacing w:after="0"/>
              <w:rPr>
                <w:sz w:val="20"/>
                <w:szCs w:val="20"/>
                <w:color w:val="auto"/>
              </w:rPr>
            </w:pPr>
            <w:r>
              <w:rPr>
                <w:rFonts w:ascii="Arial" w:cs="Arial" w:eastAsia="Arial" w:hAnsi="Arial"/>
                <w:sz w:val="16"/>
                <w:szCs w:val="16"/>
                <w:color w:val="auto"/>
              </w:rPr>
              <w:t>As CGRC Chair, Mr. Ayer demonstrated effective communication and engagement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among Board members, including between the independent</w:t>
            </w:r>
          </w:p>
        </w:tc>
        <w:tc>
          <w:tcPr>
            <w:tcW w:w="6300" w:type="dxa"/>
            <w:vAlign w:val="bottom"/>
          </w:tcPr>
          <w:p>
            <w:pPr>
              <w:ind w:left="300"/>
              <w:spacing w:after="0"/>
              <w:rPr>
                <w:sz w:val="20"/>
                <w:szCs w:val="20"/>
                <w:color w:val="auto"/>
              </w:rPr>
            </w:pPr>
            <w:r>
              <w:rPr>
                <w:rFonts w:ascii="Arial" w:cs="Arial" w:eastAsia="Arial" w:hAnsi="Arial"/>
                <w:sz w:val="16"/>
                <w:szCs w:val="16"/>
                <w:color w:val="auto"/>
              </w:rPr>
              <w:t>with directors and management during the CEO transition and new director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directors and the CEO/Chairman, and engage with</w:t>
            </w:r>
          </w:p>
        </w:tc>
        <w:tc>
          <w:tcPr>
            <w:tcW w:w="6300" w:type="dxa"/>
            <w:vAlign w:val="bottom"/>
          </w:tcPr>
          <w:p>
            <w:pPr>
              <w:ind w:left="300"/>
              <w:spacing w:after="0"/>
              <w:rPr>
                <w:sz w:val="20"/>
                <w:szCs w:val="20"/>
                <w:color w:val="auto"/>
              </w:rPr>
            </w:pPr>
            <w:r>
              <w:rPr>
                <w:rFonts w:ascii="Arial" w:cs="Arial" w:eastAsia="Arial" w:hAnsi="Arial"/>
                <w:sz w:val="16"/>
                <w:szCs w:val="16"/>
                <w:color w:val="auto"/>
              </w:rPr>
              <w:t>recruitment process. Mr. Ayer also has been a highly effective communicator when</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1"/>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shareowners and key stakeholders.</w:t>
            </w:r>
          </w:p>
        </w:tc>
        <w:tc>
          <w:tcPr>
            <w:tcW w:w="6300" w:type="dxa"/>
            <w:vAlign w:val="bottom"/>
          </w:tcPr>
          <w:p>
            <w:pPr>
              <w:ind w:left="300"/>
              <w:spacing w:after="0"/>
              <w:rPr>
                <w:sz w:val="20"/>
                <w:szCs w:val="20"/>
                <w:color w:val="auto"/>
              </w:rPr>
            </w:pPr>
            <w:r>
              <w:rPr>
                <w:rFonts w:ascii="Arial" w:cs="Arial" w:eastAsia="Arial" w:hAnsi="Arial"/>
                <w:sz w:val="16"/>
                <w:szCs w:val="16"/>
                <w:color w:val="auto"/>
              </w:rPr>
              <w:t>leading numerous shareowner engagement meetings over the past two years.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
        </w:trPr>
        <w:tc>
          <w:tcPr>
            <w:tcW w:w="4720" w:type="dxa"/>
            <w:vAlign w:val="bottom"/>
            <w:tcBorders>
              <w:bottom w:val="single" w:sz="8" w:color="939598"/>
              <w:right w:val="single" w:sz="8" w:color="D7282F"/>
            </w:tcBorders>
          </w:tcPr>
          <w:p>
            <w:pPr>
              <w:spacing w:after="0"/>
              <w:rPr>
                <w:sz w:val="3"/>
                <w:szCs w:val="3"/>
                <w:color w:val="auto"/>
              </w:rPr>
            </w:pPr>
          </w:p>
        </w:tc>
        <w:tc>
          <w:tcPr>
            <w:tcW w:w="6300" w:type="dxa"/>
            <w:vAlign w:val="bottom"/>
            <w:tcBorders>
              <w:bottom w:val="single" w:sz="8" w:color="939598"/>
            </w:tcBorders>
          </w:tcPr>
          <w:p>
            <w:pPr>
              <w:spacing w:after="0"/>
              <w:rPr>
                <w:sz w:val="3"/>
                <w:szCs w:val="3"/>
                <w:color w:val="auto"/>
              </w:rPr>
            </w:pPr>
          </w:p>
        </w:tc>
        <w:tc>
          <w:tcPr>
            <w:tcW w:w="200" w:type="dxa"/>
            <w:vAlign w:val="bottom"/>
            <w:tcBorders>
              <w:bottom w:val="single" w:sz="8" w:color="939598"/>
            </w:tcBorders>
          </w:tcPr>
          <w:p>
            <w:pPr>
              <w:spacing w:after="0"/>
              <w:rPr>
                <w:sz w:val="3"/>
                <w:szCs w:val="3"/>
                <w:color w:val="auto"/>
              </w:rPr>
            </w:pPr>
          </w:p>
        </w:tc>
        <w:tc>
          <w:tcPr>
            <w:tcW w:w="20" w:type="dxa"/>
            <w:vAlign w:val="bottom"/>
          </w:tcPr>
          <w:p>
            <w:pPr>
              <w:spacing w:after="0"/>
              <w:rPr>
                <w:sz w:val="3"/>
                <w:szCs w:val="3"/>
                <w:color w:val="auto"/>
              </w:rPr>
            </w:pPr>
          </w:p>
        </w:tc>
      </w:tr>
      <w:tr>
        <w:trPr>
          <w:trHeight w:val="236"/>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Rapport. </w:t>
            </w:r>
            <w:r>
              <w:rPr>
                <w:rFonts w:ascii="Arial" w:cs="Arial" w:eastAsia="Arial" w:hAnsi="Arial"/>
                <w:sz w:val="16"/>
                <w:szCs w:val="16"/>
                <w:color w:val="000000"/>
              </w:rPr>
              <w:t>Strong rapport with other members of the Board.</w:t>
            </w:r>
          </w:p>
        </w:tc>
        <w:tc>
          <w:tcPr>
            <w:tcW w:w="6300" w:type="dxa"/>
            <w:vAlign w:val="bottom"/>
          </w:tcPr>
          <w:p>
            <w:pPr>
              <w:ind w:left="300"/>
              <w:spacing w:after="0"/>
              <w:rPr>
                <w:sz w:val="20"/>
                <w:szCs w:val="20"/>
                <w:color w:val="auto"/>
              </w:rPr>
            </w:pPr>
            <w:r>
              <w:rPr>
                <w:rFonts w:ascii="Arial" w:cs="Arial" w:eastAsia="Arial" w:hAnsi="Arial"/>
                <w:sz w:val="16"/>
                <w:szCs w:val="16"/>
                <w:color w:val="auto"/>
              </w:rPr>
              <w:t>Mr. Ayer is extremely well-regarded by his fellow Board members. He has been a</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4720" w:type="dxa"/>
            <w:vAlign w:val="bottom"/>
            <w:tcBorders>
              <w:right w:val="single" w:sz="8" w:color="D7282F"/>
            </w:tcBorders>
          </w:tcPr>
          <w:p>
            <w:pPr>
              <w:spacing w:after="0"/>
              <w:rPr>
                <w:sz w:val="16"/>
                <w:szCs w:val="16"/>
                <w:color w:val="auto"/>
              </w:rPr>
            </w:pPr>
          </w:p>
        </w:tc>
        <w:tc>
          <w:tcPr>
            <w:tcW w:w="6520" w:type="dxa"/>
            <w:vAlign w:val="bottom"/>
            <w:gridSpan w:val="3"/>
          </w:tcPr>
          <w:p>
            <w:pPr>
              <w:ind w:left="300"/>
              <w:spacing w:after="0"/>
              <w:rPr>
                <w:sz w:val="20"/>
                <w:szCs w:val="20"/>
                <w:color w:val="auto"/>
              </w:rPr>
            </w:pPr>
            <w:r>
              <w:rPr>
                <w:rFonts w:ascii="Arial" w:cs="Arial" w:eastAsia="Arial" w:hAnsi="Arial"/>
                <w:sz w:val="16"/>
                <w:szCs w:val="16"/>
                <w:color w:val="auto"/>
              </w:rPr>
              <w:t>Board member for nine years, and has served on the MDCC and CGRC since 2014,</w:t>
            </w:r>
          </w:p>
        </w:tc>
      </w:tr>
      <w:tr>
        <w:trPr>
          <w:trHeight w:val="189"/>
        </w:trPr>
        <w:tc>
          <w:tcPr>
            <w:tcW w:w="4720" w:type="dxa"/>
            <w:vAlign w:val="bottom"/>
            <w:tcBorders>
              <w:right w:val="single" w:sz="8" w:color="D7282F"/>
            </w:tcBorders>
          </w:tcPr>
          <w:p>
            <w:pPr>
              <w:spacing w:after="0"/>
              <w:rPr>
                <w:sz w:val="16"/>
                <w:szCs w:val="16"/>
                <w:color w:val="auto"/>
              </w:rPr>
            </w:pPr>
          </w:p>
        </w:tc>
        <w:tc>
          <w:tcPr>
            <w:tcW w:w="6300" w:type="dxa"/>
            <w:vAlign w:val="bottom"/>
          </w:tcPr>
          <w:p>
            <w:pPr>
              <w:ind w:left="300"/>
              <w:spacing w:after="0"/>
              <w:rPr>
                <w:sz w:val="20"/>
                <w:szCs w:val="20"/>
                <w:color w:val="auto"/>
              </w:rPr>
            </w:pPr>
            <w:r>
              <w:rPr>
                <w:rFonts w:ascii="Arial" w:cs="Arial" w:eastAsia="Arial" w:hAnsi="Arial"/>
                <w:sz w:val="16"/>
                <w:szCs w:val="16"/>
                <w:color w:val="auto"/>
              </w:rPr>
              <w:t>and as CGRC Chair since 2022. He has developed a strong rapport with each</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4720" w:type="dxa"/>
            <w:vAlign w:val="bottom"/>
            <w:tcBorders>
              <w:right w:val="single" w:sz="8" w:color="D7282F"/>
            </w:tcBorders>
          </w:tcPr>
          <w:p>
            <w:pPr>
              <w:spacing w:after="0"/>
              <w:rPr>
                <w:sz w:val="18"/>
                <w:szCs w:val="18"/>
                <w:color w:val="auto"/>
              </w:rPr>
            </w:pPr>
          </w:p>
        </w:tc>
        <w:tc>
          <w:tcPr>
            <w:tcW w:w="6300" w:type="dxa"/>
            <w:vAlign w:val="bottom"/>
          </w:tcPr>
          <w:p>
            <w:pPr>
              <w:ind w:left="300"/>
              <w:spacing w:after="0"/>
              <w:rPr>
                <w:sz w:val="20"/>
                <w:szCs w:val="20"/>
                <w:color w:val="auto"/>
              </w:rPr>
            </w:pPr>
            <w:r>
              <w:rPr>
                <w:rFonts w:ascii="Arial" w:cs="Arial" w:eastAsia="Arial" w:hAnsi="Arial"/>
                <w:sz w:val="16"/>
                <w:szCs w:val="16"/>
                <w:color w:val="auto"/>
              </w:rPr>
              <w:t>director.</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
        </w:trPr>
        <w:tc>
          <w:tcPr>
            <w:tcW w:w="4720" w:type="dxa"/>
            <w:vAlign w:val="bottom"/>
            <w:tcBorders>
              <w:bottom w:val="single" w:sz="8" w:color="939598"/>
              <w:right w:val="single" w:sz="8" w:color="D7282F"/>
            </w:tcBorders>
          </w:tcPr>
          <w:p>
            <w:pPr>
              <w:spacing w:after="0"/>
              <w:rPr>
                <w:sz w:val="2"/>
                <w:szCs w:val="2"/>
                <w:color w:val="auto"/>
              </w:rPr>
            </w:pPr>
          </w:p>
        </w:tc>
        <w:tc>
          <w:tcPr>
            <w:tcW w:w="630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Integrity. </w:t>
            </w:r>
            <w:r>
              <w:rPr>
                <w:rFonts w:ascii="Arial" w:cs="Arial" w:eastAsia="Arial" w:hAnsi="Arial"/>
                <w:sz w:val="16"/>
                <w:szCs w:val="16"/>
                <w:color w:val="000000"/>
              </w:rPr>
              <w:t>High personal integrity and ethical character.</w:t>
            </w:r>
          </w:p>
        </w:tc>
        <w:tc>
          <w:tcPr>
            <w:tcW w:w="6300" w:type="dxa"/>
            <w:vAlign w:val="bottom"/>
          </w:tcPr>
          <w:p>
            <w:pPr>
              <w:ind w:left="300"/>
              <w:spacing w:after="0"/>
              <w:rPr>
                <w:sz w:val="20"/>
                <w:szCs w:val="20"/>
                <w:color w:val="auto"/>
              </w:rPr>
            </w:pPr>
            <w:r>
              <w:rPr>
                <w:rFonts w:ascii="Arial" w:cs="Arial" w:eastAsia="Arial" w:hAnsi="Arial"/>
                <w:sz w:val="16"/>
                <w:szCs w:val="16"/>
                <w:color w:val="auto"/>
              </w:rPr>
              <w:t>Mr. Ayer has conducted himself in accordance with the highest ethical standards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4720" w:type="dxa"/>
            <w:vAlign w:val="bottom"/>
            <w:tcBorders>
              <w:right w:val="single" w:sz="8" w:color="D7282F"/>
            </w:tcBorders>
          </w:tcPr>
          <w:p>
            <w:pPr>
              <w:spacing w:after="0"/>
              <w:rPr>
                <w:sz w:val="16"/>
                <w:szCs w:val="16"/>
                <w:color w:val="auto"/>
              </w:rPr>
            </w:pPr>
          </w:p>
        </w:tc>
        <w:tc>
          <w:tcPr>
            <w:tcW w:w="6300" w:type="dxa"/>
            <w:vAlign w:val="bottom"/>
          </w:tcPr>
          <w:p>
            <w:pPr>
              <w:ind w:left="300"/>
              <w:spacing w:after="0"/>
              <w:rPr>
                <w:sz w:val="20"/>
                <w:szCs w:val="20"/>
                <w:color w:val="auto"/>
              </w:rPr>
            </w:pPr>
            <w:r>
              <w:rPr>
                <w:rFonts w:ascii="Arial" w:cs="Arial" w:eastAsia="Arial" w:hAnsi="Arial"/>
                <w:sz w:val="16"/>
                <w:szCs w:val="16"/>
                <w:color w:val="auto"/>
              </w:rPr>
              <w:t>throughout his career and as a Honeywell Board member. As CGRC Chair, he has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4720" w:type="dxa"/>
            <w:vAlign w:val="bottom"/>
            <w:tcBorders>
              <w:right w:val="single" w:sz="8" w:color="D7282F"/>
            </w:tcBorders>
          </w:tcPr>
          <w:p>
            <w:pPr>
              <w:spacing w:after="0"/>
              <w:rPr>
                <w:sz w:val="16"/>
                <w:szCs w:val="16"/>
                <w:color w:val="auto"/>
              </w:rPr>
            </w:pPr>
          </w:p>
        </w:tc>
        <w:tc>
          <w:tcPr>
            <w:tcW w:w="6300" w:type="dxa"/>
            <w:vAlign w:val="bottom"/>
          </w:tcPr>
          <w:p>
            <w:pPr>
              <w:ind w:left="300"/>
              <w:spacing w:after="0"/>
              <w:rPr>
                <w:sz w:val="20"/>
                <w:szCs w:val="20"/>
                <w:color w:val="auto"/>
              </w:rPr>
            </w:pPr>
            <w:r>
              <w:rPr>
                <w:rFonts w:ascii="Arial" w:cs="Arial" w:eastAsia="Arial" w:hAnsi="Arial"/>
                <w:sz w:val="16"/>
                <w:szCs w:val="16"/>
                <w:color w:val="auto"/>
              </w:rPr>
              <w:t>been a key enabler of a culture of integrity and ethics at Honeywell by ensuring the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4720" w:type="dxa"/>
            <w:vAlign w:val="bottom"/>
            <w:tcBorders>
              <w:right w:val="single" w:sz="8" w:color="D7282F"/>
            </w:tcBorders>
          </w:tcPr>
          <w:p>
            <w:pPr>
              <w:spacing w:after="0"/>
              <w:rPr>
                <w:sz w:val="18"/>
                <w:szCs w:val="18"/>
                <w:color w:val="auto"/>
              </w:rPr>
            </w:pPr>
          </w:p>
        </w:tc>
        <w:tc>
          <w:tcPr>
            <w:tcW w:w="6300" w:type="dxa"/>
            <w:vAlign w:val="bottom"/>
          </w:tcPr>
          <w:p>
            <w:pPr>
              <w:ind w:left="300"/>
              <w:spacing w:after="0"/>
              <w:rPr>
                <w:sz w:val="20"/>
                <w:szCs w:val="20"/>
                <w:color w:val="auto"/>
              </w:rPr>
            </w:pPr>
            <w:r>
              <w:rPr>
                <w:rFonts w:ascii="Arial" w:cs="Arial" w:eastAsia="Arial" w:hAnsi="Arial"/>
                <w:sz w:val="16"/>
                <w:szCs w:val="16"/>
                <w:color w:val="auto"/>
              </w:rPr>
              <w:t>appropriate tone at the top.</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
        </w:trPr>
        <w:tc>
          <w:tcPr>
            <w:tcW w:w="4720" w:type="dxa"/>
            <w:vAlign w:val="bottom"/>
            <w:tcBorders>
              <w:bottom w:val="single" w:sz="8" w:color="939598"/>
              <w:right w:val="single" w:sz="8" w:color="D7282F"/>
            </w:tcBorders>
          </w:tcPr>
          <w:p>
            <w:pPr>
              <w:spacing w:after="0"/>
              <w:rPr>
                <w:sz w:val="3"/>
                <w:szCs w:val="3"/>
                <w:color w:val="auto"/>
              </w:rPr>
            </w:pPr>
          </w:p>
        </w:tc>
        <w:tc>
          <w:tcPr>
            <w:tcW w:w="6500" w:type="dxa"/>
            <w:vAlign w:val="bottom"/>
            <w:tcBorders>
              <w:bottom w:val="single" w:sz="8" w:color="939598"/>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210"/>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 xml:space="preserve">Skillset. </w:t>
            </w:r>
            <w:r>
              <w:rPr>
                <w:rFonts w:ascii="Arial" w:cs="Arial" w:eastAsia="Arial" w:hAnsi="Arial"/>
                <w:sz w:val="16"/>
                <w:szCs w:val="16"/>
                <w:color w:val="000000"/>
              </w:rPr>
              <w:t>Skills and experience broadly in line with Honeywell’s</w:t>
            </w:r>
          </w:p>
        </w:tc>
        <w:tc>
          <w:tcPr>
            <w:tcW w:w="6520" w:type="dxa"/>
            <w:vAlign w:val="bottom"/>
            <w:gridSpan w:val="3"/>
          </w:tcPr>
          <w:p>
            <w:pPr>
              <w:ind w:left="300"/>
              <w:spacing w:after="0"/>
              <w:rPr>
                <w:sz w:val="20"/>
                <w:szCs w:val="20"/>
                <w:color w:val="auto"/>
              </w:rPr>
            </w:pPr>
            <w:r>
              <w:rPr>
                <w:rFonts w:ascii="Arial" w:cs="Arial" w:eastAsia="Arial" w:hAnsi="Arial"/>
                <w:sz w:val="16"/>
                <w:szCs w:val="16"/>
                <w:color w:val="auto"/>
              </w:rPr>
              <w:t>Mr. Ayer's skills and experiences are well-aligned with the strategic skills and the core</w:t>
            </w:r>
          </w:p>
        </w:tc>
      </w:tr>
      <w:tr>
        <w:trPr>
          <w:trHeight w:val="215"/>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corporate strategy.</w:t>
            </w:r>
          </w:p>
        </w:tc>
        <w:tc>
          <w:tcPr>
            <w:tcW w:w="6300" w:type="dxa"/>
            <w:vAlign w:val="bottom"/>
          </w:tcPr>
          <w:p>
            <w:pPr>
              <w:ind w:left="300"/>
              <w:spacing w:after="0"/>
              <w:rPr>
                <w:sz w:val="20"/>
                <w:szCs w:val="20"/>
                <w:color w:val="auto"/>
              </w:rPr>
            </w:pPr>
            <w:r>
              <w:rPr>
                <w:rFonts w:ascii="Arial" w:cs="Arial" w:eastAsia="Arial" w:hAnsi="Arial"/>
                <w:sz w:val="16"/>
                <w:szCs w:val="16"/>
                <w:color w:val="auto"/>
              </w:rPr>
              <w:t>competencies that are critical for Honeywell Board members. He has extensive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4720" w:type="dxa"/>
            <w:vAlign w:val="bottom"/>
            <w:tcBorders>
              <w:right w:val="single" w:sz="8" w:color="D7282F"/>
            </w:tcBorders>
          </w:tcPr>
          <w:p>
            <w:pPr>
              <w:spacing w:after="0"/>
              <w:rPr>
                <w:sz w:val="16"/>
                <w:szCs w:val="16"/>
                <w:color w:val="auto"/>
              </w:rPr>
            </w:pPr>
          </w:p>
        </w:tc>
        <w:tc>
          <w:tcPr>
            <w:tcW w:w="6520" w:type="dxa"/>
            <w:vAlign w:val="bottom"/>
            <w:gridSpan w:val="3"/>
          </w:tcPr>
          <w:p>
            <w:pPr>
              <w:ind w:left="300"/>
              <w:spacing w:after="0"/>
              <w:rPr>
                <w:sz w:val="20"/>
                <w:szCs w:val="20"/>
                <w:color w:val="auto"/>
              </w:rPr>
            </w:pPr>
            <w:r>
              <w:rPr>
                <w:rFonts w:ascii="Arial" w:cs="Arial" w:eastAsia="Arial" w:hAnsi="Arial"/>
                <w:sz w:val="16"/>
                <w:szCs w:val="16"/>
                <w:color w:val="auto"/>
              </w:rPr>
              <w:t>aerospace industry knowledge as well as sales, marketing, and operations expertise,</w:t>
            </w:r>
          </w:p>
        </w:tc>
      </w:tr>
      <w:tr>
        <w:trPr>
          <w:trHeight w:val="215"/>
        </w:trPr>
        <w:tc>
          <w:tcPr>
            <w:tcW w:w="4720" w:type="dxa"/>
            <w:vAlign w:val="bottom"/>
            <w:tcBorders>
              <w:right w:val="single" w:sz="8" w:color="D7282F"/>
            </w:tcBorders>
          </w:tcPr>
          <w:p>
            <w:pPr>
              <w:spacing w:after="0"/>
              <w:rPr>
                <w:sz w:val="18"/>
                <w:szCs w:val="18"/>
                <w:color w:val="auto"/>
              </w:rPr>
            </w:pPr>
          </w:p>
        </w:tc>
        <w:tc>
          <w:tcPr>
            <w:tcW w:w="6520" w:type="dxa"/>
            <w:vAlign w:val="bottom"/>
            <w:gridSpan w:val="3"/>
          </w:tcPr>
          <w:p>
            <w:pPr>
              <w:ind w:left="300"/>
              <w:spacing w:after="0"/>
              <w:rPr>
                <w:sz w:val="20"/>
                <w:szCs w:val="20"/>
                <w:color w:val="auto"/>
              </w:rPr>
            </w:pPr>
            <w:r>
              <w:rPr>
                <w:rFonts w:ascii="Arial" w:cs="Arial" w:eastAsia="Arial" w:hAnsi="Arial"/>
                <w:sz w:val="16"/>
                <w:szCs w:val="16"/>
                <w:color w:val="auto"/>
              </w:rPr>
              <w:t>aligned with Honeywell's strategic end-markets where innovation is a critical enabler.</w:t>
            </w:r>
          </w:p>
        </w:tc>
      </w:tr>
      <w:tr>
        <w:trPr>
          <w:trHeight w:val="43"/>
        </w:trPr>
        <w:tc>
          <w:tcPr>
            <w:tcW w:w="4720" w:type="dxa"/>
            <w:vAlign w:val="bottom"/>
            <w:tcBorders>
              <w:bottom w:val="single" w:sz="8" w:color="939598"/>
              <w:right w:val="single" w:sz="8" w:color="D7282F"/>
            </w:tcBorders>
          </w:tcPr>
          <w:p>
            <w:pPr>
              <w:spacing w:after="0"/>
              <w:rPr>
                <w:sz w:val="3"/>
                <w:szCs w:val="3"/>
                <w:color w:val="auto"/>
              </w:rPr>
            </w:pPr>
          </w:p>
        </w:tc>
        <w:tc>
          <w:tcPr>
            <w:tcW w:w="6300" w:type="dxa"/>
            <w:vAlign w:val="bottom"/>
            <w:tcBorders>
              <w:bottom w:val="single" w:sz="8" w:color="939598"/>
            </w:tcBorders>
          </w:tcPr>
          <w:p>
            <w:pPr>
              <w:spacing w:after="0"/>
              <w:rPr>
                <w:sz w:val="3"/>
                <w:szCs w:val="3"/>
                <w:color w:val="auto"/>
              </w:rPr>
            </w:pPr>
          </w:p>
        </w:tc>
        <w:tc>
          <w:tcPr>
            <w:tcW w:w="200" w:type="dxa"/>
            <w:vAlign w:val="bottom"/>
            <w:tcBorders>
              <w:bottom w:val="single" w:sz="8" w:color="939598"/>
            </w:tcBorders>
          </w:tcPr>
          <w:p>
            <w:pPr>
              <w:spacing w:after="0"/>
              <w:rPr>
                <w:sz w:val="3"/>
                <w:szCs w:val="3"/>
                <w:color w:val="auto"/>
              </w:rPr>
            </w:pPr>
          </w:p>
        </w:tc>
        <w:tc>
          <w:tcPr>
            <w:tcW w:w="20" w:type="dxa"/>
            <w:vAlign w:val="bottom"/>
          </w:tcPr>
          <w:p>
            <w:pPr>
              <w:spacing w:after="0"/>
              <w:rPr>
                <w:sz w:val="3"/>
                <w:szCs w:val="3"/>
                <w:color w:val="auto"/>
              </w:rPr>
            </w:pPr>
          </w:p>
        </w:tc>
      </w:tr>
      <w:tr>
        <w:trPr>
          <w:trHeight w:val="209"/>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EE2724"/>
              </w:rPr>
              <w:t xml:space="preserve">Independence. </w:t>
            </w:r>
            <w:r>
              <w:rPr>
                <w:rFonts w:ascii="Arial" w:cs="Arial" w:eastAsia="Arial" w:hAnsi="Arial"/>
                <w:sz w:val="16"/>
                <w:szCs w:val="16"/>
                <w:color w:val="000000"/>
              </w:rPr>
              <w:t>Qualifies as independent, in accordance with</w:t>
            </w:r>
          </w:p>
        </w:tc>
        <w:tc>
          <w:tcPr>
            <w:tcW w:w="6300" w:type="dxa"/>
            <w:vAlign w:val="bottom"/>
          </w:tcPr>
          <w:p>
            <w:pPr>
              <w:ind w:left="300"/>
              <w:spacing w:after="0"/>
              <w:rPr>
                <w:sz w:val="20"/>
                <w:szCs w:val="20"/>
                <w:color w:val="auto"/>
              </w:rPr>
            </w:pPr>
            <w:r>
              <w:rPr>
                <w:rFonts w:ascii="Arial" w:cs="Arial" w:eastAsia="Arial" w:hAnsi="Arial"/>
                <w:sz w:val="16"/>
                <w:szCs w:val="16"/>
                <w:color w:val="auto"/>
              </w:rPr>
              <w:t>Mr. Ayer qualifies as an independent director in accordance with SEC, Nasdaq, and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72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applicable SEC requirements and relevant listing standards.</w:t>
            </w:r>
          </w:p>
        </w:tc>
        <w:tc>
          <w:tcPr>
            <w:tcW w:w="6300" w:type="dxa"/>
            <w:vAlign w:val="bottom"/>
          </w:tcPr>
          <w:p>
            <w:pPr>
              <w:ind w:left="300"/>
              <w:spacing w:after="0"/>
              <w:rPr>
                <w:sz w:val="20"/>
                <w:szCs w:val="20"/>
                <w:color w:val="auto"/>
              </w:rPr>
            </w:pPr>
            <w:r>
              <w:rPr>
                <w:rFonts w:ascii="Arial" w:cs="Arial" w:eastAsia="Arial" w:hAnsi="Arial"/>
                <w:sz w:val="16"/>
                <w:szCs w:val="16"/>
                <w:color w:val="auto"/>
              </w:rPr>
              <w:t>Honeywell's corporate governance standards.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0"/>
        </w:trPr>
        <w:tc>
          <w:tcPr>
            <w:tcW w:w="4720" w:type="dxa"/>
            <w:vAlign w:val="bottom"/>
            <w:tcBorders>
              <w:bottom w:val="single" w:sz="8" w:color="D7282F"/>
              <w:right w:val="single" w:sz="8" w:color="D7282F"/>
            </w:tcBorders>
          </w:tcPr>
          <w:p>
            <w:pPr>
              <w:spacing w:after="0"/>
              <w:rPr>
                <w:sz w:val="9"/>
                <w:szCs w:val="9"/>
                <w:color w:val="auto"/>
              </w:rPr>
            </w:pPr>
          </w:p>
        </w:tc>
        <w:tc>
          <w:tcPr>
            <w:tcW w:w="6300" w:type="dxa"/>
            <w:vAlign w:val="bottom"/>
            <w:tcBorders>
              <w:bottom w:val="single" w:sz="8" w:color="D7282F"/>
            </w:tcBorders>
          </w:tcPr>
          <w:p>
            <w:pPr>
              <w:spacing w:after="0"/>
              <w:rPr>
                <w:sz w:val="9"/>
                <w:szCs w:val="9"/>
                <w:color w:val="auto"/>
              </w:rPr>
            </w:pPr>
          </w:p>
        </w:tc>
        <w:tc>
          <w:tcPr>
            <w:tcW w:w="200" w:type="dxa"/>
            <w:vAlign w:val="bottom"/>
            <w:tcBorders>
              <w:bottom w:val="single" w:sz="8" w:color="D7282F"/>
            </w:tcBorders>
          </w:tcPr>
          <w:p>
            <w:pPr>
              <w:spacing w:after="0"/>
              <w:rPr>
                <w:sz w:val="9"/>
                <w:szCs w:val="9"/>
                <w:color w:val="auto"/>
              </w:rPr>
            </w:pPr>
          </w:p>
        </w:tc>
        <w:tc>
          <w:tcPr>
            <w:tcW w:w="20" w:type="dxa"/>
            <w:vAlign w:val="bottom"/>
          </w:tcPr>
          <w:p>
            <w:pPr>
              <w:spacing w:after="0"/>
              <w:rPr>
                <w:sz w:val="9"/>
                <w:szCs w:val="9"/>
                <w:color w:val="auto"/>
              </w:rPr>
            </w:pPr>
          </w:p>
        </w:tc>
      </w:tr>
      <w:tr>
        <w:trPr>
          <w:trHeight w:val="586"/>
        </w:trPr>
        <w:tc>
          <w:tcPr>
            <w:tcW w:w="4720" w:type="dxa"/>
            <w:vAlign w:val="bottom"/>
          </w:tcPr>
          <w:p>
            <w:pPr>
              <w:spacing w:after="0"/>
              <w:rPr>
                <w:sz w:val="24"/>
                <w:szCs w:val="24"/>
                <w:color w:val="auto"/>
              </w:rPr>
            </w:pPr>
          </w:p>
        </w:tc>
        <w:tc>
          <w:tcPr>
            <w:tcW w:w="6300" w:type="dxa"/>
            <w:vAlign w:val="bottom"/>
          </w:tcPr>
          <w:p>
            <w:pPr>
              <w:ind w:left="2120"/>
              <w:spacing w:after="0"/>
              <w:rPr>
                <w:sz w:val="20"/>
                <w:szCs w:val="20"/>
                <w:color w:val="auto"/>
              </w:rPr>
            </w:pPr>
            <w:r>
              <w:rPr>
                <w:rFonts w:ascii="Arial" w:cs="Arial" w:eastAsia="Arial" w:hAnsi="Arial"/>
                <w:sz w:val="13"/>
                <w:szCs w:val="13"/>
                <w:b w:val="1"/>
                <w:bCs w:val="1"/>
                <w:color w:val="6D6E71"/>
              </w:rPr>
              <w:t>2024 NOTICE AND PROXY STATEMENT   |</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89"/>
              </w:rPr>
              <w:t>31</w:t>
            </w:r>
          </w:p>
        </w:tc>
        <w:tc>
          <w:tcPr>
            <w:tcW w:w="20" w:type="dxa"/>
            <w:vAlign w:val="bottom"/>
          </w:tcPr>
          <w:p>
            <w:pPr>
              <w:spacing w:after="0"/>
              <w:rPr>
                <w:sz w:val="24"/>
                <w:szCs w:val="24"/>
                <w:color w:val="auto"/>
              </w:rPr>
            </w:pPr>
          </w:p>
        </w:tc>
      </w:tr>
      <w:tr>
        <w:trPr>
          <w:trHeight w:val="360"/>
        </w:trPr>
        <w:tc>
          <w:tcPr>
            <w:tcW w:w="4720" w:type="dxa"/>
            <w:vAlign w:val="bottom"/>
            <w:tcBorders>
              <w:bottom w:val="single" w:sz="8" w:color="9A9A9A"/>
            </w:tcBorders>
          </w:tcPr>
          <w:p>
            <w:pPr>
              <w:spacing w:after="0"/>
              <w:rPr>
                <w:sz w:val="24"/>
                <w:szCs w:val="24"/>
                <w:color w:val="auto"/>
              </w:rPr>
            </w:pPr>
          </w:p>
        </w:tc>
        <w:tc>
          <w:tcPr>
            <w:tcW w:w="6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-3891280</wp:posOffset>
            </wp:positionV>
            <wp:extent cx="8890" cy="1714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17145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-3634105</wp:posOffset>
            </wp:positionV>
            <wp:extent cx="85725" cy="685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-3196590</wp:posOffset>
            </wp:positionV>
            <wp:extent cx="85725" cy="685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-2630805</wp:posOffset>
            </wp:positionV>
            <wp:extent cx="85725" cy="685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-2073910</wp:posOffset>
            </wp:positionV>
            <wp:extent cx="85725" cy="685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-1508125</wp:posOffset>
            </wp:positionV>
            <wp:extent cx="85725" cy="685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-942340</wp:posOffset>
            </wp:positionV>
            <wp:extent cx="85725" cy="6858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6858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DIRECTOR INDEPENDENCE</w:t>
      </w:r>
    </w:p>
    <w:p>
      <w:pPr>
        <w:spacing w:after="0" w:line="127" w:lineRule="exact"/>
        <w:rPr>
          <w:sz w:val="20"/>
          <w:szCs w:val="20"/>
          <w:color w:val="auto"/>
        </w:rPr>
      </w:pPr>
    </w:p>
    <w:p>
      <w:pPr>
        <w:ind w:right="860"/>
        <w:spacing w:after="0" w:line="304" w:lineRule="auto"/>
        <w:rPr>
          <w:sz w:val="20"/>
          <w:szCs w:val="20"/>
          <w:color w:val="auto"/>
        </w:rPr>
      </w:pPr>
      <w:r>
        <w:rPr>
          <w:rFonts w:ascii="Arial" w:cs="Arial" w:eastAsia="Arial" w:hAnsi="Arial"/>
          <w:sz w:val="16"/>
          <w:szCs w:val="16"/>
          <w:color w:val="auto"/>
        </w:rPr>
        <w:t>Honeywell’s Corporate Governance Guidelines state, “the Board intends that, at all times, a substantial majority of its directors will be considered independent under relevant Nasdaq and SEC guidelines.”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AFFIRMATIVE DETERMINATION OF INDEPENDENCE</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To fulfill this intent, the Board regularly reviews the independence of each non-employee director to make an affirmative determination of independence. Specifically, the CGRC conducts an annual review of the independence of the directors and reports its findings to the full Board. This year, based on the report and recommendation of the CGRC, the Board has determined that each of the non-employee director nominees standing for election to the Board at the Annual Meeting — Messrs. Angove, Ayer, Burke, Davis, Lamach, and Watson and Mses. Flint, Lee, Lieblein, and Washington — satisfies the independence criteria in the applicable Nasdaq listing standards and SEC rules (including, where applicable, the enhanced criteria with respect to members of the Audit Committee and the MDCC). Each Board committee member qualifies as a non-employee director within the meaning of Rule 16b-3 under the Securities Exchange Act of 1934, as amended (the Exchange Act). Members of the Audit Committee and MDCC currently meet and, during the year ended December 31, 2023, met the additional independence requirements of Nasdaq applicable to audit committee and compensation committee members.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CRITERIA FOR DIRECTOR INDEPENDENCE</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For a director to be considered independent, the Board must determine that the director does not have any relationships with Honeywell that would interfere with the exercise of independent judgment in carrying out the responsibilities of a director. The Board considered all relevant facts and circumstances in making its determinations, including the following:</w:t>
      </w:r>
    </w:p>
    <w:p>
      <w:pPr>
        <w:spacing w:after="0" w:line="56" w:lineRule="exact"/>
        <w:rPr>
          <w:sz w:val="20"/>
          <w:szCs w:val="20"/>
          <w:color w:val="auto"/>
        </w:rPr>
      </w:pPr>
    </w:p>
    <w:p>
      <w:pPr>
        <w:ind w:left="200" w:right="160" w:hanging="192"/>
        <w:spacing w:after="0" w:line="299"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receives any direct compensation from Honeywell other than under the director compensation program described in this Proxy Statement.</w:t>
      </w:r>
    </w:p>
    <w:p>
      <w:pPr>
        <w:ind w:left="200" w:hanging="192"/>
        <w:spacing w:after="0" w:line="304"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immediate family member (within the meaning of the Nasdaq listing standards) of any non-employee director or nominee receives direct compensation from Honeywell other than compensation received for service as a non-executive employee.</w:t>
      </w:r>
    </w:p>
    <w:p>
      <w:pPr>
        <w:spacing w:after="0" w:line="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affiliated with Honeywell or any of its subsidiaries or affiliates.</w:t>
      </w:r>
    </w:p>
    <w:p>
      <w:pPr>
        <w:spacing w:after="0" w:line="72" w:lineRule="exact"/>
        <w:rPr>
          <w:rFonts w:ascii="Arial" w:cs="Arial" w:eastAsia="Arial" w:hAnsi="Arial"/>
          <w:sz w:val="16"/>
          <w:szCs w:val="16"/>
          <w:b w:val="1"/>
          <w:bCs w:val="1"/>
          <w:color w:val="D7282F"/>
        </w:rPr>
      </w:pPr>
    </w:p>
    <w:p>
      <w:pPr>
        <w:ind w:left="200" w:right="40" w:hanging="192"/>
        <w:spacing w:after="0" w:line="275"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an employee of Honeywell’s independent accountants, and no non-employee director or nominee (or any of their respective immediate family members) is a current partner of Honeywell’s independent accountants, or, within the last three years, was a partner or employee of Honeywell’s independent accountants and personally worked on Honeywell’s audit.</w:t>
      </w:r>
    </w:p>
    <w:p>
      <w:pPr>
        <w:spacing w:after="0" w:line="29" w:lineRule="exact"/>
        <w:rPr>
          <w:rFonts w:ascii="Arial" w:cs="Arial" w:eastAsia="Arial" w:hAnsi="Arial"/>
          <w:sz w:val="16"/>
          <w:szCs w:val="16"/>
          <w:b w:val="1"/>
          <w:bCs w:val="1"/>
          <w:color w:val="D7282F"/>
        </w:rPr>
      </w:pPr>
    </w:p>
    <w:p>
      <w:pPr>
        <w:ind w:left="200" w:right="360" w:hanging="192"/>
        <w:spacing w:after="0" w:line="286"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 member, partner, or principal of any law firm, accounting firm, or investment banking firm that receives any consulting, advisory, or other fees from Honeywell.</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has an immediate family member who is, or was during the past three years, an executive officer of Honeywell.</w:t>
      </w:r>
    </w:p>
    <w:p>
      <w:pPr>
        <w:spacing w:after="0" w:line="86" w:lineRule="exact"/>
        <w:rPr>
          <w:rFonts w:ascii="Arial" w:cs="Arial" w:eastAsia="Arial" w:hAnsi="Arial"/>
          <w:sz w:val="16"/>
          <w:szCs w:val="16"/>
          <w:b w:val="1"/>
          <w:bCs w:val="1"/>
          <w:color w:val="D7282F"/>
        </w:rPr>
      </w:pPr>
    </w:p>
    <w:p>
      <w:pPr>
        <w:ind w:left="200" w:right="60" w:hanging="192"/>
        <w:spacing w:after="0" w:line="286"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Honeywell executive officer is on the compensation committee of the board of directors of a company that employs any of our non-employee directors or nominees (or any of their respective immediate family members) as an executive officer.</w:t>
      </w:r>
    </w:p>
    <w:p>
      <w:pPr>
        <w:spacing w:after="0" w:line="20" w:lineRule="exact"/>
        <w:rPr>
          <w:rFonts w:ascii="Arial" w:cs="Arial" w:eastAsia="Arial" w:hAnsi="Arial"/>
          <w:sz w:val="16"/>
          <w:szCs w:val="16"/>
          <w:b w:val="1"/>
          <w:bCs w:val="1"/>
          <w:color w:val="D7282F"/>
        </w:rPr>
      </w:pPr>
    </w:p>
    <w:p>
      <w:pPr>
        <w:ind w:left="200" w:right="160" w:hanging="192"/>
        <w:spacing w:after="0" w:line="286"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(or any of their respective immediate family members) is indebted to Honeywell, nor is Honeywell indebted to any non-employee director or nominee (or any of their respective immediate family members).</w:t>
      </w:r>
    </w:p>
    <w:p>
      <w:pPr>
        <w:spacing w:after="0" w:line="20" w:lineRule="exact"/>
        <w:rPr>
          <w:rFonts w:ascii="Arial" w:cs="Arial" w:eastAsia="Arial" w:hAnsi="Arial"/>
          <w:sz w:val="16"/>
          <w:szCs w:val="16"/>
          <w:b w:val="1"/>
          <w:bCs w:val="1"/>
          <w:color w:val="D7282F"/>
        </w:rPr>
      </w:pPr>
    </w:p>
    <w:p>
      <w:pPr>
        <w:ind w:left="200" w:right="160" w:hanging="192"/>
        <w:spacing w:after="0" w:line="286"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No non-employee director or nominee is an executive officer of a charitable or other tax-exempt organization that received contributions from Honeywell outside our director charitable match program.</w:t>
      </w:r>
    </w:p>
    <w:p>
      <w:pPr>
        <w:spacing w:after="0" w:line="20" w:lineRule="exact"/>
        <w:rPr>
          <w:rFonts w:ascii="Arial" w:cs="Arial" w:eastAsia="Arial" w:hAnsi="Arial"/>
          <w:sz w:val="16"/>
          <w:szCs w:val="16"/>
          <w:b w:val="1"/>
          <w:bCs w:val="1"/>
          <w:color w:val="D7282F"/>
        </w:rPr>
      </w:pPr>
    </w:p>
    <w:p>
      <w:pPr>
        <w:ind w:left="200" w:right="160" w:hanging="192"/>
        <w:spacing w:after="0" w:line="265" w:lineRule="auto"/>
        <w:tabs>
          <w:tab w:leader="none" w:pos="197" w:val="left"/>
        </w:tabs>
        <w:numPr>
          <w:ilvl w:val="0"/>
          <w:numId w:val="84"/>
        </w:numPr>
        <w:rPr>
          <w:rFonts w:ascii="Arial" w:cs="Arial" w:eastAsia="Arial" w:hAnsi="Arial"/>
          <w:sz w:val="16"/>
          <w:szCs w:val="16"/>
          <w:b w:val="1"/>
          <w:bCs w:val="1"/>
          <w:color w:val="D7282F"/>
        </w:rPr>
      </w:pPr>
      <w:r>
        <w:rPr>
          <w:rFonts w:ascii="Arial" w:cs="Arial" w:eastAsia="Arial" w:hAnsi="Arial"/>
          <w:sz w:val="16"/>
          <w:szCs w:val="16"/>
          <w:color w:val="auto"/>
        </w:rPr>
        <w:t>Honeywell has commercial relationships (purchase and/or sale of products and services) with companies at which our directors serve or have served as officers within the past three years (Mr. Angove — Blue Yonder Group, Inc., Ms. Flint — Greater Toronto Airports Authority, Mr. Lamach — Trane Technologies plc and Ingersoll Rand Inc., Ms. Lee — Cornerstone Building Brands, Inc., and Dupont de Nemours, Inc., and Mr. Watson — John Wood Group PLC). In each case:</w:t>
      </w:r>
    </w:p>
    <w:p>
      <w:pPr>
        <w:spacing w:after="0" w:line="78" w:lineRule="exact"/>
        <w:rPr>
          <w:rFonts w:ascii="Arial" w:cs="Arial" w:eastAsia="Arial" w:hAnsi="Arial"/>
          <w:sz w:val="16"/>
          <w:szCs w:val="16"/>
          <w:b w:val="1"/>
          <w:bCs w:val="1"/>
          <w:color w:val="D7282F"/>
        </w:rPr>
      </w:pPr>
    </w:p>
    <w:p>
      <w:pPr>
        <w:ind w:left="400" w:right="60" w:hanging="198"/>
        <w:spacing w:after="0" w:line="286" w:lineRule="auto"/>
        <w:tabs>
          <w:tab w:leader="none" w:pos="397" w:val="left"/>
        </w:tabs>
        <w:numPr>
          <w:ilvl w:val="1"/>
          <w:numId w:val="84"/>
        </w:numPr>
        <w:rPr>
          <w:rFonts w:ascii="Arial" w:cs="Arial" w:eastAsia="Arial" w:hAnsi="Arial"/>
          <w:sz w:val="16"/>
          <w:szCs w:val="16"/>
          <w:b w:val="1"/>
          <w:bCs w:val="1"/>
          <w:color w:val="D7282F"/>
        </w:rPr>
      </w:pPr>
      <w:r>
        <w:rPr>
          <w:rFonts w:ascii="Arial" w:cs="Arial" w:eastAsia="Arial" w:hAnsi="Arial"/>
          <w:sz w:val="16"/>
          <w:szCs w:val="16"/>
          <w:color w:val="auto"/>
        </w:rPr>
        <w:t>The relevant products and services were provided on terms and conditions determined on an arm’s-length basis and consistent with those provided by or to similarly situated customers and suppliers;</w:t>
      </w:r>
    </w:p>
    <w:p>
      <w:pPr>
        <w:spacing w:after="0" w:line="20" w:lineRule="exact"/>
        <w:rPr>
          <w:rFonts w:ascii="Arial" w:cs="Arial" w:eastAsia="Arial" w:hAnsi="Arial"/>
          <w:sz w:val="16"/>
          <w:szCs w:val="16"/>
          <w:b w:val="1"/>
          <w:bCs w:val="1"/>
          <w:color w:val="D7282F"/>
        </w:rPr>
      </w:pPr>
    </w:p>
    <w:p>
      <w:pPr>
        <w:ind w:left="400" w:hanging="198"/>
        <w:spacing w:after="0"/>
        <w:tabs>
          <w:tab w:leader="none" w:pos="400" w:val="left"/>
        </w:tabs>
        <w:numPr>
          <w:ilvl w:val="1"/>
          <w:numId w:val="84"/>
        </w:numPr>
        <w:rPr>
          <w:rFonts w:ascii="Arial" w:cs="Arial" w:eastAsia="Arial" w:hAnsi="Arial"/>
          <w:sz w:val="16"/>
          <w:szCs w:val="16"/>
          <w:b w:val="1"/>
          <w:bCs w:val="1"/>
          <w:color w:val="D7282F"/>
        </w:rPr>
      </w:pPr>
      <w:r>
        <w:rPr>
          <w:rFonts w:ascii="Arial" w:cs="Arial" w:eastAsia="Arial" w:hAnsi="Arial"/>
          <w:sz w:val="16"/>
          <w:szCs w:val="16"/>
          <w:color w:val="auto"/>
        </w:rPr>
        <w:t>The relevant director did not initiate or negotiate the relevant transaction, each of which was in the ordinary course of business of both companies; and</w:t>
      </w:r>
    </w:p>
    <w:p>
      <w:pPr>
        <w:spacing w:after="0" w:line="72" w:lineRule="exact"/>
        <w:rPr>
          <w:rFonts w:ascii="Arial" w:cs="Arial" w:eastAsia="Arial" w:hAnsi="Arial"/>
          <w:sz w:val="16"/>
          <w:szCs w:val="16"/>
          <w:b w:val="1"/>
          <w:bCs w:val="1"/>
          <w:color w:val="D7282F"/>
        </w:rPr>
      </w:pPr>
    </w:p>
    <w:p>
      <w:pPr>
        <w:ind w:left="400" w:right="40" w:hanging="198"/>
        <w:spacing w:after="0" w:line="275" w:lineRule="auto"/>
        <w:tabs>
          <w:tab w:leader="none" w:pos="397" w:val="left"/>
        </w:tabs>
        <w:numPr>
          <w:ilvl w:val="1"/>
          <w:numId w:val="84"/>
        </w:numPr>
        <w:rPr>
          <w:rFonts w:ascii="Arial" w:cs="Arial" w:eastAsia="Arial" w:hAnsi="Arial"/>
          <w:sz w:val="16"/>
          <w:szCs w:val="16"/>
          <w:b w:val="1"/>
          <w:bCs w:val="1"/>
          <w:color w:val="D7282F"/>
        </w:rPr>
      </w:pPr>
      <w:r>
        <w:rPr>
          <w:rFonts w:ascii="Arial" w:cs="Arial" w:eastAsia="Arial" w:hAnsi="Arial"/>
          <w:sz w:val="16"/>
          <w:szCs w:val="16"/>
          <w:color w:val="auto"/>
        </w:rPr>
        <w:t>The combined amount of such purchases and sales was less than 1% of the consolidated gross sales of each of Honeywell and the other company in each of the last three completed fiscal years. This level is significantly below the requirements of the Nasdaq listing standards for director independence, which use a threshold of 5% of consolidated gross revenues and apply it to each of purchases and sales rather than the combination of the two.</w:t>
      </w:r>
    </w:p>
    <w:p>
      <w:pPr>
        <w:spacing w:after="0" w:line="372"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sz w:val="1"/>
          <w:szCs w:val="1"/>
          <w:color w:val="auto"/>
        </w:rPr>
        <w:drawing>
          <wp:inline distT="0" distB="0" distL="0" distR="0">
            <wp:extent cx="548640" cy="10287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 w:hanging="192"/>
        <w:spacing w:after="0" w:line="265" w:lineRule="auto"/>
        <w:tabs>
          <w:tab w:leader="none" w:pos="197" w:val="left"/>
        </w:tabs>
        <w:numPr>
          <w:ilvl w:val="0"/>
          <w:numId w:val="85"/>
        </w:numPr>
        <w:rPr>
          <w:rFonts w:ascii="Arial" w:cs="Arial" w:eastAsia="Arial" w:hAnsi="Arial"/>
          <w:sz w:val="16"/>
          <w:szCs w:val="16"/>
          <w:b w:val="1"/>
          <w:bCs w:val="1"/>
          <w:color w:val="D7282F"/>
        </w:rPr>
      </w:pPr>
      <w:r>
        <w:rPr>
          <w:rFonts w:ascii="Arial" w:cs="Arial" w:eastAsia="Arial" w:hAnsi="Arial"/>
          <w:sz w:val="16"/>
          <w:szCs w:val="16"/>
          <w:color w:val="auto"/>
        </w:rPr>
        <w:t>While a non-employee director’s or nominee’s service as an outside director of another company with which Honeywell does business would generally not be expected to raise independence issues, the Board also considered those relationships and confirmed the absence of any material commercial relationships with any such company. Specifically, those commercial relationships were in the ordinary course of business for Honeywell and the other companies involved and were on terms and conditions available to similarly situated customers and suppliers.</w:t>
      </w:r>
    </w:p>
    <w:p>
      <w:pPr>
        <w:spacing w:after="0" w:line="7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above information was derived from Honeywell’s books and records and responses to questionnaires completed by directors in connection with the preparation of this Proxy Statement.</w:t>
      </w:r>
    </w:p>
    <w:p>
      <w:pPr>
        <w:spacing w:after="0" w:line="23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PRACTICES AND PROCEDURES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AND COMMITTEE MEETINGS</w:t>
      </w:r>
    </w:p>
    <w:p>
      <w:pPr>
        <w:spacing w:after="0" w:line="128" w:lineRule="exact"/>
        <w:rPr>
          <w:sz w:val="20"/>
          <w:szCs w:val="20"/>
          <w:color w:val="auto"/>
        </w:rPr>
      </w:pPr>
    </w:p>
    <w:p>
      <w:pPr>
        <w:ind w:left="200" w:right="100" w:hanging="192"/>
        <w:spacing w:after="0" w:line="275" w:lineRule="auto"/>
        <w:tabs>
          <w:tab w:leader="none" w:pos="197" w:val="left"/>
        </w:tabs>
        <w:numPr>
          <w:ilvl w:val="0"/>
          <w:numId w:val="86"/>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Agenda. </w:t>
      </w:r>
      <w:r>
        <w:rPr>
          <w:rFonts w:ascii="Arial" w:cs="Arial" w:eastAsia="Arial" w:hAnsi="Arial"/>
          <w:sz w:val="16"/>
          <w:szCs w:val="16"/>
          <w:color w:val="auto"/>
        </w:rPr>
        <w:t>The Board and its committees perform an annual review of the agenda items to be considered for each meeting. During that review and</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year, each Board and committee member is encouraged to suggest items for inclusion on future agendas. The independent Lead Director has the responsibility to approve agendas.</w:t>
      </w:r>
    </w:p>
    <w:p>
      <w:pPr>
        <w:spacing w:after="0" w:line="29" w:lineRule="exact"/>
        <w:rPr>
          <w:rFonts w:ascii="Arial" w:cs="Arial" w:eastAsia="Arial" w:hAnsi="Arial"/>
          <w:sz w:val="16"/>
          <w:szCs w:val="16"/>
          <w:b w:val="1"/>
          <w:bCs w:val="1"/>
          <w:color w:val="D7282F"/>
        </w:rPr>
      </w:pPr>
    </w:p>
    <w:p>
      <w:pPr>
        <w:ind w:left="200" w:right="80" w:hanging="192"/>
        <w:spacing w:after="0" w:line="265" w:lineRule="auto"/>
        <w:tabs>
          <w:tab w:leader="none" w:pos="197" w:val="left"/>
        </w:tabs>
        <w:numPr>
          <w:ilvl w:val="0"/>
          <w:numId w:val="86"/>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Number of Meetings and Attendance. </w:t>
      </w:r>
      <w:r>
        <w:rPr>
          <w:rFonts w:ascii="Arial" w:cs="Arial" w:eastAsia="Arial" w:hAnsi="Arial"/>
          <w:sz w:val="16"/>
          <w:szCs w:val="16"/>
          <w:color w:val="auto"/>
        </w:rPr>
        <w:t>In 2023, the Board held eight meetings, and the committees of the Board collectively held 17 meetings.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had 99% meeting attendance, and the directors’ average attendance rate at meetings of the committees of which they are members was 99%. Each of the directors participated in at least 75% of the aggregate of the total number of Board meetings held during the period for which he or she was a director and the total number of meetings held by all Board committees on which he or she served (during the period he or she served).</w:t>
      </w:r>
    </w:p>
    <w:p>
      <w:pPr>
        <w:spacing w:after="0" w:line="37" w:lineRule="exact"/>
        <w:rPr>
          <w:rFonts w:ascii="Arial" w:cs="Arial" w:eastAsia="Arial" w:hAnsi="Arial"/>
          <w:sz w:val="16"/>
          <w:szCs w:val="16"/>
          <w:b w:val="1"/>
          <w:bCs w:val="1"/>
          <w:color w:val="D7282F"/>
        </w:rPr>
      </w:pPr>
    </w:p>
    <w:p>
      <w:pPr>
        <w:ind w:left="200" w:right="580" w:hanging="192"/>
        <w:spacing w:after="0" w:line="286" w:lineRule="auto"/>
        <w:tabs>
          <w:tab w:leader="none" w:pos="197" w:val="left"/>
        </w:tabs>
        <w:numPr>
          <w:ilvl w:val="0"/>
          <w:numId w:val="86"/>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The Chairman, the CEO, the independent Lead Director, the CGRC Chair, and at the request of two independent directors,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are permanently empowered and authorized to call special meetings of the Board at any time and for any reason.</w:t>
      </w:r>
    </w:p>
    <w:p>
      <w:pPr>
        <w:spacing w:after="0" w:line="20" w:lineRule="exact"/>
        <w:rPr>
          <w:rFonts w:ascii="Arial" w:cs="Arial" w:eastAsia="Arial" w:hAnsi="Arial"/>
          <w:sz w:val="16"/>
          <w:szCs w:val="16"/>
          <w:b w:val="1"/>
          <w:bCs w:val="1"/>
          <w:color w:val="D7282F"/>
        </w:rPr>
      </w:pPr>
    </w:p>
    <w:p>
      <w:pPr>
        <w:ind w:left="200" w:right="180" w:hanging="192"/>
        <w:spacing w:after="0" w:line="286" w:lineRule="auto"/>
        <w:tabs>
          <w:tab w:leader="none" w:pos="197" w:val="left"/>
        </w:tabs>
        <w:numPr>
          <w:ilvl w:val="0"/>
          <w:numId w:val="86"/>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Board Meeting Materials. </w:t>
      </w:r>
      <w:r>
        <w:rPr>
          <w:rFonts w:ascii="Arial" w:cs="Arial" w:eastAsia="Arial" w:hAnsi="Arial"/>
          <w:sz w:val="16"/>
          <w:szCs w:val="16"/>
          <w:color w:val="auto"/>
        </w:rPr>
        <w:t>Each director receives in advance the written material to be considered at every meeting of the Board and of the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on which he or she is a member and can provide comments and suggestions.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175895</wp:posOffset>
            </wp:positionV>
            <wp:extent cx="351790" cy="2825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51790" cy="28257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175895</wp:posOffset>
            </wp:positionV>
            <wp:extent cx="351790" cy="2825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51790" cy="28257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175895</wp:posOffset>
            </wp:positionV>
            <wp:extent cx="316865" cy="2825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16865" cy="28257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175895</wp:posOffset>
            </wp:positionV>
            <wp:extent cx="342900" cy="2825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0" cy="28257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90"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DEVELOP</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QUESTIONNAIRE</w:t>
      </w:r>
    </w:p>
    <w:p>
      <w:pPr>
        <w:spacing w:after="0" w:line="111" w:lineRule="exact"/>
        <w:rPr>
          <w:sz w:val="20"/>
          <w:szCs w:val="20"/>
          <w:color w:val="auto"/>
        </w:rPr>
      </w:pPr>
    </w:p>
    <w:p>
      <w:pPr>
        <w:ind w:left="1420" w:hanging="202"/>
        <w:spacing w:after="0" w:line="253" w:lineRule="auto"/>
        <w:tabs>
          <w:tab w:leader="none" w:pos="1411" w:val="left"/>
        </w:tabs>
        <w:numPr>
          <w:ilvl w:val="0"/>
          <w:numId w:val="87"/>
        </w:numPr>
        <w:rPr>
          <w:rFonts w:ascii="Arial" w:cs="Arial" w:eastAsia="Arial" w:hAnsi="Arial"/>
          <w:sz w:val="14"/>
          <w:szCs w:val="14"/>
          <w:b w:val="1"/>
          <w:bCs w:val="1"/>
          <w:color w:val="D7282F"/>
        </w:rPr>
      </w:pPr>
      <w:r>
        <w:rPr>
          <w:rFonts w:ascii="Arial" w:cs="Arial" w:eastAsia="Arial" w:hAnsi="Arial"/>
          <w:sz w:val="16"/>
          <w:szCs w:val="16"/>
          <w:color w:val="auto"/>
        </w:rPr>
        <w:t>The formal self-evaluation is in the form of written questionnaires administered by Board members, management, or third parties. Each year, the independent Lead Director and the CGRC discuss, consider, and approve the form of</w:t>
      </w:r>
    </w:p>
    <w:p>
      <w:pPr>
        <w:spacing w:after="0" w:line="6" w:lineRule="exact"/>
        <w:rPr>
          <w:rFonts w:ascii="Arial" w:cs="Arial" w:eastAsia="Arial" w:hAnsi="Arial"/>
          <w:sz w:val="14"/>
          <w:szCs w:val="14"/>
          <w:b w:val="1"/>
          <w:bCs w:val="1"/>
          <w:color w:val="D7282F"/>
        </w:rPr>
      </w:pPr>
    </w:p>
    <w:p>
      <w:pPr>
        <w:ind w:left="1420"/>
        <w:spacing w:after="0"/>
        <w:rPr>
          <w:rFonts w:ascii="Arial" w:cs="Arial" w:eastAsia="Arial" w:hAnsi="Arial"/>
          <w:sz w:val="14"/>
          <w:szCs w:val="14"/>
          <w:b w:val="1"/>
          <w:bCs w:val="1"/>
          <w:color w:val="D7282F"/>
        </w:rPr>
      </w:pPr>
      <w:r>
        <w:rPr>
          <w:rFonts w:ascii="Arial" w:cs="Arial" w:eastAsia="Arial" w:hAnsi="Arial"/>
          <w:sz w:val="16"/>
          <w:szCs w:val="16"/>
          <w:color w:val="auto"/>
        </w:rPr>
        <w:t>the evaluation.</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16"/>
        <w:spacing w:after="0"/>
        <w:rPr>
          <w:sz w:val="20"/>
          <w:szCs w:val="20"/>
          <w:color w:val="auto"/>
        </w:rPr>
      </w:pPr>
      <w:r>
        <w:rPr>
          <w:rFonts w:ascii="Arial" w:cs="Arial" w:eastAsia="Arial" w:hAnsi="Arial"/>
          <w:sz w:val="16"/>
          <w:szCs w:val="16"/>
          <w:b w:val="1"/>
          <w:bCs w:val="1"/>
          <w:color w:val="auto"/>
        </w:rPr>
        <w:t>LAUNCH</w:t>
      </w:r>
    </w:p>
    <w:p>
      <w:pPr>
        <w:spacing w:after="0" w:line="21" w:lineRule="exact"/>
        <w:rPr>
          <w:sz w:val="20"/>
          <w:szCs w:val="20"/>
          <w:color w:val="auto"/>
        </w:rPr>
      </w:pPr>
    </w:p>
    <w:p>
      <w:pPr>
        <w:ind w:left="16"/>
        <w:spacing w:after="0"/>
        <w:rPr>
          <w:sz w:val="20"/>
          <w:szCs w:val="20"/>
          <w:color w:val="auto"/>
        </w:rPr>
      </w:pPr>
      <w:r>
        <w:rPr>
          <w:rFonts w:ascii="Arial" w:cs="Arial" w:eastAsia="Arial" w:hAnsi="Arial"/>
          <w:sz w:val="16"/>
          <w:szCs w:val="16"/>
          <w:b w:val="1"/>
          <w:bCs w:val="1"/>
          <w:color w:val="auto"/>
        </w:rPr>
        <w:t>EVALUATION</w:t>
      </w:r>
    </w:p>
    <w:p>
      <w:pPr>
        <w:spacing w:after="0" w:line="111" w:lineRule="exact"/>
        <w:rPr>
          <w:sz w:val="20"/>
          <w:szCs w:val="20"/>
          <w:color w:val="auto"/>
        </w:rPr>
      </w:pPr>
    </w:p>
    <w:p>
      <w:pPr>
        <w:ind w:left="196" w:hanging="196"/>
        <w:spacing w:after="0" w:line="258" w:lineRule="auto"/>
        <w:tabs>
          <w:tab w:leader="none" w:pos="193" w:val="left"/>
        </w:tabs>
        <w:numPr>
          <w:ilvl w:val="0"/>
          <w:numId w:val="88"/>
        </w:numPr>
        <w:rPr>
          <w:rFonts w:ascii="Arial" w:cs="Arial" w:eastAsia="Arial" w:hAnsi="Arial"/>
          <w:sz w:val="16"/>
          <w:szCs w:val="16"/>
          <w:b w:val="1"/>
          <w:bCs w:val="1"/>
          <w:color w:val="D7282F"/>
        </w:rPr>
      </w:pPr>
      <w:r>
        <w:rPr>
          <w:rFonts w:ascii="Arial" w:cs="Arial" w:eastAsia="Arial" w:hAnsi="Arial"/>
          <w:sz w:val="16"/>
          <w:szCs w:val="16"/>
          <w:color w:val="auto"/>
        </w:rPr>
        <w:t>Members of our Board, and each committee, participate in the formal evaluation process, responding to questions designed to elicit information to be used for improving Board and committee effectiveness.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REVIEW</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FEEDBACK</w:t>
      </w:r>
    </w:p>
    <w:p>
      <w:pPr>
        <w:spacing w:after="0" w:line="111" w:lineRule="exact"/>
        <w:rPr>
          <w:sz w:val="20"/>
          <w:szCs w:val="20"/>
          <w:color w:val="auto"/>
        </w:rPr>
      </w:pPr>
    </w:p>
    <w:p>
      <w:pPr>
        <w:ind w:left="189" w:hanging="189"/>
        <w:spacing w:after="0" w:line="258" w:lineRule="auto"/>
        <w:tabs>
          <w:tab w:leader="none" w:pos="186" w:val="left"/>
        </w:tabs>
        <w:numPr>
          <w:ilvl w:val="0"/>
          <w:numId w:val="89"/>
        </w:numPr>
        <w:rPr>
          <w:rFonts w:ascii="Arial" w:cs="Arial" w:eastAsia="Arial" w:hAnsi="Arial"/>
          <w:sz w:val="16"/>
          <w:szCs w:val="16"/>
          <w:b w:val="1"/>
          <w:bCs w:val="1"/>
          <w:color w:val="D7282F"/>
        </w:rPr>
      </w:pPr>
      <w:r>
        <w:rPr>
          <w:rFonts w:ascii="Arial" w:cs="Arial" w:eastAsia="Arial" w:hAnsi="Arial"/>
          <w:sz w:val="16"/>
          <w:szCs w:val="16"/>
          <w:color w:val="auto"/>
        </w:rPr>
        <w:t>Director feedback is solicited from the formal self-evaluation process and is shared verbatim on an anonymous basis with the entire Board and committee and, where appropriate, addressed with management.</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RESPOND</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TO INPUT</w:t>
      </w:r>
    </w:p>
    <w:p>
      <w:pPr>
        <w:spacing w:after="0" w:line="111" w:lineRule="exact"/>
        <w:rPr>
          <w:sz w:val="20"/>
          <w:szCs w:val="20"/>
          <w:color w:val="auto"/>
        </w:rPr>
      </w:pPr>
    </w:p>
    <w:p>
      <w:pPr>
        <w:ind w:left="188" w:right="1320" w:hanging="188"/>
        <w:spacing w:after="0" w:line="255" w:lineRule="auto"/>
        <w:tabs>
          <w:tab w:leader="none" w:pos="185" w:val="left"/>
        </w:tabs>
        <w:numPr>
          <w:ilvl w:val="0"/>
          <w:numId w:val="90"/>
        </w:numPr>
        <w:rPr>
          <w:rFonts w:ascii="Arial" w:cs="Arial" w:eastAsia="Arial" w:hAnsi="Arial"/>
          <w:sz w:val="16"/>
          <w:szCs w:val="16"/>
          <w:b w:val="1"/>
          <w:bCs w:val="1"/>
          <w:color w:val="D7282F"/>
        </w:rPr>
      </w:pPr>
      <w:r>
        <w:rPr>
          <w:rFonts w:ascii="Arial" w:cs="Arial" w:eastAsia="Arial" w:hAnsi="Arial"/>
          <w:sz w:val="16"/>
          <w:szCs w:val="16"/>
          <w:color w:val="auto"/>
        </w:rPr>
        <w:t>In response to feedback from the evaluation process, the Board and committees work with management to take concrete steps to improve policies, processes, and procedures to further Board and committee effectiveness.</w:t>
      </w:r>
    </w:p>
    <w:p>
      <w:pPr>
        <w:spacing w:after="0" w:line="200" w:lineRule="exact"/>
        <w:rPr>
          <w:sz w:val="20"/>
          <w:szCs w:val="20"/>
          <w:color w:val="auto"/>
        </w:rPr>
      </w:pPr>
    </w:p>
    <w:p>
      <w:pPr>
        <w:sectPr>
          <w:pgSz w:w="11900" w:h="16838" w:orient="portrait"/>
          <w:cols w:equalWidth="0" w:num="4">
            <w:col w:w="3360" w:space="164"/>
            <w:col w:w="1976" w:space="211"/>
            <w:col w:w="2049" w:space="232"/>
            <w:col w:w="3248"/>
          </w:cols>
          <w:pgMar w:left="320" w:top="229" w:right="339" w:bottom="1440" w:gutter="0" w:footer="0" w:header="0"/>
          <w:type w:val="continuous"/>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EVALUATION AND NOMINATION OF DIRECTOR CANDIDATES</w:t>
      </w:r>
    </w:p>
    <w:p>
      <w:pPr>
        <w:spacing w:after="0" w:line="12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Primary responsibility for identifying and evaluating director candidates and for recommending re-nomination of incumbent directors resides with the CGRC, which consists entirely of independent directors under applicable SEC rules and Nasdaq listing standards. Honeywell’s independent Lead Director is formally charged with the responsibility of working with the Chairman and CEO, CGRC, and the full Board to help identify and prioritize the specific skillsets, experience, and knowledge that director candidates must possess. The CGRC and independent Lead Director then establish criteria for director nominees based on these inputs.</w:t>
      </w:r>
    </w:p>
    <w:p>
      <w:pPr>
        <w:spacing w:after="0" w:line="64"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In 2023, Mr. Lamach was recommended as a director candidate by a Board member and was evaluated in accordance with the procedures described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47625</wp:posOffset>
            </wp:positionV>
            <wp:extent cx="145415" cy="3771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5415" cy="377190"/>
                    </a:xfrm>
                    <a:prstGeom prst="rect">
                      <a:avLst/>
                    </a:prstGeom>
                    <a:noFill/>
                  </pic:spPr>
                </pic:pic>
              </a:graphicData>
            </a:graphic>
          </wp:anchor>
        </w:drawing>
      </w:r>
    </w:p>
    <w:p>
      <w:pPr>
        <w:spacing w:after="0" w:line="162" w:lineRule="exact"/>
        <w:rPr>
          <w:sz w:val="20"/>
          <w:szCs w:val="20"/>
          <w:color w:val="auto"/>
        </w:rPr>
      </w:pPr>
    </w:p>
    <w:p>
      <w:pPr>
        <w:ind w:left="2980" w:right="1740" w:hanging="1584"/>
        <w:spacing w:after="0" w:line="304" w:lineRule="auto"/>
        <w:tabs>
          <w:tab w:leader="none" w:pos="2960" w:val="left"/>
        </w:tabs>
        <w:rPr>
          <w:sz w:val="20"/>
          <w:szCs w:val="20"/>
          <w:color w:val="auto"/>
        </w:rPr>
      </w:pPr>
      <w:r>
        <w:rPr>
          <w:rFonts w:ascii="Arial" w:cs="Arial" w:eastAsia="Arial" w:hAnsi="Arial"/>
          <w:sz w:val="16"/>
          <w:szCs w:val="16"/>
          <w:b w:val="1"/>
          <w:bCs w:val="1"/>
          <w:color w:val="auto"/>
        </w:rPr>
        <w:t>ASSESS</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From time to time, the Board fills vacancies in its membership that arise between annual</w:t>
      </w:r>
      <w:r>
        <w:rPr>
          <w:rFonts w:ascii="Arial" w:cs="Arial" w:eastAsia="Arial" w:hAnsi="Arial"/>
          <w:sz w:val="16"/>
          <w:szCs w:val="16"/>
          <w:b w:val="1"/>
          <w:bCs w:val="1"/>
          <w:color w:val="D7282F"/>
        </w:rPr>
        <w:t xml:space="preserve"> </w:t>
      </w:r>
      <w:r>
        <w:rPr>
          <w:rFonts w:ascii="Arial" w:cs="Arial" w:eastAsia="Arial" w:hAnsi="Arial"/>
          <w:sz w:val="16"/>
          <w:szCs w:val="16"/>
          <w:color w:val="000000"/>
        </w:rPr>
        <w:t>meetings of shareowners using the evaluation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81915</wp:posOffset>
            </wp:positionV>
            <wp:extent cx="5683250" cy="16541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683250" cy="16541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580"/>
        <w:spacing w:after="0"/>
        <w:tabs>
          <w:tab w:leader="none" w:pos="2960" w:val="left"/>
        </w:tabs>
        <w:rPr>
          <w:sz w:val="20"/>
          <w:szCs w:val="20"/>
          <w:color w:val="auto"/>
        </w:rPr>
      </w:pPr>
      <w:r>
        <w:rPr>
          <w:rFonts w:ascii="Arial" w:cs="Arial" w:eastAsia="Arial" w:hAnsi="Arial"/>
          <w:sz w:val="16"/>
          <w:szCs w:val="16"/>
          <w:b w:val="1"/>
          <w:bCs w:val="1"/>
          <w:color w:val="auto"/>
        </w:rPr>
        <w:t>IDENTIFY</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Potential director candidates meeting the criteria established by the CGRC and independent</w:t>
      </w:r>
    </w:p>
    <w:p>
      <w:pPr>
        <w:spacing w:after="0" w:line="35" w:lineRule="exact"/>
        <w:rPr>
          <w:sz w:val="20"/>
          <w:szCs w:val="20"/>
          <w:color w:val="auto"/>
        </w:rPr>
      </w:pPr>
    </w:p>
    <w:p>
      <w:pPr>
        <w:ind w:left="3180"/>
        <w:spacing w:after="0"/>
        <w:rPr>
          <w:sz w:val="20"/>
          <w:szCs w:val="20"/>
          <w:color w:val="auto"/>
        </w:rPr>
      </w:pPr>
      <w:r>
        <w:rPr>
          <w:rFonts w:ascii="Arial" w:cs="Arial" w:eastAsia="Arial" w:hAnsi="Arial"/>
          <w:sz w:val="16"/>
          <w:szCs w:val="16"/>
          <w:color w:val="auto"/>
        </w:rPr>
        <w:t>Lead Director are identified either by reputation, existing Board members, or shareowners.</w:t>
      </w:r>
    </w:p>
    <w:p>
      <w:pPr>
        <w:spacing w:after="0" w:line="57" w:lineRule="exact"/>
        <w:rPr>
          <w:sz w:val="20"/>
          <w:szCs w:val="20"/>
          <w:color w:val="auto"/>
        </w:rPr>
      </w:pPr>
    </w:p>
    <w:p>
      <w:pPr>
        <w:ind w:left="3180" w:right="1480" w:hanging="204"/>
        <w:spacing w:after="0" w:line="275" w:lineRule="auto"/>
        <w:tabs>
          <w:tab w:leader="none" w:pos="3177" w:val="left"/>
        </w:tabs>
        <w:numPr>
          <w:ilvl w:val="0"/>
          <w:numId w:val="91"/>
        </w:numPr>
        <w:rPr>
          <w:rFonts w:ascii="Arial" w:cs="Arial" w:eastAsia="Arial" w:hAnsi="Arial"/>
          <w:sz w:val="16"/>
          <w:szCs w:val="16"/>
          <w:b w:val="1"/>
          <w:bCs w:val="1"/>
          <w:color w:val="D7282F"/>
        </w:rPr>
      </w:pPr>
      <w:r>
        <w:rPr>
          <w:rFonts w:ascii="Arial" w:cs="Arial" w:eastAsia="Arial" w:hAnsi="Arial"/>
          <w:sz w:val="16"/>
          <w:szCs w:val="16"/>
          <w:color w:val="auto"/>
        </w:rPr>
        <w:t>The CGRC is also authorized, at the expense of Honeywell, to retain search firms to identify potential director candidates, as well as other external advisors, including for purposes of performing background reviews of potential candidates.</w:t>
      </w:r>
    </w:p>
    <w:p>
      <w:pPr>
        <w:spacing w:after="0" w:line="29" w:lineRule="exact"/>
        <w:rPr>
          <w:rFonts w:ascii="Arial" w:cs="Arial" w:eastAsia="Arial" w:hAnsi="Arial"/>
          <w:sz w:val="16"/>
          <w:szCs w:val="16"/>
          <w:b w:val="1"/>
          <w:bCs w:val="1"/>
          <w:color w:val="D7282F"/>
        </w:rPr>
      </w:pPr>
    </w:p>
    <w:p>
      <w:pPr>
        <w:ind w:left="3180" w:right="1160" w:hanging="204"/>
        <w:spacing w:after="0" w:line="286" w:lineRule="auto"/>
        <w:tabs>
          <w:tab w:leader="none" w:pos="3177" w:val="left"/>
        </w:tabs>
        <w:numPr>
          <w:ilvl w:val="0"/>
          <w:numId w:val="91"/>
        </w:numPr>
        <w:rPr>
          <w:rFonts w:ascii="Arial" w:cs="Arial" w:eastAsia="Arial" w:hAnsi="Arial"/>
          <w:sz w:val="16"/>
          <w:szCs w:val="16"/>
          <w:b w:val="1"/>
          <w:bCs w:val="1"/>
          <w:color w:val="D7282F"/>
        </w:rPr>
      </w:pPr>
      <w:r>
        <w:rPr>
          <w:rFonts w:ascii="Arial" w:cs="Arial" w:eastAsia="Arial" w:hAnsi="Arial"/>
          <w:sz w:val="16"/>
          <w:szCs w:val="16"/>
          <w:color w:val="auto"/>
        </w:rPr>
        <w:t>Search firms retained by the CGRC are provided guidance as to the particular experience, skills, or other characteristics that the Board is then seeking.</w:t>
      </w:r>
    </w:p>
    <w:p>
      <w:pPr>
        <w:spacing w:after="0" w:line="20" w:lineRule="exact"/>
        <w:rPr>
          <w:rFonts w:ascii="Arial" w:cs="Arial" w:eastAsia="Arial" w:hAnsi="Arial"/>
          <w:sz w:val="16"/>
          <w:szCs w:val="16"/>
          <w:b w:val="1"/>
          <w:bCs w:val="1"/>
          <w:color w:val="D7282F"/>
        </w:rPr>
      </w:pPr>
    </w:p>
    <w:p>
      <w:pPr>
        <w:ind w:left="3180" w:right="1360" w:hanging="204"/>
        <w:spacing w:after="0" w:line="275" w:lineRule="auto"/>
        <w:tabs>
          <w:tab w:leader="none" w:pos="3177" w:val="left"/>
        </w:tabs>
        <w:numPr>
          <w:ilvl w:val="0"/>
          <w:numId w:val="91"/>
        </w:numPr>
        <w:rPr>
          <w:rFonts w:ascii="Arial" w:cs="Arial" w:eastAsia="Arial" w:hAnsi="Arial"/>
          <w:sz w:val="16"/>
          <w:szCs w:val="16"/>
          <w:b w:val="1"/>
          <w:bCs w:val="1"/>
          <w:color w:val="D7282F"/>
        </w:rPr>
      </w:pPr>
      <w:r>
        <w:rPr>
          <w:rFonts w:ascii="Arial" w:cs="Arial" w:eastAsia="Arial" w:hAnsi="Arial"/>
          <w:sz w:val="16"/>
          <w:szCs w:val="16"/>
          <w:color w:val="auto"/>
        </w:rPr>
        <w:t>The CGRC may delegate responsibility for day-to-day management and oversight of a search firm engagement to the Chairman and/or the Senior Vice President and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95885</wp:posOffset>
            </wp:positionV>
            <wp:extent cx="5683250" cy="19284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683250" cy="192849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980" w:right="1260" w:hanging="1584"/>
        <w:spacing w:after="0" w:line="261" w:lineRule="auto"/>
        <w:tabs>
          <w:tab w:leader="none" w:pos="2960" w:val="left"/>
        </w:tabs>
        <w:rPr>
          <w:sz w:val="20"/>
          <w:szCs w:val="20"/>
          <w:color w:val="auto"/>
        </w:rPr>
      </w:pPr>
      <w:r>
        <w:rPr>
          <w:rFonts w:ascii="Arial" w:cs="Arial" w:eastAsia="Arial" w:hAnsi="Arial"/>
          <w:sz w:val="16"/>
          <w:szCs w:val="16"/>
          <w:b w:val="1"/>
          <w:bCs w:val="1"/>
          <w:color w:val="auto"/>
        </w:rPr>
        <w:t>EVALUATE</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Candidates are interviewed by the Chairman, the CEO, the independent Lead Director or Chair</w:t>
      </w:r>
      <w:r>
        <w:rPr>
          <w:rFonts w:ascii="Arial" w:cs="Arial" w:eastAsia="Arial" w:hAnsi="Arial"/>
          <w:sz w:val="16"/>
          <w:szCs w:val="16"/>
          <w:b w:val="1"/>
          <w:bCs w:val="1"/>
          <w:color w:val="D7282F"/>
        </w:rPr>
        <w:t xml:space="preserve"> </w:t>
      </w:r>
      <w:r>
        <w:rPr>
          <w:rFonts w:ascii="Arial" w:cs="Arial" w:eastAsia="Arial" w:hAnsi="Arial"/>
          <w:sz w:val="16"/>
          <w:szCs w:val="16"/>
          <w:color w:val="000000"/>
        </w:rPr>
        <w:t>of the CGRC, and such other directors or officers as may be requested by the Chairman or independent Lead Director, to ensure that candidates not only possess the requisite skills and characteristics, but also the personality, leadership traits, work ethic, and independence of thought to effectively contribute as a member of the Board. One or more diverse candidates must be interviewed before a successful candidate is selected.</w:t>
      </w:r>
    </w:p>
    <w:p>
      <w:pPr>
        <w:spacing w:after="0" w:line="41" w:lineRule="exact"/>
        <w:rPr>
          <w:sz w:val="20"/>
          <w:szCs w:val="20"/>
          <w:color w:val="auto"/>
        </w:rPr>
      </w:pPr>
    </w:p>
    <w:p>
      <w:pPr>
        <w:ind w:left="3180" w:right="1140" w:hanging="204"/>
        <w:spacing w:after="0" w:line="259" w:lineRule="auto"/>
        <w:tabs>
          <w:tab w:leader="none" w:pos="3177" w:val="left"/>
        </w:tabs>
        <w:numPr>
          <w:ilvl w:val="0"/>
          <w:numId w:val="92"/>
        </w:numPr>
        <w:rPr>
          <w:rFonts w:ascii="Arial" w:cs="Arial" w:eastAsia="Arial" w:hAnsi="Arial"/>
          <w:sz w:val="16"/>
          <w:szCs w:val="16"/>
          <w:b w:val="1"/>
          <w:bCs w:val="1"/>
          <w:color w:val="D7282F"/>
        </w:rPr>
      </w:pPr>
      <w:r>
        <w:rPr>
          <w:rFonts w:ascii="Arial" w:cs="Arial" w:eastAsia="Arial" w:hAnsi="Arial"/>
          <w:sz w:val="16"/>
          <w:szCs w:val="16"/>
          <w:color w:val="auto"/>
        </w:rPr>
        <w:t>To ensure that the Board continues to evolve in a manner that serves the changing business and strategic needs of the Company, before recommending for re-nomination a slate of incumbent directors for an additional term, the CGRC also evaluates whether incumbent directors possess the requisite skills and perspective, both individually and collectively. This evaluation is based primarily on the results of the annual review it performs with the Board of the requisite skills and characteristics of Board members, as well as the composition of the Board as a whole and the results of the Board’s annual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283845</wp:posOffset>
            </wp:positionV>
            <wp:extent cx="145415" cy="4972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45415" cy="49720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103505</wp:posOffset>
            </wp:positionV>
            <wp:extent cx="5657850" cy="596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657850" cy="596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2980" w:right="1300" w:hanging="1584"/>
        <w:spacing w:after="0" w:line="275" w:lineRule="auto"/>
        <w:tabs>
          <w:tab w:leader="none" w:pos="2960" w:val="left"/>
        </w:tabs>
        <w:rPr>
          <w:sz w:val="20"/>
          <w:szCs w:val="20"/>
          <w:color w:val="auto"/>
        </w:rPr>
      </w:pPr>
      <w:r>
        <w:rPr>
          <w:rFonts w:ascii="Arial" w:cs="Arial" w:eastAsia="Arial" w:hAnsi="Arial"/>
          <w:sz w:val="16"/>
          <w:szCs w:val="16"/>
          <w:b w:val="1"/>
          <w:bCs w:val="1"/>
          <w:color w:val="auto"/>
        </w:rPr>
        <w:t>RECOMMEND</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The Board nominates the successful candidate for election to the Board at the Annual Meeting</w:t>
      </w:r>
      <w:r>
        <w:rPr>
          <w:rFonts w:ascii="Arial" w:cs="Arial" w:eastAsia="Arial" w:hAnsi="Arial"/>
          <w:sz w:val="16"/>
          <w:szCs w:val="16"/>
          <w:b w:val="1"/>
          <w:bCs w:val="1"/>
          <w:color w:val="D7282F"/>
        </w:rPr>
        <w:t xml:space="preserve"> </w:t>
      </w:r>
      <w:r>
        <w:rPr>
          <w:rFonts w:ascii="Arial" w:cs="Arial" w:eastAsia="Arial" w:hAnsi="Arial"/>
          <w:sz w:val="16"/>
          <w:szCs w:val="16"/>
          <w:color w:val="000000"/>
        </w:rPr>
        <w:t>of Shareowners. From time to time, the Board uses the process described above to fill vacancies in its membership that arise between annual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53340</wp:posOffset>
            </wp:positionV>
            <wp:extent cx="54178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417820" cy="889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207645</wp:posOffset>
            </wp:positionV>
            <wp:extent cx="5726430" cy="12687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726430" cy="1268730"/>
                    </a:xfrm>
                    <a:prstGeom prst="rect">
                      <a:avLst/>
                    </a:prstGeom>
                    <a:noFill/>
                  </pic:spPr>
                </pic:pic>
              </a:graphicData>
            </a:graphic>
          </wp:anchor>
        </w:drawing>
      </w: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FFFFFF"/>
        </w:rPr>
        <w:t>SPOTLIGHT ON BOARD DIVERSITY</w:t>
      </w:r>
    </w:p>
    <w:p>
      <w:pPr>
        <w:spacing w:after="0" w:line="221" w:lineRule="exact"/>
        <w:rPr>
          <w:sz w:val="20"/>
          <w:szCs w:val="20"/>
          <w:color w:val="auto"/>
        </w:rPr>
      </w:pPr>
    </w:p>
    <w:p>
      <w:pPr>
        <w:ind w:left="1280" w:right="1280"/>
        <w:spacing w:after="0" w:line="259" w:lineRule="auto"/>
        <w:rPr>
          <w:sz w:val="20"/>
          <w:szCs w:val="20"/>
          <w:color w:val="auto"/>
        </w:rPr>
      </w:pPr>
      <w:r>
        <w:rPr>
          <w:rFonts w:ascii="Arial" w:cs="Arial" w:eastAsia="Arial" w:hAnsi="Arial"/>
          <w:sz w:val="16"/>
          <w:szCs w:val="16"/>
          <w:color w:val="auto"/>
        </w:rPr>
        <w:t>Although the Board has historically ensured a diverse slate of candidates for director nominees, in 2021 Honeywell formally adopted the requirement to interview diverse candidates prior to selecting new Board members. When identifying Board candidates, the CGRC requires that qualified candidates who are diverse with respect to race, ethnicity, and/or gender are included in the pool from which any new director nominee is selected, and that one or more diverse candidates have been interviewed before a successful candidate is selected. This is to ensure that we continue to enhance both the diversity of the Board and the diverse perspectives and values that are discussed in Board and committee meetings.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sz w:val="1"/>
          <w:szCs w:val="1"/>
          <w:color w:val="auto"/>
        </w:rPr>
        <w:drawing>
          <wp:inline distT="0" distB="0" distL="0" distR="0">
            <wp:extent cx="548640" cy="10287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8" w:name="page39"/>
    <w:bookmarkEnd w:id="38"/>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BEST PRACTICE BOARD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234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ANNUAL SHAREOWNER</w:t>
            </w:r>
          </w:p>
        </w:tc>
        <w:tc>
          <w:tcPr>
            <w:tcW w:w="9120" w:type="dxa"/>
            <w:vAlign w:val="bottom"/>
            <w:gridSpan w:val="3"/>
          </w:tcPr>
          <w:p>
            <w:pPr>
              <w:ind w:left="140"/>
              <w:spacing w:after="0"/>
              <w:rPr>
                <w:sz w:val="20"/>
                <w:szCs w:val="20"/>
                <w:color w:val="auto"/>
              </w:rPr>
            </w:pPr>
            <w:r>
              <w:rPr>
                <w:rFonts w:ascii="Arial" w:cs="Arial" w:eastAsia="Arial" w:hAnsi="Arial"/>
                <w:sz w:val="16"/>
                <w:szCs w:val="16"/>
                <w:color w:val="auto"/>
              </w:rPr>
              <w:t>Honeywell’s Corporate Governance Guidelines encourage all directors to attend our Annual Meeting of Shareowners. All of</w:t>
            </w: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MEETING ATTENDANCE</w:t>
            </w:r>
          </w:p>
        </w:tc>
        <w:tc>
          <w:tcPr>
            <w:tcW w:w="8860" w:type="dxa"/>
            <w:vAlign w:val="bottom"/>
          </w:tcPr>
          <w:p>
            <w:pPr>
              <w:ind w:left="140"/>
              <w:spacing w:after="0"/>
              <w:rPr>
                <w:sz w:val="20"/>
                <w:szCs w:val="20"/>
                <w:color w:val="auto"/>
              </w:rPr>
            </w:pPr>
            <w:r>
              <w:rPr>
                <w:rFonts w:ascii="Arial" w:cs="Arial" w:eastAsia="Arial" w:hAnsi="Arial"/>
                <w:sz w:val="16"/>
                <w:szCs w:val="16"/>
                <w:color w:val="auto"/>
              </w:rPr>
              <w:t>our then-serving directors attended the Company's 2023 Annual Meeting.</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2120" w:type="dxa"/>
            <w:vAlign w:val="bottom"/>
            <w:tcBorders>
              <w:bottom w:val="single" w:sz="8" w:color="939598"/>
            </w:tcBorders>
          </w:tcPr>
          <w:p>
            <w:pPr>
              <w:spacing w:after="0"/>
              <w:rPr>
                <w:sz w:val="6"/>
                <w:szCs w:val="6"/>
                <w:color w:val="auto"/>
              </w:rPr>
            </w:pPr>
          </w:p>
        </w:tc>
        <w:tc>
          <w:tcPr>
            <w:tcW w:w="9100" w:type="dxa"/>
            <w:vAlign w:val="bottom"/>
            <w:tcBorders>
              <w:bottom w:val="single" w:sz="8" w:color="939598"/>
            </w:tcBorders>
            <w:gridSpan w:val="2"/>
          </w:tcPr>
          <w:p>
            <w:pPr>
              <w:spacing w:after="0"/>
              <w:rPr>
                <w:sz w:val="6"/>
                <w:szCs w:val="6"/>
                <w:color w:val="auto"/>
              </w:rPr>
            </w:pPr>
          </w:p>
        </w:tc>
        <w:tc>
          <w:tcPr>
            <w:tcW w:w="20" w:type="dxa"/>
            <w:vAlign w:val="bottom"/>
          </w:tcPr>
          <w:p>
            <w:pPr>
              <w:spacing w:after="0"/>
              <w:rPr>
                <w:sz w:val="6"/>
                <w:szCs w:val="6"/>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ENGAGEMENT WITH</w:t>
            </w:r>
          </w:p>
        </w:tc>
        <w:tc>
          <w:tcPr>
            <w:tcW w:w="9120" w:type="dxa"/>
            <w:vAlign w:val="bottom"/>
            <w:gridSpan w:val="3"/>
          </w:tcPr>
          <w:p>
            <w:pPr>
              <w:ind w:left="140"/>
              <w:spacing w:after="0"/>
              <w:rPr>
                <w:sz w:val="20"/>
                <w:szCs w:val="20"/>
                <w:color w:val="auto"/>
              </w:rPr>
            </w:pPr>
            <w:r>
              <w:rPr>
                <w:rFonts w:ascii="Arial" w:cs="Arial" w:eastAsia="Arial" w:hAnsi="Arial"/>
                <w:sz w:val="16"/>
                <w:szCs w:val="16"/>
                <w:color w:val="auto"/>
              </w:rPr>
              <w:t>The Board and its committees provide feedback to management, and management is required to answer questions raised by</w:t>
            </w:r>
          </w:p>
        </w:tc>
      </w:tr>
      <w:tr>
        <w:trPr>
          <w:trHeight w:val="20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MANAGEMENT</w:t>
            </w:r>
          </w:p>
        </w:tc>
        <w:tc>
          <w:tcPr>
            <w:tcW w:w="9120" w:type="dxa"/>
            <w:vAlign w:val="bottom"/>
            <w:gridSpan w:val="3"/>
          </w:tcPr>
          <w:p>
            <w:pPr>
              <w:ind w:left="140"/>
              <w:spacing w:after="0"/>
              <w:rPr>
                <w:sz w:val="20"/>
                <w:szCs w:val="20"/>
                <w:color w:val="auto"/>
              </w:rPr>
            </w:pPr>
            <w:r>
              <w:rPr>
                <w:rFonts w:ascii="Arial" w:cs="Arial" w:eastAsia="Arial" w:hAnsi="Arial"/>
                <w:sz w:val="16"/>
                <w:szCs w:val="16"/>
                <w:color w:val="auto"/>
              </w:rPr>
              <w:t>the directors during Board and committee meetings. Our senior management meets regularly with the Board, including yearly</w:t>
            </w:r>
          </w:p>
        </w:tc>
      </w:tr>
      <w:tr>
        <w:trPr>
          <w:trHeight w:val="215"/>
        </w:trPr>
        <w:tc>
          <w:tcPr>
            <w:tcW w:w="212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reviews of each business’ long-term strategic plan and annual operating plan.</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120" w:type="dxa"/>
            <w:vAlign w:val="bottom"/>
            <w:tcBorders>
              <w:bottom w:val="single" w:sz="8" w:color="939598"/>
            </w:tcBorders>
          </w:tcPr>
          <w:p>
            <w:pPr>
              <w:spacing w:after="0"/>
              <w:rPr>
                <w:sz w:val="6"/>
                <w:szCs w:val="6"/>
                <w:color w:val="auto"/>
              </w:rPr>
            </w:pPr>
          </w:p>
        </w:tc>
        <w:tc>
          <w:tcPr>
            <w:tcW w:w="8860" w:type="dxa"/>
            <w:vAlign w:val="bottom"/>
            <w:tcBorders>
              <w:bottom w:val="single" w:sz="8" w:color="939598"/>
            </w:tcBorders>
          </w:tcPr>
          <w:p>
            <w:pPr>
              <w:spacing w:after="0"/>
              <w:rPr>
                <w:sz w:val="6"/>
                <w:szCs w:val="6"/>
                <w:color w:val="auto"/>
              </w:rPr>
            </w:pPr>
          </w:p>
        </w:tc>
        <w:tc>
          <w:tcPr>
            <w:tcW w:w="24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DIRECTOR EDUCATION</w:t>
            </w:r>
          </w:p>
        </w:tc>
        <w:tc>
          <w:tcPr>
            <w:tcW w:w="8860" w:type="dxa"/>
            <w:vAlign w:val="bottom"/>
          </w:tcPr>
          <w:p>
            <w:pPr>
              <w:ind w:left="140"/>
              <w:spacing w:after="0"/>
              <w:rPr>
                <w:sz w:val="20"/>
                <w:szCs w:val="20"/>
                <w:color w:val="auto"/>
              </w:rPr>
            </w:pPr>
            <w:r>
              <w:rPr>
                <w:rFonts w:ascii="Arial" w:cs="Arial" w:eastAsia="Arial" w:hAnsi="Arial"/>
                <w:sz w:val="16"/>
                <w:szCs w:val="16"/>
                <w:color w:val="auto"/>
              </w:rPr>
              <w:t>Honeywell’s Board believes that director education is vital to the ability of directors to fulfill their roles and supports Board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212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members in their continuous learning. Directors may enroll in continuing education programs at Honeywell’s expense on</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120" w:type="dxa"/>
            <w:vAlign w:val="bottom"/>
          </w:tcPr>
          <w:p>
            <w:pPr>
              <w:spacing w:after="0"/>
              <w:rPr>
                <w:sz w:val="16"/>
                <w:szCs w:val="16"/>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corporate governance and critical issues associated with a director’s service on a public company board. The Board also</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12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hears regularly from management on numerous subjects, including investor sentiments, shareowner activism, regulatory</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120" w:type="dxa"/>
            <w:vAlign w:val="bottom"/>
          </w:tcPr>
          <w:p>
            <w:pPr>
              <w:spacing w:after="0"/>
              <w:rPr>
                <w:sz w:val="16"/>
                <w:szCs w:val="16"/>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developments, ESG-related matters, data privacy, and cybersecurity. In addition, the Board periodically participates in site</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12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visits to Honeywell’s facilities.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70"/>
        </w:trPr>
        <w:tc>
          <w:tcPr>
            <w:tcW w:w="2120" w:type="dxa"/>
            <w:vAlign w:val="bottom"/>
            <w:tcBorders>
              <w:bottom w:val="single" w:sz="8" w:color="939598"/>
            </w:tcBorders>
          </w:tcPr>
          <w:p>
            <w:pPr>
              <w:spacing w:after="0"/>
              <w:rPr>
                <w:sz w:val="6"/>
                <w:szCs w:val="6"/>
                <w:color w:val="auto"/>
              </w:rPr>
            </w:pPr>
          </w:p>
        </w:tc>
        <w:tc>
          <w:tcPr>
            <w:tcW w:w="9100" w:type="dxa"/>
            <w:vAlign w:val="bottom"/>
            <w:tcBorders>
              <w:bottom w:val="single" w:sz="8" w:color="939598"/>
            </w:tcBorders>
            <w:gridSpan w:val="2"/>
          </w:tcPr>
          <w:p>
            <w:pPr>
              <w:spacing w:after="0"/>
              <w:rPr>
                <w:sz w:val="6"/>
                <w:szCs w:val="6"/>
                <w:color w:val="auto"/>
              </w:rPr>
            </w:pPr>
          </w:p>
        </w:tc>
        <w:tc>
          <w:tcPr>
            <w:tcW w:w="20" w:type="dxa"/>
            <w:vAlign w:val="bottom"/>
          </w:tcPr>
          <w:p>
            <w:pPr>
              <w:spacing w:after="0"/>
              <w:rPr>
                <w:sz w:val="6"/>
                <w:szCs w:val="6"/>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DIRECTOR ORIENTATION</w:t>
            </w:r>
          </w:p>
        </w:tc>
        <w:tc>
          <w:tcPr>
            <w:tcW w:w="9120" w:type="dxa"/>
            <w:vAlign w:val="bottom"/>
            <w:gridSpan w:val="3"/>
          </w:tcPr>
          <w:p>
            <w:pPr>
              <w:ind w:left="140"/>
              <w:spacing w:after="0"/>
              <w:rPr>
                <w:sz w:val="20"/>
                <w:szCs w:val="20"/>
                <w:color w:val="auto"/>
              </w:rPr>
            </w:pPr>
            <w:r>
              <w:rPr>
                <w:rFonts w:ascii="Arial" w:cs="Arial" w:eastAsia="Arial" w:hAnsi="Arial"/>
                <w:sz w:val="16"/>
                <w:szCs w:val="16"/>
                <w:color w:val="auto"/>
              </w:rPr>
              <w:t>All new directors participate in the Company’s director orientation program during the first year on the Board. New directors</w:t>
            </w:r>
          </w:p>
        </w:tc>
      </w:tr>
      <w:tr>
        <w:trPr>
          <w:trHeight w:val="203"/>
        </w:trPr>
        <w:tc>
          <w:tcPr>
            <w:tcW w:w="2120" w:type="dxa"/>
            <w:vAlign w:val="bottom"/>
          </w:tcPr>
          <w:p>
            <w:pPr>
              <w:spacing w:after="0"/>
              <w:rPr>
                <w:sz w:val="17"/>
                <w:szCs w:val="17"/>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receive an extensive suite of onboarding materials covering director responsibilities, corporate governance practices and</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120" w:type="dxa"/>
            <w:vAlign w:val="bottom"/>
          </w:tcPr>
          <w:p>
            <w:pPr>
              <w:spacing w:after="0"/>
              <w:rPr>
                <w:sz w:val="16"/>
                <w:szCs w:val="16"/>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policies, business strategies, leadership structure, and long-term plans. Participation in regular Board and committee</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120" w:type="dxa"/>
            <w:vAlign w:val="bottom"/>
          </w:tcPr>
          <w:p>
            <w:pPr>
              <w:spacing w:after="0"/>
              <w:rPr>
                <w:sz w:val="17"/>
                <w:szCs w:val="17"/>
                <w:color w:val="auto"/>
              </w:rPr>
            </w:pPr>
          </w:p>
        </w:tc>
        <w:tc>
          <w:tcPr>
            <w:tcW w:w="9120" w:type="dxa"/>
            <w:vAlign w:val="bottom"/>
            <w:gridSpan w:val="3"/>
          </w:tcPr>
          <w:p>
            <w:pPr>
              <w:ind w:left="140"/>
              <w:spacing w:after="0"/>
              <w:rPr>
                <w:sz w:val="20"/>
                <w:szCs w:val="20"/>
                <w:color w:val="auto"/>
              </w:rPr>
            </w:pPr>
            <w:r>
              <w:rPr>
                <w:rFonts w:ascii="Arial" w:cs="Arial" w:eastAsia="Arial" w:hAnsi="Arial"/>
                <w:sz w:val="16"/>
                <w:szCs w:val="16"/>
                <w:color w:val="auto"/>
              </w:rPr>
              <w:t>meetings also provides new directors with a strong foundation for understanding Honeywell’s businesses, connects directors</w:t>
            </w:r>
          </w:p>
        </w:tc>
      </w:tr>
      <w:tr>
        <w:trPr>
          <w:trHeight w:val="189"/>
        </w:trPr>
        <w:tc>
          <w:tcPr>
            <w:tcW w:w="2120" w:type="dxa"/>
            <w:vAlign w:val="bottom"/>
          </w:tcPr>
          <w:p>
            <w:pPr>
              <w:spacing w:after="0"/>
              <w:rPr>
                <w:sz w:val="16"/>
                <w:szCs w:val="16"/>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with members of management with whom they will interact, and accelerates their effectiveness to engage fully in Board</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120" w:type="dxa"/>
            <w:vAlign w:val="bottom"/>
          </w:tcPr>
          <w:p>
            <w:pPr>
              <w:spacing w:after="0"/>
              <w:rPr>
                <w:sz w:val="16"/>
                <w:szCs w:val="16"/>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deliberations. Directors have access to additional orientation and educational opportunities upon acceptance of new or</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12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additional responsibilities on the Board or its committees.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3"/>
        </w:trPr>
        <w:tc>
          <w:tcPr>
            <w:tcW w:w="2120" w:type="dxa"/>
            <w:vAlign w:val="bottom"/>
            <w:tcBorders>
              <w:bottom w:val="single" w:sz="8" w:color="939598"/>
            </w:tcBorders>
          </w:tcPr>
          <w:p>
            <w:pPr>
              <w:spacing w:after="0"/>
              <w:rPr>
                <w:sz w:val="7"/>
                <w:szCs w:val="7"/>
                <w:color w:val="auto"/>
              </w:rPr>
            </w:pPr>
          </w:p>
        </w:tc>
        <w:tc>
          <w:tcPr>
            <w:tcW w:w="8860" w:type="dxa"/>
            <w:vAlign w:val="bottom"/>
            <w:tcBorders>
              <w:bottom w:val="single" w:sz="8" w:color="939598"/>
            </w:tcBorders>
          </w:tcPr>
          <w:p>
            <w:pPr>
              <w:spacing w:after="0"/>
              <w:rPr>
                <w:sz w:val="7"/>
                <w:szCs w:val="7"/>
                <w:color w:val="auto"/>
              </w:rPr>
            </w:pPr>
          </w:p>
        </w:tc>
        <w:tc>
          <w:tcPr>
            <w:tcW w:w="240" w:type="dxa"/>
            <w:vAlign w:val="bottom"/>
            <w:tcBorders>
              <w:bottom w:val="single" w:sz="8" w:color="939598"/>
            </w:tcBorders>
          </w:tcPr>
          <w:p>
            <w:pPr>
              <w:spacing w:after="0"/>
              <w:rPr>
                <w:sz w:val="7"/>
                <w:szCs w:val="7"/>
                <w:color w:val="auto"/>
              </w:rPr>
            </w:pPr>
          </w:p>
        </w:tc>
        <w:tc>
          <w:tcPr>
            <w:tcW w:w="20" w:type="dxa"/>
            <w:vAlign w:val="bottom"/>
          </w:tcPr>
          <w:p>
            <w:pPr>
              <w:spacing w:after="0"/>
              <w:rPr>
                <w:sz w:val="7"/>
                <w:szCs w:val="7"/>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OTHER BOARD</w:t>
            </w:r>
          </w:p>
        </w:tc>
        <w:tc>
          <w:tcPr>
            <w:tcW w:w="8860" w:type="dxa"/>
            <w:vAlign w:val="bottom"/>
          </w:tcPr>
          <w:p>
            <w:pPr>
              <w:ind w:left="140"/>
              <w:spacing w:after="0"/>
              <w:rPr>
                <w:sz w:val="20"/>
                <w:szCs w:val="20"/>
                <w:color w:val="auto"/>
              </w:rPr>
            </w:pPr>
            <w:r>
              <w:rPr>
                <w:rFonts w:ascii="Arial" w:cs="Arial" w:eastAsia="Arial" w:hAnsi="Arial"/>
                <w:sz w:val="16"/>
                <w:szCs w:val="16"/>
                <w:color w:val="auto"/>
              </w:rPr>
              <w:t>Pursuant to our Corporate Governance Guidelines, directors should not serve on more than four public company boards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MEMBERSHIPS</w:t>
            </w:r>
          </w:p>
        </w:tc>
        <w:tc>
          <w:tcPr>
            <w:tcW w:w="9120" w:type="dxa"/>
            <w:vAlign w:val="bottom"/>
            <w:gridSpan w:val="3"/>
          </w:tcPr>
          <w:p>
            <w:pPr>
              <w:ind w:left="140"/>
              <w:spacing w:after="0"/>
              <w:rPr>
                <w:sz w:val="20"/>
                <w:szCs w:val="20"/>
                <w:color w:val="auto"/>
              </w:rPr>
            </w:pPr>
            <w:r>
              <w:rPr>
                <w:rFonts w:ascii="Arial" w:cs="Arial" w:eastAsia="Arial" w:hAnsi="Arial"/>
                <w:sz w:val="16"/>
                <w:szCs w:val="16"/>
                <w:color w:val="auto"/>
              </w:rPr>
              <w:t>(including the Honeywell Board), and directors who serve as chief executive officer of a public company should not serve on</w:t>
            </w:r>
          </w:p>
        </w:tc>
      </w:tr>
      <w:tr>
        <w:trPr>
          <w:trHeight w:val="189"/>
        </w:trPr>
        <w:tc>
          <w:tcPr>
            <w:tcW w:w="2120" w:type="dxa"/>
            <w:vAlign w:val="bottom"/>
          </w:tcPr>
          <w:p>
            <w:pPr>
              <w:spacing w:after="0"/>
              <w:rPr>
                <w:sz w:val="16"/>
                <w:szCs w:val="16"/>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more than two public company boards (excluding the board of the company of which such director is the chief executive</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120" w:type="dxa"/>
            <w:vAlign w:val="bottom"/>
          </w:tcPr>
          <w:p>
            <w:pPr>
              <w:spacing w:after="0"/>
              <w:rPr>
                <w:sz w:val="18"/>
                <w:szCs w:val="18"/>
                <w:color w:val="auto"/>
              </w:rPr>
            </w:pPr>
          </w:p>
        </w:tc>
        <w:tc>
          <w:tcPr>
            <w:tcW w:w="8860" w:type="dxa"/>
            <w:vAlign w:val="bottom"/>
          </w:tcPr>
          <w:p>
            <w:pPr>
              <w:ind w:left="140"/>
              <w:spacing w:after="0"/>
              <w:rPr>
                <w:sz w:val="20"/>
                <w:szCs w:val="20"/>
                <w:color w:val="auto"/>
              </w:rPr>
            </w:pPr>
            <w:r>
              <w:rPr>
                <w:rFonts w:ascii="Arial" w:cs="Arial" w:eastAsia="Arial" w:hAnsi="Arial"/>
                <w:sz w:val="16"/>
                <w:szCs w:val="16"/>
                <w:color w:val="auto"/>
              </w:rPr>
              <w:t>officer).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3"/>
        </w:trPr>
        <w:tc>
          <w:tcPr>
            <w:tcW w:w="2120" w:type="dxa"/>
            <w:vAlign w:val="bottom"/>
            <w:tcBorders>
              <w:bottom w:val="single" w:sz="8" w:color="939598"/>
            </w:tcBorders>
          </w:tcPr>
          <w:p>
            <w:pPr>
              <w:spacing w:after="0"/>
              <w:rPr>
                <w:sz w:val="7"/>
                <w:szCs w:val="7"/>
                <w:color w:val="auto"/>
              </w:rPr>
            </w:pPr>
          </w:p>
        </w:tc>
        <w:tc>
          <w:tcPr>
            <w:tcW w:w="8860" w:type="dxa"/>
            <w:vAlign w:val="bottom"/>
            <w:tcBorders>
              <w:bottom w:val="single" w:sz="8" w:color="939598"/>
            </w:tcBorders>
          </w:tcPr>
          <w:p>
            <w:pPr>
              <w:spacing w:after="0"/>
              <w:rPr>
                <w:sz w:val="7"/>
                <w:szCs w:val="7"/>
                <w:color w:val="auto"/>
              </w:rPr>
            </w:pPr>
          </w:p>
        </w:tc>
        <w:tc>
          <w:tcPr>
            <w:tcW w:w="240" w:type="dxa"/>
            <w:vAlign w:val="bottom"/>
            <w:tcBorders>
              <w:bottom w:val="single" w:sz="8" w:color="939598"/>
            </w:tcBorders>
          </w:tcPr>
          <w:p>
            <w:pPr>
              <w:spacing w:after="0"/>
              <w:rPr>
                <w:sz w:val="7"/>
                <w:szCs w:val="7"/>
                <w:color w:val="auto"/>
              </w:rPr>
            </w:pPr>
          </w:p>
        </w:tc>
        <w:tc>
          <w:tcPr>
            <w:tcW w:w="20" w:type="dxa"/>
            <w:vAlign w:val="bottom"/>
          </w:tcPr>
          <w:p>
            <w:pPr>
              <w:spacing w:after="0"/>
              <w:rPr>
                <w:sz w:val="7"/>
                <w:szCs w:val="7"/>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RETIREMENT AGE</w:t>
            </w:r>
          </w:p>
        </w:tc>
        <w:tc>
          <w:tcPr>
            <w:tcW w:w="8860" w:type="dxa"/>
            <w:vAlign w:val="bottom"/>
          </w:tcPr>
          <w:p>
            <w:pPr>
              <w:ind w:left="140"/>
              <w:spacing w:after="0"/>
              <w:rPr>
                <w:sz w:val="20"/>
                <w:szCs w:val="20"/>
                <w:color w:val="auto"/>
              </w:rPr>
            </w:pPr>
            <w:r>
              <w:rPr>
                <w:rFonts w:ascii="Arial" w:cs="Arial" w:eastAsia="Arial" w:hAnsi="Arial"/>
                <w:sz w:val="16"/>
                <w:szCs w:val="16"/>
                <w:color w:val="auto"/>
              </w:rPr>
              <w:t>Per Board policy, unless the Board otherwise determines, non-employee directors will retire from the Board upon the first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POLICY</w:t>
            </w:r>
          </w:p>
        </w:tc>
        <w:tc>
          <w:tcPr>
            <w:tcW w:w="8860" w:type="dxa"/>
            <w:vAlign w:val="bottom"/>
          </w:tcPr>
          <w:p>
            <w:pPr>
              <w:ind w:left="140"/>
              <w:spacing w:after="0"/>
              <w:rPr>
                <w:sz w:val="20"/>
                <w:szCs w:val="20"/>
                <w:color w:val="auto"/>
              </w:rPr>
            </w:pPr>
            <w:r>
              <w:rPr>
                <w:rFonts w:ascii="Arial" w:cs="Arial" w:eastAsia="Arial" w:hAnsi="Arial"/>
                <w:sz w:val="16"/>
                <w:szCs w:val="16"/>
                <w:color w:val="auto"/>
              </w:rPr>
              <w:t>Annual Meeting of Shareowners after reaching the age of 75.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2120" w:type="dxa"/>
            <w:vAlign w:val="bottom"/>
            <w:tcBorders>
              <w:bottom w:val="single" w:sz="8" w:color="939598"/>
            </w:tcBorders>
          </w:tcPr>
          <w:p>
            <w:pPr>
              <w:spacing w:after="0"/>
              <w:rPr>
                <w:sz w:val="6"/>
                <w:szCs w:val="6"/>
                <w:color w:val="auto"/>
              </w:rPr>
            </w:pPr>
          </w:p>
        </w:tc>
        <w:tc>
          <w:tcPr>
            <w:tcW w:w="8860" w:type="dxa"/>
            <w:vAlign w:val="bottom"/>
            <w:tcBorders>
              <w:bottom w:val="single" w:sz="8" w:color="939598"/>
            </w:tcBorders>
          </w:tcPr>
          <w:p>
            <w:pPr>
              <w:spacing w:after="0"/>
              <w:rPr>
                <w:sz w:val="6"/>
                <w:szCs w:val="6"/>
                <w:color w:val="auto"/>
              </w:rPr>
            </w:pPr>
          </w:p>
        </w:tc>
        <w:tc>
          <w:tcPr>
            <w:tcW w:w="240" w:type="dxa"/>
            <w:vAlign w:val="bottom"/>
            <w:tcBorders>
              <w:bottom w:val="single" w:sz="8" w:color="939598"/>
            </w:tcBorders>
          </w:tcPr>
          <w:p>
            <w:pPr>
              <w:spacing w:after="0"/>
              <w:rPr>
                <w:sz w:val="6"/>
                <w:szCs w:val="6"/>
                <w:color w:val="auto"/>
              </w:rPr>
            </w:pPr>
          </w:p>
        </w:tc>
        <w:tc>
          <w:tcPr>
            <w:tcW w:w="20" w:type="dxa"/>
            <w:vAlign w:val="bottom"/>
          </w:tcPr>
          <w:p>
            <w:pPr>
              <w:spacing w:after="0"/>
              <w:rPr>
                <w:sz w:val="6"/>
                <w:szCs w:val="6"/>
                <w:color w:val="auto"/>
              </w:rPr>
            </w:pPr>
          </w:p>
        </w:tc>
      </w:tr>
      <w:tr>
        <w:trPr>
          <w:trHeight w:val="236"/>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CHANGE IN JOB</w:t>
            </w:r>
          </w:p>
        </w:tc>
        <w:tc>
          <w:tcPr>
            <w:tcW w:w="8860" w:type="dxa"/>
            <w:vAlign w:val="bottom"/>
          </w:tcPr>
          <w:p>
            <w:pPr>
              <w:ind w:left="140"/>
              <w:spacing w:after="0"/>
              <w:rPr>
                <w:sz w:val="20"/>
                <w:szCs w:val="20"/>
                <w:color w:val="auto"/>
              </w:rPr>
            </w:pPr>
            <w:r>
              <w:rPr>
                <w:rFonts w:ascii="Arial" w:cs="Arial" w:eastAsia="Arial" w:hAnsi="Arial"/>
                <w:sz w:val="16"/>
                <w:szCs w:val="16"/>
                <w:color w:val="auto"/>
              </w:rPr>
              <w:t>The Corporate Governance Guidelines also provide that directors should offer to tender their resignation in the event of a</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RESPONSIBILITIES</w:t>
            </w:r>
          </w:p>
        </w:tc>
        <w:tc>
          <w:tcPr>
            <w:tcW w:w="8860" w:type="dxa"/>
            <w:vAlign w:val="bottom"/>
          </w:tcPr>
          <w:p>
            <w:pPr>
              <w:ind w:left="140"/>
              <w:spacing w:after="0"/>
              <w:rPr>
                <w:sz w:val="20"/>
                <w:szCs w:val="20"/>
                <w:color w:val="auto"/>
              </w:rPr>
            </w:pPr>
            <w:r>
              <w:rPr>
                <w:rFonts w:ascii="Arial" w:cs="Arial" w:eastAsia="Arial" w:hAnsi="Arial"/>
                <w:sz w:val="16"/>
                <w:szCs w:val="16"/>
                <w:color w:val="auto"/>
              </w:rPr>
              <w:t>change in the principal job responsibilities that they held at the time of their election to the Board or the principal job</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2120" w:type="dxa"/>
            <w:vAlign w:val="bottom"/>
            <w:tcBorders>
              <w:bottom w:val="single" w:sz="8" w:color="D7282F"/>
            </w:tcBorders>
          </w:tcPr>
          <w:p>
            <w:pPr>
              <w:spacing w:after="0"/>
              <w:rPr>
                <w:sz w:val="19"/>
                <w:szCs w:val="19"/>
                <w:color w:val="auto"/>
              </w:rPr>
            </w:pPr>
          </w:p>
        </w:tc>
        <w:tc>
          <w:tcPr>
            <w:tcW w:w="8860" w:type="dxa"/>
            <w:vAlign w:val="bottom"/>
            <w:tcBorders>
              <w:bottom w:val="single" w:sz="8" w:color="D7282F"/>
            </w:tcBorders>
          </w:tcPr>
          <w:p>
            <w:pPr>
              <w:ind w:left="140"/>
              <w:spacing w:after="0"/>
              <w:rPr>
                <w:sz w:val="20"/>
                <w:szCs w:val="20"/>
                <w:color w:val="auto"/>
              </w:rPr>
            </w:pPr>
            <w:r>
              <w:rPr>
                <w:rFonts w:ascii="Arial" w:cs="Arial" w:eastAsia="Arial" w:hAnsi="Arial"/>
                <w:sz w:val="16"/>
                <w:szCs w:val="16"/>
                <w:color w:val="auto"/>
              </w:rPr>
              <w:t>responsibilities taken subsequent to their election to the Board.</w:t>
            </w:r>
          </w:p>
        </w:tc>
        <w:tc>
          <w:tcPr>
            <w:tcW w:w="240" w:type="dxa"/>
            <w:vAlign w:val="bottom"/>
            <w:tcBorders>
              <w:bottom w:val="single" w:sz="8" w:color="D7282F"/>
            </w:tcBorders>
          </w:tcPr>
          <w:p>
            <w:pPr>
              <w:spacing w:after="0"/>
              <w:rPr>
                <w:sz w:val="19"/>
                <w:szCs w:val="19"/>
                <w:color w:val="auto"/>
              </w:rPr>
            </w:pPr>
          </w:p>
        </w:tc>
        <w:tc>
          <w:tcPr>
            <w:tcW w:w="20" w:type="dxa"/>
            <w:vAlign w:val="bottom"/>
          </w:tcPr>
          <w:p>
            <w:pPr>
              <w:spacing w:after="0"/>
              <w:rPr>
                <w:sz w:val="19"/>
                <w:szCs w:val="19"/>
                <w:color w:val="auto"/>
              </w:rPr>
            </w:pPr>
          </w:p>
        </w:tc>
      </w:tr>
      <w:tr>
        <w:trPr>
          <w:trHeight w:val="593"/>
        </w:trPr>
        <w:tc>
          <w:tcPr>
            <w:tcW w:w="2120" w:type="dxa"/>
            <w:vAlign w:val="bottom"/>
          </w:tcPr>
          <w:p>
            <w:pPr>
              <w:spacing w:after="0"/>
              <w:rPr>
                <w:sz w:val="24"/>
                <w:szCs w:val="24"/>
                <w:color w:val="auto"/>
              </w:rPr>
            </w:pPr>
          </w:p>
        </w:tc>
        <w:tc>
          <w:tcPr>
            <w:tcW w:w="8860" w:type="dxa"/>
            <w:vAlign w:val="bottom"/>
          </w:tcPr>
          <w:p>
            <w:pPr>
              <w:ind w:left="4720"/>
              <w:spacing w:after="0"/>
              <w:rPr>
                <w:sz w:val="20"/>
                <w:szCs w:val="20"/>
                <w:color w:val="auto"/>
              </w:rPr>
            </w:pPr>
            <w:r>
              <w:rPr>
                <w:rFonts w:ascii="Arial" w:cs="Arial" w:eastAsia="Arial" w:hAnsi="Arial"/>
                <w:sz w:val="13"/>
                <w:szCs w:val="13"/>
                <w:b w:val="1"/>
                <w:bCs w:val="1"/>
                <w:color w:val="6D6E71"/>
              </w:rPr>
              <w:t>2024 NOTICE AND PROXY STATEMENT   |</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24"/>
                <w:szCs w:val="24"/>
                <w:color w:val="auto"/>
              </w:rPr>
            </w:pPr>
          </w:p>
        </w:tc>
      </w:tr>
      <w:tr>
        <w:trPr>
          <w:trHeight w:val="373"/>
        </w:trPr>
        <w:tc>
          <w:tcPr>
            <w:tcW w:w="212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COMMITTEES</w:t>
      </w:r>
    </w:p>
    <w:p>
      <w:pPr>
        <w:spacing w:after="0" w:line="10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Board currently has three committees. All members of each committee are independent, non-employee directors. Each committee operates under a written charter, which is available at investor.honeywell.com (see “Governance/Governance Overview”). The table below lists the anticipated leadership and membership of each committee following the Annual Meeting.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Corporate Governance</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rPr>
              <w:t>Management Development</w:t>
            </w:r>
          </w:p>
        </w:tc>
      </w:tr>
      <w:tr>
        <w:trPr>
          <w:trHeight w:val="205"/>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w:t>
            </w:r>
          </w:p>
        </w:tc>
        <w:tc>
          <w:tcPr>
            <w:tcW w:w="2860" w:type="dxa"/>
            <w:vAlign w:val="bottom"/>
            <w:tcBorders>
              <w:bottom w:val="single" w:sz="8" w:color="D7282F"/>
            </w:tcBorders>
          </w:tcPr>
          <w:p>
            <w:pPr>
              <w:jc w:val="center"/>
              <w:ind w:left="1524"/>
              <w:spacing w:after="0"/>
              <w:rPr>
                <w:sz w:val="20"/>
                <w:szCs w:val="20"/>
                <w:color w:val="auto"/>
              </w:rPr>
            </w:pPr>
            <w:r>
              <w:rPr>
                <w:rFonts w:ascii="Arial" w:cs="Arial" w:eastAsia="Arial" w:hAnsi="Arial"/>
                <w:sz w:val="14"/>
                <w:szCs w:val="14"/>
                <w:b w:val="1"/>
                <w:bCs w:val="1"/>
                <w:color w:val="auto"/>
              </w:rPr>
              <w:t>Audit</w:t>
            </w:r>
          </w:p>
        </w:tc>
        <w:tc>
          <w:tcPr>
            <w:tcW w:w="238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and Responsibility</w:t>
            </w:r>
          </w:p>
        </w:tc>
        <w:tc>
          <w:tcPr>
            <w:tcW w:w="28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and Compensation</w:t>
            </w:r>
          </w:p>
        </w:tc>
      </w:tr>
      <w:tr>
        <w:trPr>
          <w:trHeight w:val="371"/>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Mr. Angove</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431"/>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Mr. Ayer</w:t>
            </w:r>
            <w:r>
              <w:rPr>
                <w:rFonts w:ascii="Arial" w:cs="Arial" w:eastAsia="Arial" w:hAnsi="Arial"/>
                <w:sz w:val="21"/>
                <w:szCs w:val="21"/>
                <w:b w:val="1"/>
                <w:bCs w:val="1"/>
                <w:color w:val="auto"/>
                <w:vertAlign w:val="superscript"/>
              </w:rPr>
              <w:t>(1)</w:t>
            </w:r>
          </w:p>
        </w:tc>
        <w:tc>
          <w:tcPr>
            <w:tcW w:w="2860" w:type="dxa"/>
            <w:vAlign w:val="bottom"/>
          </w:tcPr>
          <w:p>
            <w:pPr>
              <w:jc w:val="center"/>
              <w:ind w:left="1504"/>
              <w:spacing w:after="0"/>
              <w:rPr>
                <w:sz w:val="20"/>
                <w:szCs w:val="20"/>
                <w:color w:val="auto"/>
              </w:rPr>
            </w:pPr>
            <w:r>
              <w:rPr>
                <w:rFonts w:ascii="Arial" w:cs="Arial" w:eastAsia="Arial" w:hAnsi="Arial"/>
                <w:sz w:val="16"/>
                <w:szCs w:val="16"/>
                <w:i w:val="1"/>
                <w:iCs w:val="1"/>
                <w:color w:val="auto"/>
              </w:rPr>
              <w:t>ex officio</w:t>
            </w:r>
          </w:p>
        </w:tc>
        <w:tc>
          <w:tcPr>
            <w:tcW w:w="238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6"/>
                <w:szCs w:val="16"/>
                <w:i w:val="1"/>
                <w:iCs w:val="1"/>
                <w:color w:val="auto"/>
              </w:rPr>
              <w:t>ex officio</w:t>
            </w:r>
          </w:p>
        </w:tc>
      </w:tr>
      <w:tr>
        <w:trPr>
          <w:trHeight w:val="89"/>
        </w:trPr>
        <w:tc>
          <w:tcPr>
            <w:tcW w:w="3160" w:type="dxa"/>
            <w:vAlign w:val="bottom"/>
            <w:tcBorders>
              <w:bottom w:val="single" w:sz="8" w:color="939598"/>
            </w:tcBorders>
          </w:tcPr>
          <w:p>
            <w:pPr>
              <w:spacing w:after="0"/>
              <w:rPr>
                <w:sz w:val="7"/>
                <w:szCs w:val="7"/>
                <w:color w:val="auto"/>
              </w:rPr>
            </w:pPr>
          </w:p>
        </w:tc>
        <w:tc>
          <w:tcPr>
            <w:tcW w:w="2860" w:type="dxa"/>
            <w:vAlign w:val="bottom"/>
            <w:tcBorders>
              <w:bottom w:val="single" w:sz="8" w:color="939598"/>
            </w:tcBorders>
          </w:tcPr>
          <w:p>
            <w:pPr>
              <w:spacing w:after="0"/>
              <w:rPr>
                <w:sz w:val="7"/>
                <w:szCs w:val="7"/>
                <w:color w:val="auto"/>
              </w:rPr>
            </w:pPr>
          </w:p>
        </w:tc>
        <w:tc>
          <w:tcPr>
            <w:tcW w:w="2380" w:type="dxa"/>
            <w:vAlign w:val="bottom"/>
            <w:tcBorders>
              <w:bottom w:val="single" w:sz="8" w:color="939598"/>
            </w:tcBorders>
          </w:tcPr>
          <w:p>
            <w:pPr>
              <w:spacing w:after="0"/>
              <w:rPr>
                <w:sz w:val="7"/>
                <w:szCs w:val="7"/>
                <w:color w:val="auto"/>
              </w:rPr>
            </w:pPr>
          </w:p>
        </w:tc>
        <w:tc>
          <w:tcPr>
            <w:tcW w:w="2820" w:type="dxa"/>
            <w:vAlign w:val="bottom"/>
            <w:tcBorders>
              <w:bottom w:val="single" w:sz="8" w:color="939598"/>
            </w:tcBorders>
          </w:tcPr>
          <w:p>
            <w:pPr>
              <w:spacing w:after="0"/>
              <w:rPr>
                <w:sz w:val="7"/>
                <w:szCs w:val="7"/>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Mr. Burke</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431"/>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Mr. Davis</w:t>
            </w:r>
            <w:r>
              <w:rPr>
                <w:rFonts w:ascii="Arial" w:cs="Arial" w:eastAsia="Arial" w:hAnsi="Arial"/>
                <w:sz w:val="21"/>
                <w:szCs w:val="21"/>
                <w:b w:val="1"/>
                <w:bCs w:val="1"/>
                <w:color w:val="auto"/>
                <w:vertAlign w:val="superscript"/>
              </w:rPr>
              <w:t>(1)</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89"/>
        </w:trPr>
        <w:tc>
          <w:tcPr>
            <w:tcW w:w="3160" w:type="dxa"/>
            <w:vAlign w:val="bottom"/>
            <w:tcBorders>
              <w:bottom w:val="single" w:sz="8" w:color="939598"/>
            </w:tcBorders>
          </w:tcPr>
          <w:p>
            <w:pPr>
              <w:spacing w:after="0"/>
              <w:rPr>
                <w:sz w:val="7"/>
                <w:szCs w:val="7"/>
                <w:color w:val="auto"/>
              </w:rPr>
            </w:pPr>
          </w:p>
        </w:tc>
        <w:tc>
          <w:tcPr>
            <w:tcW w:w="2860" w:type="dxa"/>
            <w:vAlign w:val="bottom"/>
            <w:tcBorders>
              <w:bottom w:val="single" w:sz="8" w:color="939598"/>
            </w:tcBorders>
          </w:tcPr>
          <w:p>
            <w:pPr>
              <w:spacing w:after="0"/>
              <w:rPr>
                <w:sz w:val="7"/>
                <w:szCs w:val="7"/>
                <w:color w:val="auto"/>
              </w:rPr>
            </w:pPr>
          </w:p>
        </w:tc>
        <w:tc>
          <w:tcPr>
            <w:tcW w:w="2380" w:type="dxa"/>
            <w:vAlign w:val="bottom"/>
            <w:tcBorders>
              <w:bottom w:val="single" w:sz="8" w:color="939598"/>
            </w:tcBorders>
          </w:tcPr>
          <w:p>
            <w:pPr>
              <w:spacing w:after="0"/>
              <w:rPr>
                <w:sz w:val="7"/>
                <w:szCs w:val="7"/>
                <w:color w:val="auto"/>
              </w:rPr>
            </w:pPr>
          </w:p>
        </w:tc>
        <w:tc>
          <w:tcPr>
            <w:tcW w:w="2820" w:type="dxa"/>
            <w:vAlign w:val="bottom"/>
            <w:tcBorders>
              <w:bottom w:val="single" w:sz="8" w:color="939598"/>
            </w:tcBorders>
          </w:tcPr>
          <w:p>
            <w:pPr>
              <w:spacing w:after="0"/>
              <w:rPr>
                <w:sz w:val="7"/>
                <w:szCs w:val="7"/>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Ms. Flint</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Mr. Lamach</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Ms. Lee</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Ms. Lieblein</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Ms. Washington</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939598"/>
            </w:tcBorders>
          </w:tcPr>
          <w:p>
            <w:pPr>
              <w:spacing w:after="0"/>
              <w:rPr>
                <w:sz w:val="13"/>
                <w:szCs w:val="13"/>
                <w:color w:val="auto"/>
              </w:rPr>
            </w:pPr>
          </w:p>
        </w:tc>
        <w:tc>
          <w:tcPr>
            <w:tcW w:w="2860" w:type="dxa"/>
            <w:vAlign w:val="bottom"/>
            <w:tcBorders>
              <w:bottom w:val="single" w:sz="8" w:color="939598"/>
            </w:tcBorders>
          </w:tcPr>
          <w:p>
            <w:pPr>
              <w:spacing w:after="0"/>
              <w:rPr>
                <w:sz w:val="13"/>
                <w:szCs w:val="13"/>
                <w:color w:val="auto"/>
              </w:rPr>
            </w:pPr>
          </w:p>
        </w:tc>
        <w:tc>
          <w:tcPr>
            <w:tcW w:w="2380" w:type="dxa"/>
            <w:vAlign w:val="bottom"/>
            <w:tcBorders>
              <w:bottom w:val="single" w:sz="8" w:color="939598"/>
            </w:tcBorders>
          </w:tcPr>
          <w:p>
            <w:pPr>
              <w:spacing w:after="0"/>
              <w:rPr>
                <w:sz w:val="13"/>
                <w:szCs w:val="13"/>
                <w:color w:val="auto"/>
              </w:rPr>
            </w:pPr>
          </w:p>
        </w:tc>
        <w:tc>
          <w:tcPr>
            <w:tcW w:w="2820" w:type="dxa"/>
            <w:vAlign w:val="bottom"/>
            <w:tcBorders>
              <w:bottom w:val="single" w:sz="8" w:color="939598"/>
            </w:tcBorders>
          </w:tcPr>
          <w:p>
            <w:pPr>
              <w:spacing w:after="0"/>
              <w:rPr>
                <w:sz w:val="13"/>
                <w:szCs w:val="13"/>
                <w:color w:val="auto"/>
              </w:rPr>
            </w:pPr>
          </w:p>
        </w:tc>
      </w:tr>
      <w:tr>
        <w:trPr>
          <w:trHeight w:val="364"/>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Mr. Watson</w:t>
            </w:r>
          </w:p>
        </w:tc>
        <w:tc>
          <w:tcPr>
            <w:tcW w:w="28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56"/>
        </w:trPr>
        <w:tc>
          <w:tcPr>
            <w:tcW w:w="3160" w:type="dxa"/>
            <w:vAlign w:val="bottom"/>
            <w:tcBorders>
              <w:bottom w:val="single" w:sz="8" w:color="D7282F"/>
            </w:tcBorders>
          </w:tcPr>
          <w:p>
            <w:pPr>
              <w:spacing w:after="0"/>
              <w:rPr>
                <w:sz w:val="13"/>
                <w:szCs w:val="13"/>
                <w:color w:val="auto"/>
              </w:rPr>
            </w:pPr>
          </w:p>
        </w:tc>
        <w:tc>
          <w:tcPr>
            <w:tcW w:w="2860" w:type="dxa"/>
            <w:vAlign w:val="bottom"/>
            <w:tcBorders>
              <w:bottom w:val="single" w:sz="8" w:color="D7282F"/>
            </w:tcBorders>
          </w:tcPr>
          <w:p>
            <w:pPr>
              <w:spacing w:after="0"/>
              <w:rPr>
                <w:sz w:val="13"/>
                <w:szCs w:val="13"/>
                <w:color w:val="auto"/>
              </w:rPr>
            </w:pPr>
          </w:p>
        </w:tc>
        <w:tc>
          <w:tcPr>
            <w:tcW w:w="2380" w:type="dxa"/>
            <w:vAlign w:val="bottom"/>
            <w:tcBorders>
              <w:bottom w:val="single" w:sz="8" w:color="D7282F"/>
            </w:tcBorders>
          </w:tcPr>
          <w:p>
            <w:pPr>
              <w:spacing w:after="0"/>
              <w:rPr>
                <w:sz w:val="13"/>
                <w:szCs w:val="13"/>
                <w:color w:val="auto"/>
              </w:rPr>
            </w:pPr>
          </w:p>
        </w:tc>
        <w:tc>
          <w:tcPr>
            <w:tcW w:w="2820" w:type="dxa"/>
            <w:vAlign w:val="bottom"/>
            <w:tcBorders>
              <w:bottom w:val="single" w:sz="8" w:color="D7282F"/>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-3342640</wp:posOffset>
            </wp:positionV>
            <wp:extent cx="102870" cy="1028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-3342640</wp:posOffset>
            </wp:positionV>
            <wp:extent cx="102870" cy="1028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-2999740</wp:posOffset>
            </wp:positionV>
            <wp:extent cx="102870" cy="1028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-2656840</wp:posOffset>
            </wp:positionV>
            <wp:extent cx="102870" cy="1028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-2313940</wp:posOffset>
            </wp:positionV>
            <wp:extent cx="102870" cy="1028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-2313940</wp:posOffset>
            </wp:positionV>
            <wp:extent cx="102870" cy="1028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-1971040</wp:posOffset>
            </wp:positionV>
            <wp:extent cx="102870" cy="1028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-1971040</wp:posOffset>
            </wp:positionV>
            <wp:extent cx="102870" cy="1028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-1628140</wp:posOffset>
            </wp:positionV>
            <wp:extent cx="102870" cy="1028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-1285240</wp:posOffset>
            </wp:positionV>
            <wp:extent cx="102870" cy="102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-942340</wp:posOffset>
            </wp:positionV>
            <wp:extent cx="102870" cy="1028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-942340</wp:posOffset>
            </wp:positionV>
            <wp:extent cx="102870" cy="1028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-599440</wp:posOffset>
            </wp:positionV>
            <wp:extent cx="102870"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-256540</wp:posOffset>
            </wp:positionV>
            <wp:extent cx="102870" cy="1028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162560</wp:posOffset>
            </wp:positionV>
            <wp:extent cx="102870" cy="1028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162560</wp:posOffset>
            </wp:positionV>
            <wp:extent cx="102870" cy="1028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49" w:lineRule="exact"/>
        <w:rPr>
          <w:sz w:val="20"/>
          <w:szCs w:val="20"/>
          <w:color w:val="auto"/>
        </w:rPr>
      </w:pPr>
    </w:p>
    <w:p>
      <w:pPr>
        <w:ind w:left="360"/>
        <w:spacing w:after="0"/>
        <w:tabs>
          <w:tab w:leader="none" w:pos="1900" w:val="left"/>
        </w:tabs>
        <w:rPr>
          <w:sz w:val="20"/>
          <w:szCs w:val="20"/>
          <w:color w:val="auto"/>
        </w:rPr>
      </w:pPr>
      <w:r>
        <w:rPr>
          <w:rFonts w:ascii="Arial" w:cs="Arial" w:eastAsia="Arial" w:hAnsi="Arial"/>
          <w:sz w:val="16"/>
          <w:szCs w:val="16"/>
          <w:color w:val="auto"/>
        </w:rPr>
        <w:t>Chair</w:t>
      </w:r>
      <w:r>
        <w:rPr>
          <w:sz w:val="20"/>
          <w:szCs w:val="20"/>
          <w:color w:val="auto"/>
        </w:rPr>
        <w:tab/>
      </w:r>
      <w:r>
        <w:rPr>
          <w:rFonts w:ascii="Arial" w:cs="Arial" w:eastAsia="Arial" w:hAnsi="Arial"/>
          <w:sz w:val="16"/>
          <w:szCs w:val="16"/>
          <w:color w:val="auto"/>
        </w:rPr>
        <w:t>Member</w:t>
      </w:r>
    </w:p>
    <w:p>
      <w:pPr>
        <w:spacing w:after="0" w:line="321" w:lineRule="exact"/>
        <w:rPr>
          <w:sz w:val="20"/>
          <w:szCs w:val="20"/>
          <w:color w:val="auto"/>
        </w:rPr>
      </w:pPr>
    </w:p>
    <w:p>
      <w:pPr>
        <w:ind w:left="200" w:hanging="192"/>
        <w:spacing w:after="0"/>
        <w:tabs>
          <w:tab w:leader="none" w:pos="200" w:val="left"/>
        </w:tabs>
        <w:numPr>
          <w:ilvl w:val="0"/>
          <w:numId w:val="93"/>
        </w:numPr>
        <w:rPr>
          <w:rFonts w:ascii="Arial" w:cs="Arial" w:eastAsia="Arial" w:hAnsi="Arial"/>
          <w:sz w:val="16"/>
          <w:szCs w:val="16"/>
          <w:color w:val="auto"/>
          <w:vertAlign w:val="superscript"/>
        </w:rPr>
      </w:pPr>
      <w:r>
        <w:rPr>
          <w:rFonts w:ascii="Arial" w:cs="Arial" w:eastAsia="Arial" w:hAnsi="Arial"/>
          <w:sz w:val="13"/>
          <w:szCs w:val="13"/>
          <w:color w:val="auto"/>
        </w:rPr>
        <w:t xml:space="preserve">Lead Director is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of each committee on which he does not otherwise serve.</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23430" cy="31375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23430" cy="3137535"/>
                    </a:xfrm>
                    <a:prstGeom prst="rect">
                      <a:avLst/>
                    </a:prstGeom>
                    <a:noFill/>
                  </pic:spPr>
                </pic:pic>
              </a:graphicData>
            </a:graphic>
          </wp:anchor>
        </w:drawing>
      </w:r>
    </w:p>
    <w:p>
      <w:pPr>
        <w:sectPr>
          <w:pgSz w:w="11900" w:h="16838" w:orient="portrait"/>
          <w:cols w:equalWidth="0" w:num="1">
            <w:col w:w="11220"/>
          </w:cols>
          <w:pgMar w:left="320" w:top="230" w:right="359" w:bottom="0" w:gutter="0" w:footer="0" w:header="0"/>
        </w:sect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 Chair: </w:t>
      </w:r>
      <w:r>
        <w:rPr>
          <w:rFonts w:ascii="Arial" w:cs="Arial" w:eastAsia="Arial" w:hAnsi="Arial"/>
          <w:sz w:val="16"/>
          <w:szCs w:val="16"/>
          <w:b w:val="1"/>
          <w:bCs w:val="1"/>
          <w:color w:val="D7282F"/>
        </w:rPr>
        <w:t>D. Scott Davis</w:t>
      </w:r>
      <w:r>
        <w:rPr>
          <w:rFonts w:ascii="Arial" w:cs="Arial" w:eastAsia="Arial" w:hAnsi="Arial"/>
          <w:sz w:val="21"/>
          <w:szCs w:val="21"/>
          <w:b w:val="1"/>
          <w:bCs w:val="1"/>
          <w:color w:val="D7282F"/>
          <w:vertAlign w:val="superscript"/>
        </w:rPr>
        <w:t>†</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Committee Members</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William S. Ayer (</w:t>
      </w:r>
      <w:r>
        <w:rPr>
          <w:rFonts w:ascii="Arial" w:cs="Arial" w:eastAsia="Arial" w:hAnsi="Arial"/>
          <w:sz w:val="16"/>
          <w:szCs w:val="16"/>
          <w:i w:val="1"/>
          <w:iCs w:val="1"/>
          <w:color w:val="auto"/>
        </w:rPr>
        <w:t>ex officio</w:t>
      </w:r>
      <w:r>
        <w:rPr>
          <w:rFonts w:ascii="Arial" w:cs="Arial" w:eastAsia="Arial" w:hAnsi="Arial"/>
          <w:sz w:val="16"/>
          <w:szCs w:val="16"/>
          <w:color w:val="auto"/>
        </w:rPr>
        <w:t>)</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Kevin Burke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Michael W. Lamach</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Robin L. Washington</w:t>
      </w:r>
      <w:r>
        <w:rPr>
          <w:rFonts w:ascii="Arial" w:cs="Arial" w:eastAsia="Arial" w:hAnsi="Arial"/>
          <w:sz w:val="21"/>
          <w:szCs w:val="21"/>
          <w:color w:val="auto"/>
          <w:vertAlign w:val="superscript"/>
        </w:rPr>
        <w:t>†</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Robin Watson</w:t>
      </w:r>
    </w:p>
    <w:p>
      <w:pPr>
        <w:spacing w:after="0" w:line="68" w:lineRule="exact"/>
        <w:rPr>
          <w:sz w:val="20"/>
          <w:szCs w:val="20"/>
          <w:color w:val="auto"/>
        </w:rPr>
      </w:pPr>
    </w:p>
    <w:p>
      <w:pPr>
        <w:ind w:left="300" w:hanging="145"/>
        <w:spacing w:after="0"/>
        <w:tabs>
          <w:tab w:leader="none" w:pos="300"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Audit Committee Financial Expert</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Meetings Held in 2023: </w:t>
      </w:r>
      <w:r>
        <w:rPr>
          <w:rFonts w:ascii="Arial" w:cs="Arial" w:eastAsia="Arial" w:hAnsi="Arial"/>
          <w:sz w:val="16"/>
          <w:szCs w:val="16"/>
          <w:b w:val="1"/>
          <w:bCs w:val="1"/>
          <w:color w:val="EE2724"/>
        </w:rPr>
        <w:t>9</w:t>
      </w:r>
    </w:p>
    <w:p>
      <w:pPr>
        <w:spacing w:after="0" w:line="73" w:lineRule="exact"/>
        <w:rPr>
          <w:sz w:val="20"/>
          <w:szCs w:val="20"/>
          <w:color w:val="auto"/>
        </w:rPr>
      </w:pPr>
    </w:p>
    <w:p>
      <w:pPr>
        <w:ind w:left="340" w:hanging="184"/>
        <w:spacing w:after="0"/>
        <w:tabs>
          <w:tab w:leader="none" w:pos="340"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All members independent</w:t>
      </w:r>
    </w:p>
    <w:p>
      <w:pPr>
        <w:spacing w:after="0" w:line="86" w:lineRule="exact"/>
        <w:rPr>
          <w:rFonts w:ascii="Arial" w:cs="Arial" w:eastAsia="Arial" w:hAnsi="Arial"/>
          <w:sz w:val="16"/>
          <w:szCs w:val="16"/>
          <w:b w:val="1"/>
          <w:bCs w:val="1"/>
          <w:color w:val="D7282F"/>
        </w:rPr>
      </w:pPr>
    </w:p>
    <w:p>
      <w:pPr>
        <w:ind w:left="360" w:right="1260" w:hanging="204"/>
        <w:spacing w:after="0" w:line="286" w:lineRule="auto"/>
        <w:tabs>
          <w:tab w:leader="none" w:pos="357"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Has oversight over our independent accountant</w:t>
      </w:r>
    </w:p>
    <w:p>
      <w:pPr>
        <w:spacing w:after="0" w:line="20" w:lineRule="exact"/>
        <w:rPr>
          <w:rFonts w:ascii="Arial" w:cs="Arial" w:eastAsia="Arial" w:hAnsi="Arial"/>
          <w:sz w:val="16"/>
          <w:szCs w:val="16"/>
          <w:b w:val="1"/>
          <w:bCs w:val="1"/>
          <w:color w:val="D7282F"/>
        </w:rPr>
      </w:pPr>
    </w:p>
    <w:p>
      <w:pPr>
        <w:ind w:left="360" w:hanging="204"/>
        <w:spacing w:after="0" w:line="275" w:lineRule="auto"/>
        <w:tabs>
          <w:tab w:leader="none" w:pos="357" w:val="left"/>
        </w:tabs>
        <w:numPr>
          <w:ilvl w:val="0"/>
          <w:numId w:val="95"/>
        </w:numPr>
        <w:rPr>
          <w:rFonts w:ascii="Arial" w:cs="Arial" w:eastAsia="Arial" w:hAnsi="Arial"/>
          <w:sz w:val="16"/>
          <w:szCs w:val="16"/>
          <w:b w:val="1"/>
          <w:bCs w:val="1"/>
          <w:color w:val="D7282F"/>
        </w:rPr>
      </w:pPr>
      <w:r>
        <w:rPr>
          <w:rFonts w:ascii="Arial" w:cs="Arial" w:eastAsia="Arial" w:hAnsi="Arial"/>
          <w:sz w:val="16"/>
          <w:szCs w:val="16"/>
          <w:color w:val="auto"/>
        </w:rPr>
        <w:t>Separately designated standing audit committee established in accordance with Section 3(a)(58) (A) of the Exchange Act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ind w:left="196" w:right="280" w:hanging="196"/>
        <w:spacing w:after="0" w:line="260" w:lineRule="auto"/>
        <w:tabs>
          <w:tab w:leader="none" w:pos="193"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Consider the independence of, appoint (and recommend to shareowners for approval), and be directly responsible for the compensation, retention, and oversight of the firm that serves as independent accountants to audit our financial statements and to perform services related to the audit; this includes resolving disagreements between the firm and management regarding financial reporting.</w:t>
      </w:r>
    </w:p>
    <w:p>
      <w:pPr>
        <w:spacing w:after="0" w:line="2" w:lineRule="exact"/>
        <w:rPr>
          <w:rFonts w:ascii="Arial" w:cs="Arial" w:eastAsia="Arial" w:hAnsi="Arial"/>
          <w:sz w:val="16"/>
          <w:szCs w:val="16"/>
          <w:b w:val="1"/>
          <w:bCs w:val="1"/>
          <w:color w:val="D7282F"/>
        </w:rPr>
      </w:pPr>
    </w:p>
    <w:p>
      <w:pPr>
        <w:ind w:left="196" w:hanging="196"/>
        <w:spacing w:after="0"/>
        <w:tabs>
          <w:tab w:leader="none" w:pos="196"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Review the scope and results of the audit with the independent accountants.</w:t>
      </w:r>
    </w:p>
    <w:p>
      <w:pPr>
        <w:spacing w:after="0" w:line="38" w:lineRule="exact"/>
        <w:rPr>
          <w:rFonts w:ascii="Arial" w:cs="Arial" w:eastAsia="Arial" w:hAnsi="Arial"/>
          <w:sz w:val="16"/>
          <w:szCs w:val="16"/>
          <w:b w:val="1"/>
          <w:bCs w:val="1"/>
          <w:color w:val="D7282F"/>
        </w:rPr>
      </w:pPr>
    </w:p>
    <w:p>
      <w:pPr>
        <w:jc w:val="both"/>
        <w:ind w:left="196" w:right="180" w:hanging="196"/>
        <w:spacing w:after="0" w:line="261" w:lineRule="auto"/>
        <w:tabs>
          <w:tab w:leader="none" w:pos="193"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Review with management and the independent accountants, prior to filing, the annual and interim financial results (including Management’s Discussion and Analysis) to be included in Forms 10-K and 10-Q.</w:t>
      </w:r>
    </w:p>
    <w:p>
      <w:pPr>
        <w:ind w:left="196" w:right="620" w:hanging="196"/>
        <w:spacing w:after="0" w:line="272" w:lineRule="auto"/>
        <w:tabs>
          <w:tab w:leader="none" w:pos="193"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Consider the adequacy and effectiveness of our internal control over financial reporting and auditing procedures.</w:t>
      </w:r>
    </w:p>
    <w:p>
      <w:pPr>
        <w:spacing w:after="0" w:line="1" w:lineRule="exact"/>
        <w:rPr>
          <w:rFonts w:ascii="Arial" w:cs="Arial" w:eastAsia="Arial" w:hAnsi="Arial"/>
          <w:sz w:val="16"/>
          <w:szCs w:val="16"/>
          <w:b w:val="1"/>
          <w:bCs w:val="1"/>
          <w:color w:val="D7282F"/>
        </w:rPr>
      </w:pPr>
    </w:p>
    <w:p>
      <w:pPr>
        <w:ind w:left="196" w:right="200" w:hanging="196"/>
        <w:spacing w:after="0" w:line="264" w:lineRule="auto"/>
        <w:tabs>
          <w:tab w:leader="none" w:pos="193"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Review, approve, and establish procedures for the receipt, retention, and treatment of complaints received by Honeywell regarding accounting, internal control over financial reporting, or auditing matters and for the confidential, anonymous submission by employees of concerns regarding questionable accounting or auditing matters.</w:t>
      </w:r>
    </w:p>
    <w:p>
      <w:pPr>
        <w:ind w:left="196" w:right="80" w:hanging="196"/>
        <w:spacing w:after="0" w:line="259" w:lineRule="auto"/>
        <w:tabs>
          <w:tab w:leader="none" w:pos="193"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Monitor and provide risk oversight with respect to focus areas assigned to the committee from time to time by the Board including cybersecurity, artificial intelligence, tax and liquidity management, product integrity and product security, vendor risk, operational business continuity, and crisis management.</w:t>
      </w:r>
    </w:p>
    <w:p>
      <w:pPr>
        <w:spacing w:after="0" w:line="2" w:lineRule="exact"/>
        <w:rPr>
          <w:rFonts w:ascii="Arial" w:cs="Arial" w:eastAsia="Arial" w:hAnsi="Arial"/>
          <w:sz w:val="16"/>
          <w:szCs w:val="16"/>
          <w:b w:val="1"/>
          <w:bCs w:val="1"/>
          <w:color w:val="D7282F"/>
        </w:rPr>
      </w:pPr>
    </w:p>
    <w:p>
      <w:pPr>
        <w:ind w:left="196" w:right="340" w:hanging="196"/>
        <w:spacing w:after="0" w:line="272" w:lineRule="auto"/>
        <w:tabs>
          <w:tab w:leader="none" w:pos="193"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Together with the full Board, exercise oversight over the ERM process and assess adequacy of mitigation strategies for the risks identified through ERM.</w:t>
      </w:r>
    </w:p>
    <w:p>
      <w:pPr>
        <w:spacing w:after="0" w:line="1" w:lineRule="exact"/>
        <w:rPr>
          <w:rFonts w:ascii="Arial" w:cs="Arial" w:eastAsia="Arial" w:hAnsi="Arial"/>
          <w:sz w:val="16"/>
          <w:szCs w:val="16"/>
          <w:b w:val="1"/>
          <w:bCs w:val="1"/>
          <w:color w:val="D7282F"/>
        </w:rPr>
      </w:pPr>
    </w:p>
    <w:p>
      <w:pPr>
        <w:ind w:left="196" w:hanging="196"/>
        <w:spacing w:after="0"/>
        <w:tabs>
          <w:tab w:leader="none" w:pos="196" w:val="left"/>
        </w:tabs>
        <w:numPr>
          <w:ilvl w:val="0"/>
          <w:numId w:val="96"/>
        </w:numPr>
        <w:rPr>
          <w:rFonts w:ascii="Arial" w:cs="Arial" w:eastAsia="Arial" w:hAnsi="Arial"/>
          <w:sz w:val="16"/>
          <w:szCs w:val="16"/>
          <w:b w:val="1"/>
          <w:bCs w:val="1"/>
          <w:color w:val="D7282F"/>
        </w:rPr>
      </w:pPr>
      <w:r>
        <w:rPr>
          <w:rFonts w:ascii="Arial" w:cs="Arial" w:eastAsia="Arial" w:hAnsi="Arial"/>
          <w:sz w:val="16"/>
          <w:szCs w:val="16"/>
          <w:color w:val="auto"/>
        </w:rPr>
        <w:t>Oversee performance of the Company's internal audit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278130</wp:posOffset>
            </wp:positionV>
            <wp:extent cx="71234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544"/>
            <w:col w:w="7336"/>
          </w:cols>
          <w:pgMar w:left="320" w:top="230" w:right="359" w:bottom="0" w:gutter="0" w:footer="0" w:header="0"/>
          <w:type w:val="continuous"/>
        </w:sectPr>
      </w:pPr>
    </w:p>
    <w:p>
      <w:pPr>
        <w:spacing w:after="0" w:line="377" w:lineRule="exact"/>
        <w:rPr>
          <w:sz w:val="20"/>
          <w:szCs w:val="20"/>
          <w:color w:val="auto"/>
        </w:rPr>
      </w:pPr>
    </w:p>
    <w:p>
      <w:pPr>
        <w:ind w:left="200" w:hanging="192"/>
        <w:spacing w:after="0"/>
        <w:tabs>
          <w:tab w:leader="none" w:pos="200" w:val="left"/>
        </w:tabs>
        <w:numPr>
          <w:ilvl w:val="0"/>
          <w:numId w:val="97"/>
        </w:numPr>
        <w:rPr>
          <w:rFonts w:ascii="Arial" w:cs="Arial" w:eastAsia="Arial" w:hAnsi="Arial"/>
          <w:sz w:val="16"/>
          <w:szCs w:val="16"/>
          <w:color w:val="auto"/>
          <w:vertAlign w:val="superscript"/>
        </w:rPr>
      </w:pPr>
      <w:r>
        <w:rPr>
          <w:rFonts w:ascii="Arial" w:cs="Arial" w:eastAsia="Arial" w:hAnsi="Arial"/>
          <w:sz w:val="13"/>
          <w:szCs w:val="13"/>
          <w:color w:val="auto"/>
        </w:rPr>
        <w:t>Effective as of the Annual Meeting. Mr. Ayer is not currently a member of the Audit Committee. Mr. Lamach was appointed effective December 1, 2023.</w:t>
      </w:r>
    </w:p>
    <w:p>
      <w:pPr>
        <w:spacing w:after="0" w:line="10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b w:val="1"/>
          <w:bCs w:val="1"/>
          <w:color w:val="auto"/>
        </w:rPr>
        <w:t xml:space="preserve">Audit Committee Oversight of Independent Accountants. </w:t>
      </w:r>
      <w:r>
        <w:rPr>
          <w:rFonts w:ascii="Arial" w:cs="Arial" w:eastAsia="Arial" w:hAnsi="Arial"/>
          <w:sz w:val="16"/>
          <w:szCs w:val="16"/>
          <w:color w:val="auto"/>
        </w:rPr>
        <w:t>The Audit Committee seeks to ensure the exercise of appropriate professional skepticism by</w:t>
      </w:r>
      <w:r>
        <w:rPr>
          <w:rFonts w:ascii="Arial" w:cs="Arial" w:eastAsia="Arial" w:hAnsi="Arial"/>
          <w:sz w:val="16"/>
          <w:szCs w:val="16"/>
          <w:b w:val="1"/>
          <w:bCs w:val="1"/>
          <w:color w:val="auto"/>
        </w:rPr>
        <w:t xml:space="preserve"> </w:t>
      </w:r>
      <w:r>
        <w:rPr>
          <w:rFonts w:ascii="Arial" w:cs="Arial" w:eastAsia="Arial" w:hAnsi="Arial"/>
          <w:sz w:val="16"/>
          <w:szCs w:val="16"/>
          <w:color w:val="auto"/>
        </w:rPr>
        <w:t>the independent accountants by reviewing and discussing, among other things, management and auditor reports regarding significant estimates and judgments and the results of peer quality review and Public Company Accounting Oversight Board inspections of the independent accountants. The Audit Committee also reviews and pre-approves all audit and non-audit services provided to Honeywell by the independent accountants to determine that such services would not adversely impact auditor independence and objectivity. The Audit Committee also holds separate executive sessions at each in-person meeting with representatives of our independent accountants and with Honeywell’s Chief Financial Officer and Vice President of Corporate Audit.</w:t>
      </w:r>
    </w:p>
    <w:p>
      <w:pPr>
        <w:sectPr>
          <w:pgSz w:w="11900" w:h="16838" w:orient="portrait"/>
          <w:cols w:equalWidth="0" w:num="1">
            <w:col w:w="11220"/>
          </w:cols>
          <w:pgMar w:left="320" w:top="230" w:right="359" w:bottom="0" w:gutter="0" w:footer="0" w:header="0"/>
          <w:type w:val="continuous"/>
        </w:sectPr>
      </w:pPr>
    </w:p>
    <w:bookmarkStart w:id="40" w:name="page41"/>
    <w:bookmarkEnd w:id="40"/>
    <w:p>
      <w:pPr>
        <w:spacing w:after="0"/>
        <w:tabs>
          <w:tab w:leader="none" w:pos="453" w:val="left"/>
          <w:tab w:leader="none" w:pos="18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sz w:val="1"/>
          <w:szCs w:val="1"/>
          <w:color w:val="auto"/>
        </w:rPr>
        <w:drawing>
          <wp:inline distT="0" distB="0" distL="0" distR="0">
            <wp:extent cx="548640" cy="10287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259080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72"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AND RESPONSIBILITY COMMITTEE (CGRC)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23430" cy="29660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23430" cy="296608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 Chair: </w:t>
      </w:r>
      <w:r>
        <w:rPr>
          <w:rFonts w:ascii="Arial" w:cs="Arial" w:eastAsia="Arial" w:hAnsi="Arial"/>
          <w:sz w:val="16"/>
          <w:szCs w:val="16"/>
          <w:b w:val="1"/>
          <w:bCs w:val="1"/>
          <w:color w:val="D7282F"/>
        </w:rPr>
        <w:t>William S. Ayer</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Committee Members</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Duncan B. Angove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 Scott Davis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Deborah Flint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Grace Lieblein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Meetings Held in 2023: </w:t>
      </w:r>
      <w:r>
        <w:rPr>
          <w:rFonts w:ascii="Arial" w:cs="Arial" w:eastAsia="Arial" w:hAnsi="Arial"/>
          <w:sz w:val="16"/>
          <w:szCs w:val="16"/>
          <w:b w:val="1"/>
          <w:bCs w:val="1"/>
          <w:color w:val="EE2724"/>
        </w:rPr>
        <w:t>3</w:t>
      </w:r>
    </w:p>
    <w:p>
      <w:pPr>
        <w:spacing w:after="0" w:line="86" w:lineRule="exact"/>
        <w:rPr>
          <w:sz w:val="20"/>
          <w:szCs w:val="20"/>
          <w:color w:val="auto"/>
        </w:rPr>
      </w:pPr>
    </w:p>
    <w:p>
      <w:pPr>
        <w:ind w:left="340" w:hanging="184"/>
        <w:spacing w:after="0"/>
        <w:tabs>
          <w:tab w:leader="none" w:pos="340" w:val="left"/>
        </w:tabs>
        <w:numPr>
          <w:ilvl w:val="0"/>
          <w:numId w:val="98"/>
        </w:numPr>
        <w:rPr>
          <w:rFonts w:ascii="Arial" w:cs="Arial" w:eastAsia="Arial" w:hAnsi="Arial"/>
          <w:sz w:val="16"/>
          <w:szCs w:val="16"/>
          <w:b w:val="1"/>
          <w:bCs w:val="1"/>
          <w:color w:val="D7282F"/>
        </w:rPr>
      </w:pPr>
      <w:r>
        <w:rPr>
          <w:rFonts w:ascii="Arial" w:cs="Arial" w:eastAsia="Arial" w:hAnsi="Arial"/>
          <w:sz w:val="16"/>
          <w:szCs w:val="16"/>
          <w:color w:val="auto"/>
        </w:rPr>
        <w:t>All members independent</w:t>
      </w:r>
    </w:p>
    <w:p>
      <w:pPr>
        <w:spacing w:after="0" w:line="86" w:lineRule="exact"/>
        <w:rPr>
          <w:rFonts w:ascii="Arial" w:cs="Arial" w:eastAsia="Arial" w:hAnsi="Arial"/>
          <w:sz w:val="16"/>
          <w:szCs w:val="16"/>
          <w:b w:val="1"/>
          <w:bCs w:val="1"/>
          <w:color w:val="D7282F"/>
        </w:rPr>
      </w:pPr>
    </w:p>
    <w:p>
      <w:pPr>
        <w:ind w:left="340" w:hanging="184"/>
        <w:spacing w:after="0"/>
        <w:tabs>
          <w:tab w:leader="none" w:pos="340" w:val="left"/>
        </w:tabs>
        <w:numPr>
          <w:ilvl w:val="0"/>
          <w:numId w:val="98"/>
        </w:numPr>
        <w:rPr>
          <w:rFonts w:ascii="Arial" w:cs="Arial" w:eastAsia="Arial" w:hAnsi="Arial"/>
          <w:sz w:val="16"/>
          <w:szCs w:val="16"/>
          <w:b w:val="1"/>
          <w:bCs w:val="1"/>
          <w:color w:val="D7282F"/>
        </w:rPr>
      </w:pPr>
      <w:r>
        <w:rPr>
          <w:rFonts w:ascii="Arial" w:cs="Arial" w:eastAsia="Arial" w:hAnsi="Arial"/>
          <w:sz w:val="16"/>
          <w:szCs w:val="16"/>
          <w:color w:val="auto"/>
        </w:rPr>
        <w:t>Also serves as the nominating committee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96" w:right="200" w:hanging="196"/>
        <w:spacing w:after="0" w:line="264" w:lineRule="auto"/>
        <w:tabs>
          <w:tab w:leader="none" w:pos="193"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Identify and evaluate potential director candidates and recommend to the Board the nominees for election to the Board.</w:t>
      </w:r>
    </w:p>
    <w:p>
      <w:pPr>
        <w:ind w:left="196" w:right="200" w:hanging="196"/>
        <w:spacing w:after="0" w:line="258" w:lineRule="auto"/>
        <w:tabs>
          <w:tab w:leader="none" w:pos="193"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Review and make a recommendation to the Board regarding whether to accept a resignation tendered by a Board nominee who does not receive a majority of votes cast for his or her election in an uncontested election of directors.</w:t>
      </w:r>
    </w:p>
    <w:p>
      <w:pPr>
        <w:ind w:left="196" w:hanging="196"/>
        <w:spacing w:after="0"/>
        <w:tabs>
          <w:tab w:leader="none" w:pos="196"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Review and recommend changes to the Corporate Governance Guidelines.</w:t>
      </w:r>
    </w:p>
    <w:p>
      <w:pPr>
        <w:spacing w:after="0" w:line="45" w:lineRule="exact"/>
        <w:rPr>
          <w:rFonts w:ascii="Arial" w:cs="Arial" w:eastAsia="Arial" w:hAnsi="Arial"/>
          <w:sz w:val="16"/>
          <w:szCs w:val="16"/>
          <w:b w:val="1"/>
          <w:bCs w:val="1"/>
          <w:color w:val="D7282F"/>
        </w:rPr>
      </w:pPr>
    </w:p>
    <w:p>
      <w:pPr>
        <w:ind w:left="196" w:right="700" w:hanging="196"/>
        <w:spacing w:after="0" w:line="264" w:lineRule="auto"/>
        <w:tabs>
          <w:tab w:leader="none" w:pos="193"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Together with the independent Lead Director, lead the Board in its annual evaluation of the performance of the Board and its committees.</w:t>
      </w:r>
    </w:p>
    <w:p>
      <w:pPr>
        <w:ind w:left="196" w:right="180" w:hanging="196"/>
        <w:spacing w:after="0" w:line="252" w:lineRule="auto"/>
        <w:tabs>
          <w:tab w:leader="none" w:pos="193"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Review policies and make recommendations to the Board concerning the size and composition of the Board, qualifications and criteria for director nominees, director retirement policies, compensation and benefits of non-employee directors, conduct of business between Honeywell and any person or entity affiliated with a director, the structure and composition of Board committees, and the allocation of risk oversight responsibilities among Board committees.</w:t>
      </w:r>
    </w:p>
    <w:p>
      <w:pPr>
        <w:spacing w:after="0" w:line="6" w:lineRule="exact"/>
        <w:rPr>
          <w:rFonts w:ascii="Arial" w:cs="Arial" w:eastAsia="Arial" w:hAnsi="Arial"/>
          <w:sz w:val="16"/>
          <w:szCs w:val="16"/>
          <w:b w:val="1"/>
          <w:bCs w:val="1"/>
          <w:color w:val="D7282F"/>
        </w:rPr>
      </w:pPr>
    </w:p>
    <w:p>
      <w:pPr>
        <w:ind w:left="196" w:hanging="196"/>
        <w:spacing w:after="0"/>
        <w:tabs>
          <w:tab w:leader="none" w:pos="196"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Oversee overall ESG performance and associated risks and opportunities.</w:t>
      </w:r>
    </w:p>
    <w:p>
      <w:pPr>
        <w:spacing w:after="0" w:line="38" w:lineRule="exact"/>
        <w:rPr>
          <w:rFonts w:ascii="Arial" w:cs="Arial" w:eastAsia="Arial" w:hAnsi="Arial"/>
          <w:sz w:val="16"/>
          <w:szCs w:val="16"/>
          <w:b w:val="1"/>
          <w:bCs w:val="1"/>
          <w:color w:val="D7282F"/>
        </w:rPr>
      </w:pPr>
    </w:p>
    <w:p>
      <w:pPr>
        <w:ind w:left="196" w:right="100" w:hanging="196"/>
        <w:spacing w:after="0" w:line="253" w:lineRule="auto"/>
        <w:tabs>
          <w:tab w:leader="none" w:pos="193"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Monitor and provide risk oversight with respect to focus areas assigned to the committee from time to time by the Board, including political contributions and lobbying, geopolitical risk, regulatory compliance matters, integrity and ethics, health, safety, environmental, product stewardship, sustainability and environmental justice.</w:t>
      </w:r>
    </w:p>
    <w:p>
      <w:pPr>
        <w:ind w:left="196" w:right="240" w:hanging="196"/>
        <w:spacing w:after="0" w:line="286" w:lineRule="auto"/>
        <w:tabs>
          <w:tab w:leader="none" w:pos="193" w:val="left"/>
        </w:tabs>
        <w:numPr>
          <w:ilvl w:val="0"/>
          <w:numId w:val="99"/>
        </w:numPr>
        <w:rPr>
          <w:rFonts w:ascii="Arial" w:cs="Arial" w:eastAsia="Arial" w:hAnsi="Arial"/>
          <w:sz w:val="16"/>
          <w:szCs w:val="16"/>
          <w:b w:val="1"/>
          <w:bCs w:val="1"/>
          <w:color w:val="D7282F"/>
        </w:rPr>
      </w:pPr>
      <w:r>
        <w:rPr>
          <w:rFonts w:ascii="Arial" w:cs="Arial" w:eastAsia="Arial" w:hAnsi="Arial"/>
          <w:sz w:val="16"/>
          <w:szCs w:val="16"/>
          <w:color w:val="auto"/>
        </w:rPr>
        <w:t>Review our policies and programs as may be brought to the attention of the committee regarding Honeywell’s role as a responsible corporate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382270</wp:posOffset>
            </wp:positionV>
            <wp:extent cx="71234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584"/>
            <w:col w:w="7356"/>
          </w:cols>
          <w:pgMar w:left="320" w:top="230" w:right="3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200" w:hanging="192"/>
        <w:spacing w:after="0"/>
        <w:tabs>
          <w:tab w:leader="none" w:pos="200" w:val="left"/>
        </w:tabs>
        <w:numPr>
          <w:ilvl w:val="0"/>
          <w:numId w:val="100"/>
        </w:numPr>
        <w:rPr>
          <w:rFonts w:ascii="Arial" w:cs="Arial" w:eastAsia="Arial" w:hAnsi="Arial"/>
          <w:sz w:val="16"/>
          <w:szCs w:val="16"/>
          <w:color w:val="auto"/>
          <w:vertAlign w:val="superscript"/>
        </w:rPr>
      </w:pPr>
      <w:r>
        <w:rPr>
          <w:rFonts w:ascii="Arial" w:cs="Arial" w:eastAsia="Arial" w:hAnsi="Arial"/>
          <w:sz w:val="13"/>
          <w:szCs w:val="13"/>
          <w:color w:val="auto"/>
        </w:rPr>
        <w:t xml:space="preserve">Effective as of the Annual Meeting. Mr. Davis is currently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of the CGRC. Mr. Angove was appointed effective February 1, 2024.</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DEVELOPMENT AND COMPENSATION COMMITTEE (MDCC)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0034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30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Committee Chair: </w:t>
      </w:r>
      <w:r>
        <w:rPr>
          <w:rFonts w:ascii="Arial" w:cs="Arial" w:eastAsia="Arial" w:hAnsi="Arial"/>
          <w:sz w:val="16"/>
          <w:szCs w:val="16"/>
          <w:b w:val="1"/>
          <w:bCs w:val="1"/>
          <w:color w:val="D7282F"/>
        </w:rPr>
        <w:t>Grace Lieblein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357120" cy="31889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357120" cy="3188970"/>
                    </a:xfrm>
                    <a:prstGeom prst="rect">
                      <a:avLst/>
                    </a:prstGeom>
                    <a:noFill/>
                  </pic:spPr>
                </pic:pic>
              </a:graphicData>
            </a:graphic>
          </wp:anchor>
        </w:drawing>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Committee Members</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Duncan B. Angove</w:t>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William S. Ayer (</w:t>
      </w:r>
      <w:r>
        <w:rPr>
          <w:rFonts w:ascii="Arial" w:cs="Arial" w:eastAsia="Arial" w:hAnsi="Arial"/>
          <w:sz w:val="16"/>
          <w:szCs w:val="16"/>
          <w:i w:val="1"/>
          <w:iCs w:val="1"/>
          <w:color w:val="auto"/>
        </w:rPr>
        <w:t>ex officio</w:t>
      </w:r>
      <w:r>
        <w:rPr>
          <w:rFonts w:ascii="Arial" w:cs="Arial" w:eastAsia="Arial" w:hAnsi="Arial"/>
          <w:sz w:val="16"/>
          <w:szCs w:val="16"/>
          <w:color w:val="auto"/>
        </w:rPr>
        <w: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Deborah Flint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Rose Lee</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Meetings Held in 2023: </w:t>
      </w:r>
      <w:r>
        <w:rPr>
          <w:rFonts w:ascii="Arial" w:cs="Arial" w:eastAsia="Arial" w:hAnsi="Arial"/>
          <w:sz w:val="16"/>
          <w:szCs w:val="16"/>
          <w:b w:val="1"/>
          <w:bCs w:val="1"/>
          <w:color w:val="EE2724"/>
        </w:rPr>
        <w:t>5</w:t>
      </w:r>
    </w:p>
    <w:p>
      <w:pPr>
        <w:spacing w:after="0" w:line="73" w:lineRule="exact"/>
        <w:rPr>
          <w:sz w:val="20"/>
          <w:szCs w:val="20"/>
          <w:color w:val="auto"/>
        </w:rPr>
      </w:pPr>
    </w:p>
    <w:p>
      <w:pPr>
        <w:ind w:left="340" w:hanging="184"/>
        <w:spacing w:after="0"/>
        <w:tabs>
          <w:tab w:leader="none" w:pos="340" w:val="left"/>
        </w:tabs>
        <w:numPr>
          <w:ilvl w:val="0"/>
          <w:numId w:val="101"/>
        </w:numPr>
        <w:rPr>
          <w:rFonts w:ascii="Arial" w:cs="Arial" w:eastAsia="Arial" w:hAnsi="Arial"/>
          <w:sz w:val="16"/>
          <w:szCs w:val="16"/>
          <w:b w:val="1"/>
          <w:bCs w:val="1"/>
          <w:color w:val="D7282F"/>
        </w:rPr>
      </w:pPr>
      <w:r>
        <w:rPr>
          <w:rFonts w:ascii="Arial" w:cs="Arial" w:eastAsia="Arial" w:hAnsi="Arial"/>
          <w:sz w:val="16"/>
          <w:szCs w:val="16"/>
          <w:color w:val="auto"/>
        </w:rPr>
        <w:t>All members independent</w:t>
      </w:r>
    </w:p>
    <w:p>
      <w:pPr>
        <w:spacing w:after="0" w:line="86" w:lineRule="exact"/>
        <w:rPr>
          <w:rFonts w:ascii="Arial" w:cs="Arial" w:eastAsia="Arial" w:hAnsi="Arial"/>
          <w:sz w:val="16"/>
          <w:szCs w:val="16"/>
          <w:b w:val="1"/>
          <w:bCs w:val="1"/>
          <w:color w:val="D7282F"/>
        </w:rPr>
      </w:pPr>
    </w:p>
    <w:p>
      <w:pPr>
        <w:ind w:left="360" w:right="356" w:hanging="204"/>
        <w:spacing w:after="0" w:line="299" w:lineRule="auto"/>
        <w:tabs>
          <w:tab w:leader="none" w:pos="357" w:val="left"/>
        </w:tabs>
        <w:numPr>
          <w:ilvl w:val="0"/>
          <w:numId w:val="101"/>
        </w:numPr>
        <w:rPr>
          <w:rFonts w:ascii="Arial" w:cs="Arial" w:eastAsia="Arial" w:hAnsi="Arial"/>
          <w:sz w:val="16"/>
          <w:szCs w:val="16"/>
          <w:b w:val="1"/>
          <w:bCs w:val="1"/>
          <w:color w:val="D7282F"/>
        </w:rPr>
      </w:pPr>
      <w:r>
        <w:rPr>
          <w:rFonts w:ascii="Arial" w:cs="Arial" w:eastAsia="Arial" w:hAnsi="Arial"/>
          <w:sz w:val="16"/>
          <w:szCs w:val="16"/>
          <w:color w:val="auto"/>
        </w:rPr>
        <w:t>Administers Honeywell’s executive compensation program</w:t>
      </w:r>
    </w:p>
    <w:p>
      <w:pPr>
        <w:ind w:left="360" w:right="956" w:hanging="204"/>
        <w:spacing w:after="0" w:line="304" w:lineRule="auto"/>
        <w:tabs>
          <w:tab w:leader="none" w:pos="357" w:val="left"/>
        </w:tabs>
        <w:numPr>
          <w:ilvl w:val="0"/>
          <w:numId w:val="101"/>
        </w:numPr>
        <w:rPr>
          <w:rFonts w:ascii="Arial" w:cs="Arial" w:eastAsia="Arial" w:hAnsi="Arial"/>
          <w:sz w:val="16"/>
          <w:szCs w:val="16"/>
          <w:b w:val="1"/>
          <w:bCs w:val="1"/>
          <w:color w:val="D7282F"/>
        </w:rPr>
      </w:pPr>
      <w:r>
        <w:rPr>
          <w:rFonts w:ascii="Arial" w:cs="Arial" w:eastAsia="Arial" w:hAnsi="Arial"/>
          <w:sz w:val="16"/>
          <w:szCs w:val="16"/>
          <w:color w:val="auto"/>
        </w:rPr>
        <w:t>Retains independent compensation consultant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204" w:right="480" w:hanging="204"/>
        <w:spacing w:after="0" w:line="264" w:lineRule="auto"/>
        <w:tabs>
          <w:tab w:leader="none" w:pos="201"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Evaluate and approve executive compensation plans, policies, and programs, including review and approval of executive compensation-related corporate goals and objectives.</w:t>
      </w:r>
    </w:p>
    <w:p>
      <w:pPr>
        <w:ind w:left="184" w:hanging="184"/>
        <w:spacing w:after="0"/>
        <w:tabs>
          <w:tab w:leader="none" w:pos="184"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Review and approve the individual goals and objectives of the Company’s executive officers.</w:t>
      </w:r>
    </w:p>
    <w:p>
      <w:pPr>
        <w:spacing w:after="0" w:line="45" w:lineRule="exact"/>
        <w:rPr>
          <w:rFonts w:ascii="Arial" w:cs="Arial" w:eastAsia="Arial" w:hAnsi="Arial"/>
          <w:sz w:val="16"/>
          <w:szCs w:val="16"/>
          <w:b w:val="1"/>
          <w:bCs w:val="1"/>
          <w:color w:val="D7282F"/>
        </w:rPr>
      </w:pPr>
    </w:p>
    <w:p>
      <w:pPr>
        <w:ind w:left="204" w:right="400" w:hanging="204"/>
        <w:spacing w:after="0" w:line="264" w:lineRule="auto"/>
        <w:tabs>
          <w:tab w:leader="none" w:pos="201"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Evaluate the CEO’s performance relative to established goals and objectives and, together with the other independent directors, determine and approve the CEO’s compensation level.</w:t>
      </w:r>
    </w:p>
    <w:p>
      <w:pPr>
        <w:ind w:left="204" w:right="1200" w:hanging="204"/>
        <w:spacing w:after="0" w:line="264" w:lineRule="auto"/>
        <w:tabs>
          <w:tab w:leader="none" w:pos="201"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Review and determine the annual salary and other remuneration (including incentive compensation and equity-based plans) of all other officers.</w:t>
      </w:r>
    </w:p>
    <w:p>
      <w:pPr>
        <w:ind w:left="204" w:right="600" w:hanging="204"/>
        <w:spacing w:after="0" w:line="272" w:lineRule="auto"/>
        <w:tabs>
          <w:tab w:leader="none" w:pos="201"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Review and discuss with management the Compensation Discussion and Analysis and other executive compensation disclosures included in this Proxy Statement.</w:t>
      </w:r>
    </w:p>
    <w:p>
      <w:pPr>
        <w:spacing w:after="0" w:line="1"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Produce the annual Committee Report included in this Proxy Statement.</w:t>
      </w:r>
    </w:p>
    <w:p>
      <w:pPr>
        <w:spacing w:after="0" w:line="38"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Form and delegate any of the MDCC’s authorities to subcommittees when appropriate.</w:t>
      </w:r>
    </w:p>
    <w:p>
      <w:pPr>
        <w:spacing w:after="0" w:line="32" w:lineRule="exact"/>
        <w:rPr>
          <w:rFonts w:ascii="Arial" w:cs="Arial" w:eastAsia="Arial" w:hAnsi="Arial"/>
          <w:sz w:val="16"/>
          <w:szCs w:val="16"/>
          <w:b w:val="1"/>
          <w:bCs w:val="1"/>
          <w:color w:val="D7282F"/>
        </w:rPr>
      </w:pPr>
    </w:p>
    <w:p>
      <w:pPr>
        <w:ind w:left="184" w:hanging="184"/>
        <w:spacing w:after="0"/>
        <w:tabs>
          <w:tab w:leader="none" w:pos="184"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Review the management development program, including executive succession.</w:t>
      </w:r>
    </w:p>
    <w:p>
      <w:pPr>
        <w:spacing w:after="0" w:line="38" w:lineRule="exact"/>
        <w:rPr>
          <w:rFonts w:ascii="Arial" w:cs="Arial" w:eastAsia="Arial" w:hAnsi="Arial"/>
          <w:sz w:val="16"/>
          <w:szCs w:val="16"/>
          <w:b w:val="1"/>
          <w:bCs w:val="1"/>
          <w:color w:val="D7282F"/>
        </w:rPr>
      </w:pPr>
    </w:p>
    <w:p>
      <w:pPr>
        <w:ind w:left="204" w:right="540" w:hanging="204"/>
        <w:spacing w:after="0" w:line="264" w:lineRule="auto"/>
        <w:tabs>
          <w:tab w:leader="none" w:pos="201"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Review or take such other action as may be required in connection with the bonus, stock, and other benefit plans of Honeywell and its subsidiaries.</w:t>
      </w:r>
    </w:p>
    <w:p>
      <w:pPr>
        <w:ind w:left="204" w:right="320" w:hanging="204"/>
        <w:spacing w:after="0" w:line="259" w:lineRule="auto"/>
        <w:tabs>
          <w:tab w:leader="none" w:pos="201" w:val="left"/>
        </w:tabs>
        <w:numPr>
          <w:ilvl w:val="0"/>
          <w:numId w:val="102"/>
        </w:numPr>
        <w:rPr>
          <w:rFonts w:ascii="Arial" w:cs="Arial" w:eastAsia="Arial" w:hAnsi="Arial"/>
          <w:sz w:val="16"/>
          <w:szCs w:val="16"/>
          <w:b w:val="1"/>
          <w:bCs w:val="1"/>
          <w:color w:val="D7282F"/>
        </w:rPr>
      </w:pPr>
      <w:r>
        <w:rPr>
          <w:rFonts w:ascii="Arial" w:cs="Arial" w:eastAsia="Arial" w:hAnsi="Arial"/>
          <w:sz w:val="16"/>
          <w:szCs w:val="16"/>
          <w:color w:val="auto"/>
        </w:rPr>
        <w:t>Monitor and provide risk oversight with respect to focus areas assigned to the committee from time to time by the Board, including succession planning, progress on diversity goals and objectives, retention and recruitment of key talent, employment practices and policies, workplace respect and culture, workplace violence, and employee engagement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-2417445</wp:posOffset>
            </wp:positionH>
            <wp:positionV relativeFrom="paragraph">
              <wp:posOffset>884555</wp:posOffset>
            </wp:positionV>
            <wp:extent cx="70034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96" w:space="720"/>
            <w:col w:w="7424"/>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right="460" w:hanging="192"/>
        <w:spacing w:after="0" w:line="226" w:lineRule="auto"/>
        <w:tabs>
          <w:tab w:leader="none" w:pos="200" w:val="left"/>
        </w:tabs>
        <w:numPr>
          <w:ilvl w:val="0"/>
          <w:numId w:val="103"/>
        </w:numPr>
        <w:rPr>
          <w:rFonts w:ascii="Arial" w:cs="Arial" w:eastAsia="Arial" w:hAnsi="Arial"/>
          <w:sz w:val="16"/>
          <w:szCs w:val="16"/>
          <w:color w:val="auto"/>
          <w:vertAlign w:val="superscript"/>
        </w:rPr>
      </w:pPr>
      <w:r>
        <w:rPr>
          <w:rFonts w:ascii="Arial" w:cs="Arial" w:eastAsia="Arial" w:hAnsi="Arial"/>
          <w:sz w:val="13"/>
          <w:szCs w:val="13"/>
          <w:color w:val="auto"/>
        </w:rPr>
        <w:t xml:space="preserve">Effective as of the Annual Meeting. Current membership includes Mr. Davis (on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basis). Mr. Ayer is a current member of the MDCC and will become an </w:t>
      </w:r>
      <w:r>
        <w:rPr>
          <w:rFonts w:ascii="Arial" w:cs="Arial" w:eastAsia="Arial" w:hAnsi="Arial"/>
          <w:sz w:val="13"/>
          <w:szCs w:val="13"/>
          <w:i w:val="1"/>
          <w:iCs w:val="1"/>
          <w:color w:val="auto"/>
        </w:rPr>
        <w:t>ex officio</w:t>
      </w:r>
      <w:r>
        <w:rPr>
          <w:rFonts w:ascii="Arial" w:cs="Arial" w:eastAsia="Arial" w:hAnsi="Arial"/>
          <w:sz w:val="13"/>
          <w:szCs w:val="13"/>
          <w:color w:val="auto"/>
        </w:rPr>
        <w:t xml:space="preserve"> member when he becomes Lead Director. Ms. Flint was appointed effective July 1,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 xml:space="preserve">Compensation Committee Interlocks and Insider Participation. </w:t>
      </w:r>
      <w:r>
        <w:rPr>
          <w:rFonts w:ascii="Arial" w:cs="Arial" w:eastAsia="Arial" w:hAnsi="Arial"/>
          <w:sz w:val="16"/>
          <w:szCs w:val="16"/>
          <w:color w:val="auto"/>
        </w:rPr>
        <w:t>During the 2023 fiscal year, all members of the MDCC were independent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no member was an employee or former employee of Honeywell. No MDCC member had any relationship requiring disclosure under “Certain Relationships and Related Transactions” on page 106 of this Proxy Statement. During fiscal year 2023, none of the Company’s executive officers served on the compensation committee (or its equivalent) or board of directors of another entity whose executive officer served on the MDCC or the Board.</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color w:val="auto"/>
        </w:rPr>
        <w:t xml:space="preserve">Administration of Executive Compensation Program. </w:t>
      </w:r>
      <w:r>
        <w:rPr>
          <w:rFonts w:ascii="Arial" w:cs="Arial" w:eastAsia="Arial" w:hAnsi="Arial"/>
          <w:sz w:val="16"/>
          <w:szCs w:val="16"/>
          <w:color w:val="auto"/>
        </w:rPr>
        <w:t>The MDCC administers the executive compensation program, including determination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elements of the program and their relative weighting, incentive compensation plan targets, and award amounts. The MDCC takes into account feedback from our shareowners when making enhancements to the executive compensation program. When administering the program, the MDCC considers recommendations from senior management regarding the overall executive compensation program and the individual compensation of the executive officers. As part of Honeywell’s annual planning process, the CEO, CFO, and Chief Human Resources Officer develop targets for Honeywell’s incentive compensation programs and present them to the MDCC. These targets are reviewed by the MDCC to ensure alignment with our strategic and annual operating plans, macroeconomic trends, and other identified opportunities and risks. The CEO recommends base salary adjustments and cash and equity incentive award levels for Honeywell’s other executive officers. These recommendations are based on performance appraisals (including an assessment of the achievement of pre-established financial and non-financial management objectives) together with a review of supplemental performance measures and prior compensation levels relative to performance.</w:t>
      </w:r>
    </w:p>
    <w:p>
      <w:pPr>
        <w:spacing w:after="0" w:line="76"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b w:val="1"/>
          <w:bCs w:val="1"/>
          <w:color w:val="auto"/>
        </w:rPr>
        <w:t xml:space="preserve">Retention of Independent Compensation Consultant. </w:t>
      </w:r>
      <w:r>
        <w:rPr>
          <w:rFonts w:ascii="Arial" w:cs="Arial" w:eastAsia="Arial" w:hAnsi="Arial"/>
          <w:sz w:val="16"/>
          <w:szCs w:val="16"/>
          <w:color w:val="auto"/>
        </w:rPr>
        <w:t>The MDCC has sole authority to retain a compensation consultant to assist the MDCC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evaluation of CEO, officer, and other senior executive compensation, but only after considering all factors relevant to the consultant’s independence from management. In addition, the MDCC is directly responsible for approving the consultant’s compensation, evaluating its performance, and terminating its engagement. Under the MDCC’s established policy, its consultant cannot provide any other services to Honeywell without the MDCC’s approval, as delegated to the MDCC Chair. The MDCC regularly reviews the services provided by its outside consultants and performs an annual assessment of the independence of its compensation consultant to determine whether the compensation consultant is independent.</w:t>
      </w:r>
    </w:p>
    <w:p>
      <w:pPr>
        <w:spacing w:after="0" w:line="8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Pay Governance served as the MDCC's independent compensation consultant during 2023. The MDCC conducted a specific review of its relationship with Pay Governance in 2023 and determined that Pay Governance is independent in providing Honeywell with executive compensation consulting and limited other employee benchmarking services and that Pay Governance's work for the MDCC did not raise any conflicts of interest, consistent with SEC rules and Nasdaq listing standards.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 making this determination, the MDCC reviewed information provided by Pay Governance on the following factors:</w:t>
      </w:r>
    </w:p>
    <w:p>
      <w:pPr>
        <w:spacing w:after="0" w:line="127"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6"/>
          <w:szCs w:val="16"/>
          <w:b w:val="1"/>
          <w:bCs w:val="1"/>
          <w:color w:val="D7282F"/>
        </w:rPr>
      </w:pPr>
      <w:r>
        <w:rPr>
          <w:rFonts w:ascii="Arial" w:cs="Arial" w:eastAsia="Arial" w:hAnsi="Arial"/>
          <w:sz w:val="16"/>
          <w:szCs w:val="16"/>
          <w:color w:val="auto"/>
        </w:rPr>
        <w:t>Any other services provided to Honeywell by Pay Governance.</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04"/>
        </w:numPr>
        <w:rPr>
          <w:rFonts w:ascii="Arial" w:cs="Arial" w:eastAsia="Arial" w:hAnsi="Arial"/>
          <w:sz w:val="16"/>
          <w:szCs w:val="16"/>
          <w:b w:val="1"/>
          <w:bCs w:val="1"/>
          <w:color w:val="D7282F"/>
        </w:rPr>
      </w:pPr>
      <w:r>
        <w:rPr>
          <w:rFonts w:ascii="Arial" w:cs="Arial" w:eastAsia="Arial" w:hAnsi="Arial"/>
          <w:sz w:val="16"/>
          <w:szCs w:val="16"/>
          <w:color w:val="auto"/>
        </w:rPr>
        <w:t>Fees received by Pay Governance from Honeywell as a percentage of Pay Governance's total revenue.</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04"/>
        </w:numPr>
        <w:rPr>
          <w:rFonts w:ascii="Arial" w:cs="Arial" w:eastAsia="Arial" w:hAnsi="Arial"/>
          <w:sz w:val="16"/>
          <w:szCs w:val="16"/>
          <w:b w:val="1"/>
          <w:bCs w:val="1"/>
          <w:color w:val="D7282F"/>
        </w:rPr>
      </w:pPr>
      <w:r>
        <w:rPr>
          <w:rFonts w:ascii="Arial" w:cs="Arial" w:eastAsia="Arial" w:hAnsi="Arial"/>
          <w:sz w:val="16"/>
          <w:szCs w:val="16"/>
          <w:color w:val="auto"/>
        </w:rPr>
        <w:t>Policies and procedures maintained by Pay Governance to prevent a conflict of interest.</w:t>
      </w:r>
    </w:p>
    <w:p>
      <w:pPr>
        <w:spacing w:after="0" w:line="86" w:lineRule="exact"/>
        <w:rPr>
          <w:rFonts w:ascii="Arial" w:cs="Arial" w:eastAsia="Arial" w:hAnsi="Arial"/>
          <w:sz w:val="16"/>
          <w:szCs w:val="16"/>
          <w:b w:val="1"/>
          <w:bCs w:val="1"/>
          <w:color w:val="D7282F"/>
        </w:rPr>
      </w:pPr>
    </w:p>
    <w:p>
      <w:pPr>
        <w:ind w:left="200" w:right="480" w:hanging="192"/>
        <w:spacing w:after="0" w:line="286" w:lineRule="auto"/>
        <w:tabs>
          <w:tab w:leader="none" w:pos="197" w:val="left"/>
        </w:tabs>
        <w:numPr>
          <w:ilvl w:val="0"/>
          <w:numId w:val="104"/>
        </w:numPr>
        <w:rPr>
          <w:rFonts w:ascii="Arial" w:cs="Arial" w:eastAsia="Arial" w:hAnsi="Arial"/>
          <w:sz w:val="16"/>
          <w:szCs w:val="16"/>
          <w:b w:val="1"/>
          <w:bCs w:val="1"/>
          <w:color w:val="D7282F"/>
        </w:rPr>
      </w:pPr>
      <w:r>
        <w:rPr>
          <w:rFonts w:ascii="Arial" w:cs="Arial" w:eastAsia="Arial" w:hAnsi="Arial"/>
          <w:sz w:val="16"/>
          <w:szCs w:val="16"/>
          <w:color w:val="auto"/>
        </w:rPr>
        <w:t>Any business or personal relationship between the individual Pay Governance consultants assigned to the Honeywell relationship and any MDCC member.</w:t>
      </w:r>
    </w:p>
    <w:p>
      <w:pPr>
        <w:spacing w:after="0" w:line="20" w:lineRule="exact"/>
        <w:rPr>
          <w:rFonts w:ascii="Arial" w:cs="Arial" w:eastAsia="Arial" w:hAnsi="Arial"/>
          <w:sz w:val="16"/>
          <w:szCs w:val="16"/>
          <w:b w:val="1"/>
          <w:bCs w:val="1"/>
          <w:color w:val="D7282F"/>
        </w:rPr>
      </w:pPr>
    </w:p>
    <w:p>
      <w:pPr>
        <w:ind w:left="200" w:right="140" w:hanging="192"/>
        <w:spacing w:after="0" w:line="286" w:lineRule="auto"/>
        <w:tabs>
          <w:tab w:leader="none" w:pos="197" w:val="left"/>
        </w:tabs>
        <w:numPr>
          <w:ilvl w:val="0"/>
          <w:numId w:val="104"/>
        </w:numPr>
        <w:rPr>
          <w:rFonts w:ascii="Arial" w:cs="Arial" w:eastAsia="Arial" w:hAnsi="Arial"/>
          <w:sz w:val="16"/>
          <w:szCs w:val="16"/>
          <w:b w:val="1"/>
          <w:bCs w:val="1"/>
          <w:color w:val="D7282F"/>
        </w:rPr>
      </w:pPr>
      <w:r>
        <w:rPr>
          <w:rFonts w:ascii="Arial" w:cs="Arial" w:eastAsia="Arial" w:hAnsi="Arial"/>
          <w:sz w:val="16"/>
          <w:szCs w:val="16"/>
          <w:color w:val="auto"/>
        </w:rPr>
        <w:t>Any business or personal relationship between the individual Pay Governance consultants assigned to the Honeywell relationship, or Pay Governance itself, and Honeywell’s executive officers.</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04"/>
        </w:numPr>
        <w:rPr>
          <w:rFonts w:ascii="Arial" w:cs="Arial" w:eastAsia="Arial" w:hAnsi="Arial"/>
          <w:sz w:val="16"/>
          <w:szCs w:val="16"/>
          <w:b w:val="1"/>
          <w:bCs w:val="1"/>
          <w:color w:val="D7282F"/>
        </w:rPr>
      </w:pPr>
      <w:r>
        <w:rPr>
          <w:rFonts w:ascii="Arial" w:cs="Arial" w:eastAsia="Arial" w:hAnsi="Arial"/>
          <w:sz w:val="16"/>
          <w:szCs w:val="16"/>
          <w:color w:val="auto"/>
        </w:rPr>
        <w:t>Any Honeywell stock owned by Pay Governance or the individual Pay Governance consultants assigned to the Honeywell relationship.</w:t>
      </w:r>
    </w:p>
    <w:p>
      <w:pPr>
        <w:spacing w:after="0" w:line="127"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MDCC noted that Pay Governance did not provide any services to the Company or its management other than service to the MDCC and limited other compensation benchmarking services. Unless approved by the MDCC Chair, Pay Governance does not provide, directly or indirectly through affiliates, any non-executive compensation services, including, but not limited to, pension consulting or human resources outsourcing.</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Pay Governance compiled information and provided advice regarding the components and mix (short-term/long-term; fixed/variable; cash/equity) of the executive compensation programs of Honeywell and its Compensation Peer Group (see page 55 of this Proxy Statement for further detail regarding the Compensation Peer Group) and analyzed the relative performance of Honeywell and the Compensation Peer Group with respect to stock performance and the financial metrics generally used in the programs. Pay Governance also provided the MDCC with information regarding emerging trends and best practices in executive compensation. In addition to information compiled by Pay Governance, the MDCC also reviews general survey data compiled and published by third parties. Neither the MDCC nor Honeywell has any input into the scope of, or the companies included in, these third-party surveys. Pay Governance reported to the MDCC Chair, had direct access to MDCC members, attended MDCC meetings either in person, virtually, or by telephone, and met with the MDCC in executive session without management present.</w:t>
      </w:r>
    </w:p>
    <w:p>
      <w:pPr>
        <w:spacing w:after="0" w:line="22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sz w:val="1"/>
          <w:szCs w:val="1"/>
          <w:color w:val="auto"/>
        </w:rPr>
        <w:drawing>
          <wp:inline distT="0" distB="0" distL="0" distR="0">
            <wp:extent cx="548640" cy="10287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43" w:name="page44"/>
    <w:bookmarkEnd w:id="43"/>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LEADERSHIP SUCCESSION PLANNING</w:t>
      </w:r>
    </w:p>
    <w:p>
      <w:pPr>
        <w:spacing w:after="0" w:line="12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One of the most critical responsibilities of our Board is to ensure continued performance over the long-term through effective succession planning. The MDCC and the full Board routinely consider internal and external candidates for senior leadership positions under both near- and long-term planning scenarios, taking into account demonstrated performance, leadership qualities, strategic acumen, and potential to take on the most complex responsibilities. For our top leadership roles, succession planning relies on the ongoing and purposeful recruitment and development of top leadership talent over time, and for the CEO position, the Board establishes and then executes against a rigorous succession planning program to evaluate and select a lead candidate who is then assessed over time while performing against a robust development plan.</w:t>
      </w:r>
    </w:p>
    <w:p>
      <w:pPr>
        <w:spacing w:after="0" w:line="8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June 1, 2023, Vimal Kapur succeeded Darius Adamczyk as CEO, with Mr. Adamczyk continuing to serve as Executive Chairman of the Board. This CEO succession plan was the product of the Board's disciplined execution of a rigorous, thoughtful, and well-designed approach to succession planning:</w:t>
      </w:r>
    </w:p>
    <w:p>
      <w:pPr>
        <w:spacing w:after="0" w:line="48" w:lineRule="exact"/>
        <w:rPr>
          <w:sz w:val="20"/>
          <w:szCs w:val="20"/>
          <w:color w:val="auto"/>
        </w:rPr>
      </w:pPr>
    </w:p>
    <w:p>
      <w:pPr>
        <w:ind w:left="200" w:right="40" w:hanging="192"/>
        <w:spacing w:after="0" w:line="275" w:lineRule="auto"/>
        <w:tabs>
          <w:tab w:leader="none" w:pos="197" w:val="left"/>
        </w:tabs>
        <w:numPr>
          <w:ilvl w:val="0"/>
          <w:numId w:val="105"/>
        </w:numPr>
        <w:rPr>
          <w:rFonts w:ascii="Arial" w:cs="Arial" w:eastAsia="Arial" w:hAnsi="Arial"/>
          <w:sz w:val="16"/>
          <w:szCs w:val="16"/>
          <w:b w:val="1"/>
          <w:bCs w:val="1"/>
          <w:color w:val="D7282F"/>
        </w:rPr>
      </w:pPr>
      <w:r>
        <w:rPr>
          <w:rFonts w:ascii="Arial" w:cs="Arial" w:eastAsia="Arial" w:hAnsi="Arial"/>
          <w:sz w:val="16"/>
          <w:szCs w:val="16"/>
          <w:b w:val="1"/>
          <w:bCs w:val="1"/>
          <w:color w:val="auto"/>
        </w:rPr>
        <w:t>Candidate Evaluation</w:t>
      </w:r>
      <w:r>
        <w:rPr>
          <w:rFonts w:ascii="Arial" w:cs="Arial" w:eastAsia="Arial" w:hAnsi="Arial"/>
          <w:sz w:val="16"/>
          <w:szCs w:val="16"/>
          <w:color w:val="auto"/>
        </w:rPr>
        <w:t>. The Board established clear criteria for evaluating potential candidates, with a focus on selecting the candidate best able to adapt</w:t>
      </w:r>
      <w:r>
        <w:rPr>
          <w:rFonts w:ascii="Arial" w:cs="Arial" w:eastAsia="Arial" w:hAnsi="Arial"/>
          <w:sz w:val="16"/>
          <w:szCs w:val="16"/>
          <w:b w:val="1"/>
          <w:bCs w:val="1"/>
          <w:color w:val="auto"/>
        </w:rPr>
        <w:t xml:space="preserve"> </w:t>
      </w:r>
      <w:r>
        <w:rPr>
          <w:rFonts w:ascii="Arial" w:cs="Arial" w:eastAsia="Arial" w:hAnsi="Arial"/>
          <w:sz w:val="16"/>
          <w:szCs w:val="16"/>
          <w:color w:val="auto"/>
        </w:rPr>
        <w:t>quickly to changing and unpredictable demands. Candidates were evaluated against these criteria through structured interviews, case studies, and cognitive ability tests. Finalists were also required to develop a strategic plan for presentation to and discussion with the full Board.</w:t>
      </w:r>
    </w:p>
    <w:p>
      <w:pPr>
        <w:spacing w:after="0" w:line="29" w:lineRule="exact"/>
        <w:rPr>
          <w:rFonts w:ascii="Arial" w:cs="Arial" w:eastAsia="Arial" w:hAnsi="Arial"/>
          <w:sz w:val="16"/>
          <w:szCs w:val="16"/>
          <w:b w:val="1"/>
          <w:bCs w:val="1"/>
          <w:color w:val="D7282F"/>
        </w:rPr>
      </w:pPr>
    </w:p>
    <w:p>
      <w:pPr>
        <w:ind w:left="200" w:hanging="192"/>
        <w:spacing w:after="0" w:line="265" w:lineRule="auto"/>
        <w:tabs>
          <w:tab w:leader="none" w:pos="197" w:val="left"/>
        </w:tabs>
        <w:numPr>
          <w:ilvl w:val="0"/>
          <w:numId w:val="105"/>
        </w:numPr>
        <w:rPr>
          <w:rFonts w:ascii="Arial" w:cs="Arial" w:eastAsia="Arial" w:hAnsi="Arial"/>
          <w:sz w:val="16"/>
          <w:szCs w:val="16"/>
          <w:b w:val="1"/>
          <w:bCs w:val="1"/>
          <w:color w:val="D7282F"/>
        </w:rPr>
      </w:pPr>
      <w:r>
        <w:rPr>
          <w:rFonts w:ascii="Arial" w:cs="Arial" w:eastAsia="Arial" w:hAnsi="Arial"/>
          <w:sz w:val="16"/>
          <w:szCs w:val="16"/>
          <w:b w:val="1"/>
          <w:bCs w:val="1"/>
          <w:color w:val="auto"/>
        </w:rPr>
        <w:t>Candidate Selection</w:t>
      </w:r>
      <w:r>
        <w:rPr>
          <w:rFonts w:ascii="Arial" w:cs="Arial" w:eastAsia="Arial" w:hAnsi="Arial"/>
          <w:sz w:val="16"/>
          <w:szCs w:val="16"/>
          <w:color w:val="auto"/>
        </w:rPr>
        <w:t>. Based on the inputs described above, the Board selected Mr. Kapur as the top CEO candidate and established a development plan</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his assessment results to continue to evaluate Mr. Kapur’s readiness to be CEO against this defined framework. The Board also established a milestone-based transition plan for Mr. Kapur to onboard additional responsibilities over time to facilitate the Board's continued evaluation of his ability to succeed as CEO.</w:t>
      </w:r>
    </w:p>
    <w:p>
      <w:pPr>
        <w:spacing w:after="0" w:line="37" w:lineRule="exact"/>
        <w:rPr>
          <w:rFonts w:ascii="Arial" w:cs="Arial" w:eastAsia="Arial" w:hAnsi="Arial"/>
          <w:sz w:val="16"/>
          <w:szCs w:val="16"/>
          <w:b w:val="1"/>
          <w:bCs w:val="1"/>
          <w:color w:val="D7282F"/>
        </w:rPr>
      </w:pPr>
    </w:p>
    <w:p>
      <w:pPr>
        <w:ind w:left="200" w:right="80" w:hanging="192"/>
        <w:spacing w:after="0" w:line="266" w:lineRule="auto"/>
        <w:tabs>
          <w:tab w:leader="none" w:pos="197" w:val="left"/>
        </w:tabs>
        <w:numPr>
          <w:ilvl w:val="0"/>
          <w:numId w:val="105"/>
        </w:numPr>
        <w:rPr>
          <w:rFonts w:ascii="Arial" w:cs="Arial" w:eastAsia="Arial" w:hAnsi="Arial"/>
          <w:sz w:val="16"/>
          <w:szCs w:val="16"/>
          <w:b w:val="1"/>
          <w:bCs w:val="1"/>
          <w:color w:val="D7282F"/>
        </w:rPr>
      </w:pPr>
      <w:r>
        <w:rPr>
          <w:rFonts w:ascii="Arial" w:cs="Arial" w:eastAsia="Arial" w:hAnsi="Arial"/>
          <w:sz w:val="16"/>
          <w:szCs w:val="16"/>
          <w:b w:val="1"/>
          <w:bCs w:val="1"/>
          <w:color w:val="auto"/>
        </w:rPr>
        <w:t>Ongoing Assessment</w:t>
      </w:r>
      <w:r>
        <w:rPr>
          <w:rFonts w:ascii="Arial" w:cs="Arial" w:eastAsia="Arial" w:hAnsi="Arial"/>
          <w:sz w:val="16"/>
          <w:szCs w:val="16"/>
          <w:color w:val="auto"/>
        </w:rPr>
        <w:t>. The Board regularly assessed Mr. Kapur's performance against the development plan. Through management reports on</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progress and the Board's own direct assessment of Mr. Kapur's results and personal development, the Board continued to evaluate Mr. Kapur's candidacy and readiness for the CEO role before making the final determination.</w:t>
      </w:r>
    </w:p>
    <w:p>
      <w:pPr>
        <w:spacing w:after="0" w:line="36" w:lineRule="exact"/>
        <w:rPr>
          <w:rFonts w:ascii="Arial" w:cs="Arial" w:eastAsia="Arial" w:hAnsi="Arial"/>
          <w:sz w:val="16"/>
          <w:szCs w:val="16"/>
          <w:b w:val="1"/>
          <w:bCs w:val="1"/>
          <w:color w:val="D7282F"/>
        </w:rPr>
      </w:pPr>
    </w:p>
    <w:p>
      <w:pPr>
        <w:ind w:left="200" w:right="360" w:hanging="192"/>
        <w:spacing w:after="0" w:line="265" w:lineRule="auto"/>
        <w:tabs>
          <w:tab w:leader="none" w:pos="197" w:val="left"/>
        </w:tabs>
        <w:numPr>
          <w:ilvl w:val="0"/>
          <w:numId w:val="105"/>
        </w:numPr>
        <w:rPr>
          <w:rFonts w:ascii="Arial" w:cs="Arial" w:eastAsia="Arial" w:hAnsi="Arial"/>
          <w:sz w:val="16"/>
          <w:szCs w:val="16"/>
          <w:b w:val="1"/>
          <w:bCs w:val="1"/>
          <w:color w:val="D7282F"/>
        </w:rPr>
      </w:pPr>
      <w:r>
        <w:rPr>
          <w:rFonts w:ascii="Arial" w:cs="Arial" w:eastAsia="Arial" w:hAnsi="Arial"/>
          <w:sz w:val="16"/>
          <w:szCs w:val="16"/>
          <w:b w:val="1"/>
          <w:bCs w:val="1"/>
          <w:color w:val="auto"/>
        </w:rPr>
        <w:t>Leadership Transition Planning</w:t>
      </w:r>
      <w:r>
        <w:rPr>
          <w:rFonts w:ascii="Arial" w:cs="Arial" w:eastAsia="Arial" w:hAnsi="Arial"/>
          <w:sz w:val="16"/>
          <w:szCs w:val="16"/>
          <w:color w:val="auto"/>
        </w:rPr>
        <w:t>. To facilitate the CEO transition, enable continuity, and continue to benefit from Mr. Adamczyk's expertise and</w:t>
      </w:r>
      <w:r>
        <w:rPr>
          <w:rFonts w:ascii="Arial" w:cs="Arial" w:eastAsia="Arial" w:hAnsi="Arial"/>
          <w:sz w:val="16"/>
          <w:szCs w:val="16"/>
          <w:b w:val="1"/>
          <w:bCs w:val="1"/>
          <w:color w:val="auto"/>
        </w:rPr>
        <w:t xml:space="preserve"> </w:t>
      </w:r>
      <w:r>
        <w:rPr>
          <w:rFonts w:ascii="Arial" w:cs="Arial" w:eastAsia="Arial" w:hAnsi="Arial"/>
          <w:sz w:val="16"/>
          <w:szCs w:val="16"/>
          <w:color w:val="auto"/>
        </w:rPr>
        <w:t>leadership, the Board determined that it is in the best interest of Honeywell and its shareowners to retain Mr. Adamczyk as Executive Chairman, and following his retirement from the Board, as a Senior Advisor. To this end, the MDCC worked with Mr. Adamczyk to establish a transition arrangements letter agreement to formalize the terms of this transition.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BOARD’S ROLE IN RISK OVERSIGHT</w:t>
      </w:r>
    </w:p>
    <w:p>
      <w:pPr>
        <w:spacing w:after="0" w:line="12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While senior management has primary responsibility for managing risk, the Board has responsibility for risk oversight with specific risk areas delegated to relevant Board committees who report on their deliberations to the Board. The specific risk areas of focus for the Board and each of its committees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44450</wp:posOffset>
            </wp:positionV>
            <wp:extent cx="5726430" cy="15005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726430" cy="1500505"/>
                    </a:xfrm>
                    <a:prstGeom prst="rect">
                      <a:avLst/>
                    </a:prstGeom>
                    <a:noFill/>
                  </pic:spPr>
                </pic:pic>
              </a:graphicData>
            </a:graphic>
          </wp:anchor>
        </w:drawing>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D7282F"/>
        </w:rPr>
        <w:t>FULL BOARD</w:t>
      </w:r>
    </w:p>
    <w:p>
      <w:pPr>
        <w:spacing w:after="0" w:line="64" w:lineRule="exact"/>
        <w:rPr>
          <w:sz w:val="20"/>
          <w:szCs w:val="20"/>
          <w:color w:val="auto"/>
        </w:rPr>
      </w:pPr>
    </w:p>
    <w:p>
      <w:pPr>
        <w:ind w:left="1480" w:right="1480" w:hanging="197"/>
        <w:spacing w:after="0" w:line="291" w:lineRule="auto"/>
        <w:tabs>
          <w:tab w:leader="none" w:pos="1471" w:val="left"/>
        </w:tabs>
        <w:numPr>
          <w:ilvl w:val="0"/>
          <w:numId w:val="106"/>
        </w:numPr>
        <w:rPr>
          <w:rFonts w:ascii="Arial" w:cs="Arial" w:eastAsia="Arial" w:hAnsi="Arial"/>
          <w:sz w:val="14"/>
          <w:szCs w:val="14"/>
          <w:b w:val="1"/>
          <w:bCs w:val="1"/>
          <w:color w:val="D7282F"/>
        </w:rPr>
      </w:pPr>
      <w:r>
        <w:rPr>
          <w:rFonts w:ascii="Arial" w:cs="Arial" w:eastAsia="Arial" w:hAnsi="Arial"/>
          <w:sz w:val="14"/>
          <w:szCs w:val="14"/>
          <w:color w:val="auto"/>
        </w:rPr>
        <w:t>Oversee the Company’s risk governance framework, including an enterprise-wide culture that supports appropriate risk awareness and the identification, escalation, and appropriate management of risk.</w:t>
      </w:r>
    </w:p>
    <w:p>
      <w:pPr>
        <w:spacing w:after="0" w:line="1" w:lineRule="exact"/>
        <w:rPr>
          <w:rFonts w:ascii="Arial" w:cs="Arial" w:eastAsia="Arial" w:hAnsi="Arial"/>
          <w:sz w:val="14"/>
          <w:szCs w:val="14"/>
          <w:b w:val="1"/>
          <w:bCs w:val="1"/>
          <w:color w:val="D7282F"/>
        </w:rPr>
      </w:pPr>
    </w:p>
    <w:p>
      <w:pPr>
        <w:ind w:left="1460" w:hanging="177"/>
        <w:spacing w:after="0"/>
        <w:tabs>
          <w:tab w:leader="none" w:pos="1460" w:val="left"/>
        </w:tabs>
        <w:numPr>
          <w:ilvl w:val="0"/>
          <w:numId w:val="106"/>
        </w:numPr>
        <w:rPr>
          <w:rFonts w:ascii="Arial" w:cs="Arial" w:eastAsia="Arial" w:hAnsi="Arial"/>
          <w:sz w:val="14"/>
          <w:szCs w:val="14"/>
          <w:b w:val="1"/>
          <w:bCs w:val="1"/>
          <w:color w:val="D7282F"/>
        </w:rPr>
      </w:pPr>
      <w:r>
        <w:rPr>
          <w:rFonts w:ascii="Arial" w:cs="Arial" w:eastAsia="Arial" w:hAnsi="Arial"/>
          <w:sz w:val="14"/>
          <w:szCs w:val="14"/>
          <w:color w:val="auto"/>
        </w:rPr>
        <w:t>Integrity, ethics, and compliance with the Company's Code of Business Conduct.</w:t>
      </w:r>
    </w:p>
    <w:p>
      <w:pPr>
        <w:spacing w:after="0" w:line="55" w:lineRule="exact"/>
        <w:rPr>
          <w:rFonts w:ascii="Arial" w:cs="Arial" w:eastAsia="Arial" w:hAnsi="Arial"/>
          <w:sz w:val="14"/>
          <w:szCs w:val="14"/>
          <w:b w:val="1"/>
          <w:bCs w:val="1"/>
          <w:color w:val="D7282F"/>
        </w:rPr>
      </w:pPr>
    </w:p>
    <w:p>
      <w:pPr>
        <w:jc w:val="both"/>
        <w:ind w:left="1480" w:right="1520" w:hanging="197"/>
        <w:spacing w:after="0" w:line="273" w:lineRule="auto"/>
        <w:tabs>
          <w:tab w:leader="none" w:pos="1471" w:val="left"/>
        </w:tabs>
        <w:numPr>
          <w:ilvl w:val="0"/>
          <w:numId w:val="106"/>
        </w:numPr>
        <w:rPr>
          <w:rFonts w:ascii="Arial" w:cs="Arial" w:eastAsia="Arial" w:hAnsi="Arial"/>
          <w:sz w:val="14"/>
          <w:szCs w:val="14"/>
          <w:b w:val="1"/>
          <w:bCs w:val="1"/>
          <w:color w:val="D7282F"/>
        </w:rPr>
      </w:pPr>
      <w:r>
        <w:rPr>
          <w:rFonts w:ascii="Arial" w:cs="Arial" w:eastAsia="Arial" w:hAnsi="Arial"/>
          <w:sz w:val="14"/>
          <w:szCs w:val="14"/>
          <w:color w:val="auto"/>
        </w:rPr>
        <w:t>General strategic and commercial risks, such as new product launch, capital spend, raw material price increases, foreign currency fluctuation, diminished customer demand, market and competitive dynamics, technology obsolescence, reductions to government spending, geopolitical dynamics, slowdown in economic growth, supply chain disruption, and inflation.</w:t>
      </w:r>
    </w:p>
    <w:p>
      <w:pPr>
        <w:spacing w:after="0" w:line="4" w:lineRule="exact"/>
        <w:rPr>
          <w:rFonts w:ascii="Arial" w:cs="Arial" w:eastAsia="Arial" w:hAnsi="Arial"/>
          <w:sz w:val="14"/>
          <w:szCs w:val="14"/>
          <w:b w:val="1"/>
          <w:bCs w:val="1"/>
          <w:color w:val="D7282F"/>
        </w:rPr>
      </w:pPr>
    </w:p>
    <w:p>
      <w:pPr>
        <w:ind w:left="1460" w:hanging="177"/>
        <w:spacing w:after="0"/>
        <w:tabs>
          <w:tab w:leader="none" w:pos="1460" w:val="left"/>
        </w:tabs>
        <w:numPr>
          <w:ilvl w:val="0"/>
          <w:numId w:val="106"/>
        </w:numPr>
        <w:rPr>
          <w:rFonts w:ascii="Arial" w:cs="Arial" w:eastAsia="Arial" w:hAnsi="Arial"/>
          <w:sz w:val="14"/>
          <w:szCs w:val="14"/>
          <w:b w:val="1"/>
          <w:bCs w:val="1"/>
          <w:color w:val="D7282F"/>
        </w:rPr>
      </w:pPr>
      <w:r>
        <w:rPr>
          <w:rFonts w:ascii="Arial" w:cs="Arial" w:eastAsia="Arial" w:hAnsi="Arial"/>
          <w:sz w:val="14"/>
          <w:szCs w:val="14"/>
          <w:color w:val="auto"/>
        </w:rPr>
        <w:t>Disruption, including supply chain disruption, disruptive technologies, emerging competition, and changing business models.</w:t>
      </w:r>
    </w:p>
    <w:p>
      <w:pPr>
        <w:spacing w:after="0" w:line="55" w:lineRule="exact"/>
        <w:rPr>
          <w:rFonts w:ascii="Arial" w:cs="Arial" w:eastAsia="Arial" w:hAnsi="Arial"/>
          <w:sz w:val="14"/>
          <w:szCs w:val="14"/>
          <w:b w:val="1"/>
          <w:bCs w:val="1"/>
          <w:color w:val="D7282F"/>
        </w:rPr>
      </w:pPr>
    </w:p>
    <w:p>
      <w:pPr>
        <w:ind w:left="1460" w:hanging="177"/>
        <w:spacing w:after="0"/>
        <w:tabs>
          <w:tab w:leader="none" w:pos="1460" w:val="left"/>
        </w:tabs>
        <w:numPr>
          <w:ilvl w:val="0"/>
          <w:numId w:val="106"/>
        </w:numPr>
        <w:rPr>
          <w:rFonts w:ascii="Arial" w:cs="Arial" w:eastAsia="Arial" w:hAnsi="Arial"/>
          <w:sz w:val="14"/>
          <w:szCs w:val="14"/>
          <w:b w:val="1"/>
          <w:bCs w:val="1"/>
          <w:color w:val="D7282F"/>
        </w:rPr>
      </w:pPr>
      <w:r>
        <w:rPr>
          <w:rFonts w:ascii="Arial" w:cs="Arial" w:eastAsia="Arial" w:hAnsi="Arial"/>
          <w:sz w:val="14"/>
          <w:szCs w:val="14"/>
          <w:color w:val="auto"/>
        </w:rPr>
        <w:t>M&amp;A transactions, including strategic fit, execution, separation, and integration, and the M&amp;A competitive landscape.</w:t>
      </w:r>
    </w:p>
    <w:p>
      <w:pPr>
        <w:spacing w:after="0" w:line="68" w:lineRule="exact"/>
        <w:rPr>
          <w:rFonts w:ascii="Arial" w:cs="Arial" w:eastAsia="Arial" w:hAnsi="Arial"/>
          <w:sz w:val="14"/>
          <w:szCs w:val="14"/>
          <w:b w:val="1"/>
          <w:bCs w:val="1"/>
          <w:color w:val="D7282F"/>
        </w:rPr>
      </w:pPr>
    </w:p>
    <w:p>
      <w:pPr>
        <w:ind w:left="1460" w:hanging="177"/>
        <w:spacing w:after="0"/>
        <w:tabs>
          <w:tab w:leader="none" w:pos="1460" w:val="left"/>
        </w:tabs>
        <w:numPr>
          <w:ilvl w:val="0"/>
          <w:numId w:val="106"/>
        </w:numPr>
        <w:rPr>
          <w:rFonts w:ascii="Arial" w:cs="Arial" w:eastAsia="Arial" w:hAnsi="Arial"/>
          <w:sz w:val="14"/>
          <w:szCs w:val="14"/>
          <w:b w:val="1"/>
          <w:bCs w:val="1"/>
          <w:color w:val="D7282F"/>
        </w:rPr>
      </w:pPr>
      <w:r>
        <w:rPr>
          <w:rFonts w:ascii="Arial" w:cs="Arial" w:eastAsia="Arial" w:hAnsi="Arial"/>
          <w:sz w:val="14"/>
          <w:szCs w:val="14"/>
          <w:color w:val="auto"/>
        </w:rPr>
        <w:t>Legal risks, such as those arising from litigation, environmental, and intellectual property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220980</wp:posOffset>
            </wp:positionV>
            <wp:extent cx="5700395" cy="21513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00395" cy="215138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D7282F"/>
        </w:rPr>
        <w:t>AUDIT COMMITTEE</w:t>
      </w:r>
    </w:p>
    <w:p>
      <w:pPr>
        <w:spacing w:after="0" w:line="91" w:lineRule="exact"/>
        <w:rPr>
          <w:sz w:val="20"/>
          <w:szCs w:val="20"/>
          <w:color w:val="auto"/>
        </w:rPr>
      </w:pPr>
    </w:p>
    <w:p>
      <w:pPr>
        <w:ind w:left="1860" w:right="120" w:hanging="186"/>
        <w:spacing w:after="0" w:line="261" w:lineRule="auto"/>
        <w:tabs>
          <w:tab w:leader="none" w:pos="1851"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Enterprise Risk Management (ERM) and Crisis Incident Management programs.</w:t>
      </w:r>
    </w:p>
    <w:p>
      <w:pPr>
        <w:spacing w:after="0" w:line="1" w:lineRule="exact"/>
        <w:rPr>
          <w:rFonts w:ascii="Arial" w:cs="Arial" w:eastAsia="Arial" w:hAnsi="Arial"/>
          <w:sz w:val="14"/>
          <w:szCs w:val="14"/>
          <w:b w:val="1"/>
          <w:bCs w:val="1"/>
          <w:color w:val="D7282F"/>
        </w:rPr>
      </w:pPr>
    </w:p>
    <w:p>
      <w:pPr>
        <w:ind w:left="1860" w:hanging="186"/>
        <w:spacing w:after="0" w:line="268" w:lineRule="auto"/>
        <w:tabs>
          <w:tab w:leader="none" w:pos="1851"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Cybersecurity, including risks associated with the Company’s own products and facilities.</w:t>
      </w:r>
    </w:p>
    <w:p>
      <w:pPr>
        <w:ind w:left="1860" w:hanging="186"/>
        <w:spacing w:after="0"/>
        <w:tabs>
          <w:tab w:leader="none" w:pos="1860"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Artificial intelligence.</w:t>
      </w:r>
    </w:p>
    <w:p>
      <w:pPr>
        <w:spacing w:after="0" w:line="41" w:lineRule="exact"/>
        <w:rPr>
          <w:rFonts w:ascii="Arial" w:cs="Arial" w:eastAsia="Arial" w:hAnsi="Arial"/>
          <w:sz w:val="14"/>
          <w:szCs w:val="14"/>
          <w:b w:val="1"/>
          <w:bCs w:val="1"/>
          <w:color w:val="D7282F"/>
        </w:rPr>
      </w:pPr>
    </w:p>
    <w:p>
      <w:pPr>
        <w:ind w:left="1860" w:right="360" w:hanging="186"/>
        <w:spacing w:after="0" w:line="271" w:lineRule="auto"/>
        <w:tabs>
          <w:tab w:leader="none" w:pos="1851"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Accounting, controls, and financial disclosure.</w:t>
      </w:r>
    </w:p>
    <w:p>
      <w:pPr>
        <w:ind w:left="1860" w:hanging="186"/>
        <w:spacing w:after="0"/>
        <w:tabs>
          <w:tab w:leader="none" w:pos="1860"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Tax and liquidity management.</w:t>
      </w:r>
    </w:p>
    <w:p>
      <w:pPr>
        <w:spacing w:after="0" w:line="41" w:lineRule="exact"/>
        <w:rPr>
          <w:rFonts w:ascii="Arial" w:cs="Arial" w:eastAsia="Arial" w:hAnsi="Arial"/>
          <w:sz w:val="14"/>
          <w:szCs w:val="14"/>
          <w:b w:val="1"/>
          <w:bCs w:val="1"/>
          <w:color w:val="D7282F"/>
        </w:rPr>
      </w:pPr>
    </w:p>
    <w:p>
      <w:pPr>
        <w:ind w:left="1860" w:right="660" w:hanging="186"/>
        <w:spacing w:after="0" w:line="271" w:lineRule="auto"/>
        <w:tabs>
          <w:tab w:leader="none" w:pos="1851"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Product integrity and product security.</w:t>
      </w:r>
    </w:p>
    <w:p>
      <w:pPr>
        <w:ind w:left="1860" w:right="160" w:hanging="186"/>
        <w:spacing w:after="0" w:line="271" w:lineRule="auto"/>
        <w:tabs>
          <w:tab w:leader="none" w:pos="1851"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Vendor risk, including supply chain disruption.</w:t>
      </w:r>
    </w:p>
    <w:p>
      <w:pPr>
        <w:ind w:left="1860" w:right="620" w:hanging="186"/>
        <w:spacing w:after="0" w:line="285" w:lineRule="auto"/>
        <w:tabs>
          <w:tab w:leader="none" w:pos="1851" w:val="left"/>
        </w:tabs>
        <w:numPr>
          <w:ilvl w:val="0"/>
          <w:numId w:val="107"/>
        </w:numPr>
        <w:rPr>
          <w:rFonts w:ascii="Arial" w:cs="Arial" w:eastAsia="Arial" w:hAnsi="Arial"/>
          <w:sz w:val="14"/>
          <w:szCs w:val="14"/>
          <w:b w:val="1"/>
          <w:bCs w:val="1"/>
          <w:color w:val="D7282F"/>
        </w:rPr>
      </w:pPr>
      <w:r>
        <w:rPr>
          <w:rFonts w:ascii="Arial" w:cs="Arial" w:eastAsia="Arial" w:hAnsi="Arial"/>
          <w:sz w:val="14"/>
          <w:szCs w:val="14"/>
          <w:color w:val="auto"/>
        </w:rPr>
        <w:t>Operational business continuity.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-1539240</wp:posOffset>
            </wp:positionV>
            <wp:extent cx="171450" cy="16116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71450" cy="161163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-1539240</wp:posOffset>
            </wp:positionV>
            <wp:extent cx="171450" cy="16116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71450" cy="1611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color w:val="D7282F"/>
        </w:rPr>
        <w:t>CORPORATE GOVERNANCE AND RESPONSIBILITY COMMITTEE (CGRC)</w:t>
      </w:r>
    </w:p>
    <w:p>
      <w:pPr>
        <w:spacing w:after="0" w:line="22" w:lineRule="exact"/>
        <w:rPr>
          <w:sz w:val="20"/>
          <w:szCs w:val="20"/>
          <w:color w:val="auto"/>
        </w:rPr>
      </w:pPr>
    </w:p>
    <w:p>
      <w:pPr>
        <w:ind w:left="200" w:hanging="192"/>
        <w:spacing w:after="0"/>
        <w:tabs>
          <w:tab w:leader="none" w:pos="200" w:val="left"/>
        </w:tabs>
        <w:numPr>
          <w:ilvl w:val="0"/>
          <w:numId w:val="108"/>
        </w:numPr>
        <w:rPr>
          <w:rFonts w:ascii="Arial" w:cs="Arial" w:eastAsia="Arial" w:hAnsi="Arial"/>
          <w:sz w:val="14"/>
          <w:szCs w:val="14"/>
          <w:b w:val="1"/>
          <w:bCs w:val="1"/>
          <w:color w:val="D7282F"/>
        </w:rPr>
      </w:pPr>
      <w:r>
        <w:rPr>
          <w:rFonts w:ascii="Arial" w:cs="Arial" w:eastAsia="Arial" w:hAnsi="Arial"/>
          <w:sz w:val="14"/>
          <w:szCs w:val="14"/>
          <w:color w:val="auto"/>
        </w:rPr>
        <w:t>Political contributions/lobbying.</w:t>
      </w:r>
    </w:p>
    <w:p>
      <w:pPr>
        <w:spacing w:after="0" w:line="35" w:lineRule="exact"/>
        <w:rPr>
          <w:rFonts w:ascii="Arial" w:cs="Arial" w:eastAsia="Arial" w:hAnsi="Arial"/>
          <w:sz w:val="14"/>
          <w:szCs w:val="14"/>
          <w:b w:val="1"/>
          <w:bCs w:val="1"/>
          <w:color w:val="D7282F"/>
        </w:rPr>
      </w:pPr>
    </w:p>
    <w:p>
      <w:pPr>
        <w:ind w:left="200" w:hanging="192"/>
        <w:spacing w:after="0" w:line="264" w:lineRule="auto"/>
        <w:tabs>
          <w:tab w:leader="none" w:pos="191" w:val="left"/>
        </w:tabs>
        <w:numPr>
          <w:ilvl w:val="0"/>
          <w:numId w:val="108"/>
        </w:numPr>
        <w:rPr>
          <w:rFonts w:ascii="Arial" w:cs="Arial" w:eastAsia="Arial" w:hAnsi="Arial"/>
          <w:sz w:val="14"/>
          <w:szCs w:val="14"/>
          <w:b w:val="1"/>
          <w:bCs w:val="1"/>
          <w:color w:val="D7282F"/>
        </w:rPr>
      </w:pPr>
      <w:r>
        <w:rPr>
          <w:rFonts w:ascii="Arial" w:cs="Arial" w:eastAsia="Arial" w:hAnsi="Arial"/>
          <w:sz w:val="14"/>
          <w:szCs w:val="14"/>
          <w:color w:val="auto"/>
        </w:rPr>
        <w:t>Regulatory compliance, including data privacy, sanctions, export, and government contracts.</w:t>
      </w:r>
    </w:p>
    <w:p>
      <w:pPr>
        <w:spacing w:after="0" w:line="1" w:lineRule="exact"/>
        <w:rPr>
          <w:rFonts w:ascii="Arial" w:cs="Arial" w:eastAsia="Arial" w:hAnsi="Arial"/>
          <w:sz w:val="14"/>
          <w:szCs w:val="14"/>
          <w:b w:val="1"/>
          <w:bCs w:val="1"/>
          <w:color w:val="D7282F"/>
        </w:rPr>
      </w:pPr>
    </w:p>
    <w:p>
      <w:pPr>
        <w:ind w:left="200" w:right="540" w:hanging="192"/>
        <w:spacing w:after="0" w:line="271" w:lineRule="auto"/>
        <w:tabs>
          <w:tab w:leader="none" w:pos="191" w:val="left"/>
        </w:tabs>
        <w:numPr>
          <w:ilvl w:val="0"/>
          <w:numId w:val="108"/>
        </w:numPr>
        <w:rPr>
          <w:rFonts w:ascii="Arial" w:cs="Arial" w:eastAsia="Arial" w:hAnsi="Arial"/>
          <w:sz w:val="14"/>
          <w:szCs w:val="14"/>
          <w:b w:val="1"/>
          <w:bCs w:val="1"/>
          <w:color w:val="D7282F"/>
        </w:rPr>
      </w:pPr>
      <w:r>
        <w:rPr>
          <w:rFonts w:ascii="Arial" w:cs="Arial" w:eastAsia="Arial" w:hAnsi="Arial"/>
          <w:sz w:val="14"/>
          <w:szCs w:val="14"/>
          <w:color w:val="auto"/>
        </w:rPr>
        <w:t>Integrity and compliance programs and policies.</w:t>
      </w:r>
    </w:p>
    <w:p>
      <w:pPr>
        <w:ind w:left="200" w:right="260" w:hanging="192"/>
        <w:spacing w:after="0" w:line="268" w:lineRule="auto"/>
        <w:tabs>
          <w:tab w:leader="none" w:pos="191" w:val="left"/>
        </w:tabs>
        <w:numPr>
          <w:ilvl w:val="0"/>
          <w:numId w:val="108"/>
        </w:numPr>
        <w:rPr>
          <w:rFonts w:ascii="Arial" w:cs="Arial" w:eastAsia="Arial" w:hAnsi="Arial"/>
          <w:sz w:val="14"/>
          <w:szCs w:val="14"/>
          <w:b w:val="1"/>
          <w:bCs w:val="1"/>
          <w:color w:val="D7282F"/>
        </w:rPr>
      </w:pPr>
      <w:r>
        <w:rPr>
          <w:rFonts w:ascii="Arial" w:cs="Arial" w:eastAsia="Arial" w:hAnsi="Arial"/>
          <w:sz w:val="14"/>
          <w:szCs w:val="14"/>
          <w:color w:val="auto"/>
        </w:rPr>
        <w:t>Geopolitical risk, including political, economic or military conflicts, and tariffs.</w:t>
      </w:r>
    </w:p>
    <w:p>
      <w:pPr>
        <w:ind w:left="200" w:right="160" w:hanging="192"/>
        <w:spacing w:after="0" w:line="251" w:lineRule="auto"/>
        <w:tabs>
          <w:tab w:leader="none" w:pos="191" w:val="left"/>
        </w:tabs>
        <w:numPr>
          <w:ilvl w:val="0"/>
          <w:numId w:val="108"/>
        </w:numPr>
        <w:rPr>
          <w:rFonts w:ascii="Arial" w:cs="Arial" w:eastAsia="Arial" w:hAnsi="Arial"/>
          <w:sz w:val="14"/>
          <w:szCs w:val="14"/>
          <w:b w:val="1"/>
          <w:bCs w:val="1"/>
          <w:color w:val="D7282F"/>
        </w:rPr>
      </w:pPr>
      <w:r>
        <w:rPr>
          <w:rFonts w:ascii="Arial" w:cs="Arial" w:eastAsia="Arial" w:hAnsi="Arial"/>
          <w:sz w:val="14"/>
          <w:szCs w:val="14"/>
          <w:color w:val="auto"/>
        </w:rPr>
        <w:t>ESG matters, including health, safety, environmental, climate, product stewardship, environmental justice,</w:t>
      </w:r>
    </w:p>
    <w:p>
      <w:pPr>
        <w:spacing w:after="0" w:line="2" w:lineRule="exact"/>
        <w:rPr>
          <w:rFonts w:ascii="Arial" w:cs="Arial" w:eastAsia="Arial" w:hAnsi="Arial"/>
          <w:sz w:val="14"/>
          <w:szCs w:val="14"/>
          <w:b w:val="1"/>
          <w:bCs w:val="1"/>
          <w:color w:val="D7282F"/>
        </w:rPr>
      </w:pPr>
    </w:p>
    <w:p>
      <w:pPr>
        <w:ind w:left="200"/>
        <w:spacing w:after="0"/>
        <w:rPr>
          <w:rFonts w:ascii="Arial" w:cs="Arial" w:eastAsia="Arial" w:hAnsi="Arial"/>
          <w:sz w:val="14"/>
          <w:szCs w:val="14"/>
          <w:b w:val="1"/>
          <w:bCs w:val="1"/>
          <w:color w:val="D7282F"/>
        </w:rPr>
      </w:pPr>
      <w:r>
        <w:rPr>
          <w:rFonts w:ascii="Arial" w:cs="Arial" w:eastAsia="Arial" w:hAnsi="Arial"/>
          <w:sz w:val="14"/>
          <w:szCs w:val="14"/>
          <w:color w:val="auto"/>
        </w:rPr>
        <w:t>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MANAGEMENT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DEVELOPMENT AND</w:t>
      </w:r>
    </w:p>
    <w:p>
      <w:pPr>
        <w:spacing w:after="0" w:line="19" w:lineRule="exact"/>
        <w:rPr>
          <w:sz w:val="20"/>
          <w:szCs w:val="20"/>
          <w:color w:val="auto"/>
        </w:rPr>
      </w:pPr>
    </w:p>
    <w:p>
      <w:pPr>
        <w:ind w:right="2420"/>
        <w:spacing w:after="0" w:line="276" w:lineRule="auto"/>
        <w:rPr>
          <w:sz w:val="20"/>
          <w:szCs w:val="20"/>
          <w:color w:val="auto"/>
        </w:rPr>
      </w:pPr>
      <w:r>
        <w:rPr>
          <w:rFonts w:ascii="Arial" w:cs="Arial" w:eastAsia="Arial" w:hAnsi="Arial"/>
          <w:sz w:val="16"/>
          <w:szCs w:val="16"/>
          <w:b w:val="1"/>
          <w:bCs w:val="1"/>
          <w:color w:val="D7282F"/>
        </w:rPr>
        <w:t>COMPENSATION COMMITTEE (MDCC)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-89535</wp:posOffset>
            </wp:positionV>
            <wp:extent cx="60325" cy="9601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clrChange>
                        <a:clrFrom>
                          <a:srgbClr val="000000"/>
                        </a:clrFrom>
                        <a:clrTo>
                          <a:srgbClr val="000000">
                            <a:alpha val="0"/>
                          </a:srgbClr>
                        </a:clrTo>
                      </a:clrChange>
                      <a:extLst>
                        <a:ext uri="{28A0092B-C50C-407E-A947-70E740481C1C}"/>
                      </a:extLst>
                    </a:blip>
                    <a:srcRect/>
                    <a:stretch>
                      <a:fillRect/>
                    </a:stretch>
                  </pic:blipFill>
                  <pic:spPr bwMode="auto">
                    <a:xfrm>
                      <a:off x="0" y="0"/>
                      <a:ext cx="60325" cy="960120"/>
                    </a:xfrm>
                    <a:prstGeom prst="rect">
                      <a:avLst/>
                    </a:prstGeom>
                    <a:noFill/>
                  </pic:spPr>
                </pic:pic>
              </a:graphicData>
            </a:graphic>
          </wp:anchor>
        </w:drawing>
        <w:drawing>
          <wp:anchor simplePos="0" relativeHeight="251657728" behindDoc="1" locked="0" layoutInCell="0" allowOverlap="1">
            <wp:simplePos x="0" y="0"/>
            <wp:positionH relativeFrom="column">
              <wp:posOffset>1716405</wp:posOffset>
            </wp:positionH>
            <wp:positionV relativeFrom="paragraph">
              <wp:posOffset>-89535</wp:posOffset>
            </wp:positionV>
            <wp:extent cx="60325" cy="9601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60325" cy="960120"/>
                    </a:xfrm>
                    <a:prstGeom prst="rect">
                      <a:avLst/>
                    </a:prstGeom>
                    <a:noFill/>
                  </pic:spPr>
                </pic:pic>
              </a:graphicData>
            </a:graphic>
          </wp:anchor>
        </w:drawing>
      </w:r>
    </w:p>
    <w:p>
      <w:pPr>
        <w:spacing w:after="0" w:line="5" w:lineRule="exact"/>
        <w:rPr>
          <w:sz w:val="20"/>
          <w:szCs w:val="20"/>
          <w:color w:val="auto"/>
        </w:rPr>
      </w:pPr>
    </w:p>
    <w:p>
      <w:pPr>
        <w:ind w:left="200" w:hanging="191"/>
        <w:spacing w:after="0"/>
        <w:tabs>
          <w:tab w:leader="none" w:pos="200"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Succession planning.</w:t>
      </w:r>
    </w:p>
    <w:p>
      <w:pPr>
        <w:spacing w:after="0" w:line="41" w:lineRule="exact"/>
        <w:rPr>
          <w:rFonts w:ascii="Arial" w:cs="Arial" w:eastAsia="Arial" w:hAnsi="Arial"/>
          <w:sz w:val="14"/>
          <w:szCs w:val="14"/>
          <w:b w:val="1"/>
          <w:bCs w:val="1"/>
          <w:color w:val="D7282F"/>
        </w:rPr>
      </w:pPr>
    </w:p>
    <w:p>
      <w:pPr>
        <w:ind w:left="200" w:right="1800" w:hanging="191"/>
        <w:spacing w:after="0" w:line="261" w:lineRule="auto"/>
        <w:tabs>
          <w:tab w:leader="none" w:pos="191"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Compensation plans, programs, and arrangements and other employment practices.</w:t>
      </w:r>
    </w:p>
    <w:p>
      <w:pPr>
        <w:spacing w:after="0" w:line="1" w:lineRule="exact"/>
        <w:rPr>
          <w:rFonts w:ascii="Arial" w:cs="Arial" w:eastAsia="Arial" w:hAnsi="Arial"/>
          <w:sz w:val="14"/>
          <w:szCs w:val="14"/>
          <w:b w:val="1"/>
          <w:bCs w:val="1"/>
          <w:color w:val="D7282F"/>
        </w:rPr>
      </w:pPr>
    </w:p>
    <w:p>
      <w:pPr>
        <w:ind w:left="200" w:right="2040" w:hanging="191"/>
        <w:spacing w:after="0" w:line="272" w:lineRule="auto"/>
        <w:tabs>
          <w:tab w:leader="none" w:pos="191"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Recruitment and retention of key talent.</w:t>
      </w:r>
    </w:p>
    <w:p>
      <w:pPr>
        <w:ind w:left="200" w:hanging="191"/>
        <w:spacing w:after="0"/>
        <w:tabs>
          <w:tab w:leader="none" w:pos="200"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Labor compliance.</w:t>
      </w:r>
    </w:p>
    <w:p>
      <w:pPr>
        <w:spacing w:after="0" w:line="40"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Inclusion and diversity.</w:t>
      </w:r>
    </w:p>
    <w:p>
      <w:pPr>
        <w:spacing w:after="0" w:line="41"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Workplace respect and culture.</w:t>
      </w:r>
    </w:p>
    <w:p>
      <w:pPr>
        <w:spacing w:after="0" w:line="41"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Workplace violence.</w:t>
      </w:r>
    </w:p>
    <w:p>
      <w:pPr>
        <w:spacing w:after="0" w:line="41" w:lineRule="exact"/>
        <w:rPr>
          <w:rFonts w:ascii="Arial" w:cs="Arial" w:eastAsia="Arial" w:hAnsi="Arial"/>
          <w:sz w:val="14"/>
          <w:szCs w:val="14"/>
          <w:b w:val="1"/>
          <w:bCs w:val="1"/>
          <w:color w:val="D7282F"/>
        </w:rPr>
      </w:pPr>
    </w:p>
    <w:p>
      <w:pPr>
        <w:ind w:left="200" w:right="2360" w:hanging="191"/>
        <w:spacing w:after="0" w:line="285" w:lineRule="auto"/>
        <w:tabs>
          <w:tab w:leader="none" w:pos="191" w:val="left"/>
        </w:tabs>
        <w:numPr>
          <w:ilvl w:val="0"/>
          <w:numId w:val="109"/>
        </w:numPr>
        <w:rPr>
          <w:rFonts w:ascii="Arial" w:cs="Arial" w:eastAsia="Arial" w:hAnsi="Arial"/>
          <w:sz w:val="14"/>
          <w:szCs w:val="14"/>
          <w:b w:val="1"/>
          <w:bCs w:val="1"/>
          <w:color w:val="D7282F"/>
        </w:rPr>
      </w:pPr>
      <w:r>
        <w:rPr>
          <w:rFonts w:ascii="Arial" w:cs="Arial" w:eastAsia="Arial" w:hAnsi="Arial"/>
          <w:sz w:val="14"/>
          <w:szCs w:val="14"/>
          <w:color w:val="auto"/>
        </w:rPr>
        <w:t>Employee engagement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1647825</wp:posOffset>
            </wp:positionH>
            <wp:positionV relativeFrom="paragraph">
              <wp:posOffset>-485140</wp:posOffset>
            </wp:positionV>
            <wp:extent cx="205740" cy="5397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05740" cy="539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840" w:space="540"/>
            <w:col w:w="2300" w:space="520"/>
            <w:col w:w="4040"/>
          </w:cols>
          <w:pgMar w:left="320" w:top="230" w:right="3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1140" w:type="dxa"/>
            <w:vAlign w:val="bottom"/>
          </w:tcPr>
          <w:p>
            <w:pPr>
              <w:spacing w:after="0"/>
              <w:rPr>
                <w:sz w:val="24"/>
                <w:szCs w:val="24"/>
                <w:color w:val="auto"/>
              </w:rPr>
            </w:pPr>
          </w:p>
        </w:tc>
        <w:tc>
          <w:tcPr>
            <w:tcW w:w="980" w:type="dxa"/>
            <w:vAlign w:val="bottom"/>
            <w:tcBorders>
              <w:top w:val="single" w:sz="8" w:color="auto"/>
              <w:left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8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ENTERPRISE RISK MANAGEMENT</w:t>
            </w:r>
          </w:p>
        </w:tc>
        <w:tc>
          <w:tcPr>
            <w:tcW w:w="14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140" w:type="dxa"/>
            <w:vAlign w:val="bottom"/>
          </w:tcPr>
          <w:p>
            <w:pPr>
              <w:spacing w:after="0"/>
              <w:rPr>
                <w:sz w:val="5"/>
                <w:szCs w:val="5"/>
                <w:color w:val="auto"/>
              </w:rPr>
            </w:pPr>
          </w:p>
        </w:tc>
        <w:tc>
          <w:tcPr>
            <w:tcW w:w="980" w:type="dxa"/>
            <w:vAlign w:val="bottom"/>
            <w:tcBorders>
              <w:lef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ASSESS</w:t>
            </w:r>
          </w:p>
        </w:tc>
        <w:tc>
          <w:tcPr>
            <w:tcW w:w="1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REVIEW</w:t>
            </w:r>
          </w:p>
        </w:tc>
        <w:tc>
          <w:tcPr>
            <w:tcW w:w="1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INCORPORATE</w:t>
            </w:r>
          </w:p>
        </w:tc>
        <w:tc>
          <w:tcPr>
            <w:tcW w:w="134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980" w:type="dxa"/>
            <w:vAlign w:val="bottom"/>
            <w:tcBorders>
              <w:left w:val="single" w:sz="8" w:color="auto"/>
            </w:tcBorders>
            <w:vMerge w:val="continue"/>
          </w:tcPr>
          <w:p>
            <w:pPr>
              <w:spacing w:after="0"/>
              <w:rPr>
                <w:sz w:val="10"/>
                <w:szCs w:val="10"/>
                <w:color w:val="auto"/>
              </w:rPr>
            </w:pPr>
          </w:p>
        </w:tc>
        <w:tc>
          <w:tcPr>
            <w:tcW w:w="1940" w:type="dxa"/>
            <w:vAlign w:val="bottom"/>
            <w:tcBorders>
              <w:bottom w:val="single" w:sz="8" w:color="D7282F"/>
              <w:right w:val="single" w:sz="8" w:color="D7282F"/>
            </w:tcBorders>
          </w:tcPr>
          <w:p>
            <w:pPr>
              <w:spacing w:after="0"/>
              <w:rPr>
                <w:sz w:val="10"/>
                <w:szCs w:val="10"/>
                <w:color w:val="auto"/>
              </w:rPr>
            </w:pPr>
          </w:p>
        </w:tc>
        <w:tc>
          <w:tcPr>
            <w:tcW w:w="140" w:type="dxa"/>
            <w:vAlign w:val="bottom"/>
            <w:vMerge w:val="restart"/>
          </w:tcPr>
          <w:p>
            <w:pPr>
              <w:spacing w:after="0"/>
              <w:rPr>
                <w:sz w:val="10"/>
                <w:szCs w:val="10"/>
                <w:color w:val="auto"/>
              </w:rPr>
            </w:pPr>
          </w:p>
        </w:tc>
        <w:tc>
          <w:tcPr>
            <w:tcW w:w="920" w:type="dxa"/>
            <w:vAlign w:val="bottom"/>
            <w:vMerge w:val="continue"/>
          </w:tcPr>
          <w:p>
            <w:pPr>
              <w:spacing w:after="0"/>
              <w:rPr>
                <w:sz w:val="10"/>
                <w:szCs w:val="10"/>
                <w:color w:val="auto"/>
              </w:rPr>
            </w:pPr>
          </w:p>
        </w:tc>
        <w:tc>
          <w:tcPr>
            <w:tcW w:w="1820" w:type="dxa"/>
            <w:vAlign w:val="bottom"/>
            <w:tcBorders>
              <w:bottom w:val="single" w:sz="8" w:color="D7282F"/>
              <w:right w:val="single" w:sz="8" w:color="D7282F"/>
            </w:tcBorders>
          </w:tcPr>
          <w:p>
            <w:pPr>
              <w:spacing w:after="0"/>
              <w:rPr>
                <w:sz w:val="10"/>
                <w:szCs w:val="10"/>
                <w:color w:val="auto"/>
              </w:rPr>
            </w:pPr>
          </w:p>
        </w:tc>
        <w:tc>
          <w:tcPr>
            <w:tcW w:w="140" w:type="dxa"/>
            <w:vAlign w:val="bottom"/>
            <w:vMerge w:val="restart"/>
          </w:tcPr>
          <w:p>
            <w:pPr>
              <w:spacing w:after="0"/>
              <w:rPr>
                <w:sz w:val="10"/>
                <w:szCs w:val="10"/>
                <w:color w:val="auto"/>
              </w:rPr>
            </w:pPr>
          </w:p>
        </w:tc>
        <w:tc>
          <w:tcPr>
            <w:tcW w:w="1480" w:type="dxa"/>
            <w:vAlign w:val="bottom"/>
            <w:vMerge w:val="continue"/>
          </w:tcPr>
          <w:p>
            <w:pPr>
              <w:spacing w:after="0"/>
              <w:rPr>
                <w:sz w:val="10"/>
                <w:szCs w:val="10"/>
                <w:color w:val="auto"/>
              </w:rPr>
            </w:pPr>
          </w:p>
        </w:tc>
        <w:tc>
          <w:tcPr>
            <w:tcW w:w="1340" w:type="dxa"/>
            <w:vAlign w:val="bottom"/>
            <w:tcBorders>
              <w:bottom w:val="single" w:sz="8" w:color="D7282F"/>
              <w:right w:val="single" w:sz="8" w:color="D7282F"/>
            </w:tcBorders>
          </w:tcPr>
          <w:p>
            <w:pPr>
              <w:spacing w:after="0"/>
              <w:rPr>
                <w:sz w:val="10"/>
                <w:szCs w:val="10"/>
                <w:color w:val="auto"/>
              </w:rPr>
            </w:pPr>
          </w:p>
        </w:tc>
        <w:tc>
          <w:tcPr>
            <w:tcW w:w="220" w:type="dxa"/>
            <w:vAlign w:val="bottom"/>
            <w:tcBorders>
              <w:right w:val="single" w:sz="8" w:color="auto"/>
            </w:tcBorders>
            <w:vMerge w:val="restart"/>
          </w:tcPr>
          <w:p>
            <w:pPr>
              <w:spacing w:after="0"/>
              <w:rPr>
                <w:sz w:val="10"/>
                <w:szCs w:val="10"/>
                <w:color w:val="auto"/>
              </w:rPr>
            </w:pPr>
          </w:p>
        </w:tc>
        <w:tc>
          <w:tcPr>
            <w:tcW w:w="1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40" w:type="dxa"/>
            <w:vAlign w:val="bottom"/>
          </w:tcPr>
          <w:p>
            <w:pPr>
              <w:spacing w:after="0"/>
              <w:rPr>
                <w:sz w:val="8"/>
                <w:szCs w:val="8"/>
                <w:color w:val="auto"/>
              </w:rPr>
            </w:pPr>
          </w:p>
        </w:tc>
        <w:tc>
          <w:tcPr>
            <w:tcW w:w="980" w:type="dxa"/>
            <w:vAlign w:val="bottom"/>
            <w:tcBorders>
              <w:left w:val="single" w:sz="8" w:color="auto"/>
            </w:tcBorders>
            <w:vMerge w:val="continue"/>
          </w:tcPr>
          <w:p>
            <w:pPr>
              <w:spacing w:after="0"/>
              <w:rPr>
                <w:sz w:val="8"/>
                <w:szCs w:val="8"/>
                <w:color w:val="auto"/>
              </w:rPr>
            </w:pPr>
          </w:p>
        </w:tc>
        <w:tc>
          <w:tcPr>
            <w:tcW w:w="1940" w:type="dxa"/>
            <w:vAlign w:val="bottom"/>
            <w:tcBorders>
              <w:right w:val="single" w:sz="8" w:color="D7282F"/>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820" w:type="dxa"/>
            <w:vAlign w:val="bottom"/>
            <w:tcBorders>
              <w:right w:val="single" w:sz="8" w:color="D7282F"/>
            </w:tcBorders>
          </w:tcPr>
          <w:p>
            <w:pPr>
              <w:spacing w:after="0"/>
              <w:rPr>
                <w:sz w:val="8"/>
                <w:szCs w:val="8"/>
                <w:color w:val="auto"/>
              </w:rPr>
            </w:pPr>
          </w:p>
        </w:tc>
        <w:tc>
          <w:tcPr>
            <w:tcW w:w="1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40" w:type="dxa"/>
            <w:vAlign w:val="bottom"/>
            <w:tcBorders>
              <w:right w:val="single" w:sz="8" w:color="D7282F"/>
            </w:tcBorders>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4"/>
                <w:szCs w:val="24"/>
                <w:color w:val="auto"/>
              </w:rPr>
            </w:pPr>
          </w:p>
        </w:tc>
        <w:tc>
          <w:tcPr>
            <w:tcW w:w="3060" w:type="dxa"/>
            <w:vAlign w:val="bottom"/>
            <w:tcBorders>
              <w:left w:val="single" w:sz="8" w:color="auto"/>
            </w:tcBorders>
            <w:gridSpan w:val="3"/>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Board uses the ERM program as a</w:t>
            </w:r>
          </w:p>
        </w:tc>
        <w:tc>
          <w:tcPr>
            <w:tcW w:w="2880" w:type="dxa"/>
            <w:vAlign w:val="bottom"/>
            <w:gridSpan w:val="3"/>
          </w:tcPr>
          <w:p>
            <w:pPr>
              <w:ind w:left="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Audit Committee, the CGRC, and</w:t>
            </w:r>
          </w:p>
        </w:tc>
        <w:tc>
          <w:tcPr>
            <w:tcW w:w="304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Every three years, the ERM process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key tool for understanding the inherent</w:t>
            </w:r>
          </w:p>
        </w:tc>
        <w:tc>
          <w:tcPr>
            <w:tcW w:w="2880" w:type="dxa"/>
            <w:vAlign w:val="bottom"/>
            <w:gridSpan w:val="3"/>
          </w:tcPr>
          <w:p>
            <w:pPr>
              <w:ind w:left="280"/>
              <w:spacing w:after="0"/>
              <w:rPr>
                <w:sz w:val="20"/>
                <w:szCs w:val="20"/>
                <w:color w:val="auto"/>
              </w:rPr>
            </w:pPr>
            <w:r>
              <w:rPr>
                <w:rFonts w:ascii="Arial" w:cs="Arial" w:eastAsia="Arial" w:hAnsi="Arial"/>
                <w:sz w:val="14"/>
                <w:szCs w:val="14"/>
                <w:color w:val="auto"/>
              </w:rPr>
              <w:t>the full Board review the results of the</w:t>
            </w:r>
          </w:p>
        </w:tc>
        <w:tc>
          <w:tcPr>
            <w:tcW w:w="304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includes one-on-one meetings with each</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risks facing Honeywell and assessing</w:t>
            </w:r>
          </w:p>
        </w:tc>
        <w:tc>
          <w:tcPr>
            <w:tcW w:w="2880" w:type="dxa"/>
            <w:vAlign w:val="bottom"/>
            <w:gridSpan w:val="3"/>
          </w:tcPr>
          <w:p>
            <w:pPr>
              <w:ind w:left="280"/>
              <w:spacing w:after="0"/>
              <w:rPr>
                <w:sz w:val="20"/>
                <w:szCs w:val="20"/>
                <w:color w:val="auto"/>
              </w:rPr>
            </w:pPr>
            <w:r>
              <w:rPr>
                <w:rFonts w:ascii="Arial" w:cs="Arial" w:eastAsia="Arial" w:hAnsi="Arial"/>
                <w:sz w:val="14"/>
                <w:szCs w:val="14"/>
                <w:color w:val="auto"/>
              </w:rPr>
              <w:t>annual ERM assessment.</w:t>
            </w:r>
          </w:p>
        </w:tc>
        <w:tc>
          <w:tcPr>
            <w:tcW w:w="304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Board member to discuss each</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whether management’s processes,</w:t>
            </w:r>
          </w:p>
        </w:tc>
        <w:tc>
          <w:tcPr>
            <w:tcW w:w="2880" w:type="dxa"/>
            <w:vAlign w:val="bottom"/>
            <w:gridSpan w:val="3"/>
          </w:tcPr>
          <w:p>
            <w:pPr>
              <w:ind w:left="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During the reviews, Honeywell’s CFO</w:t>
            </w:r>
          </w:p>
        </w:tc>
        <w:tc>
          <w:tcPr>
            <w:tcW w:w="304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director’s “top down” view of risks facing</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3060" w:type="dxa"/>
            <w:vAlign w:val="bottom"/>
            <w:tcBorders>
              <w:left w:val="single" w:sz="8" w:color="auto"/>
            </w:tcBorders>
            <w:gridSpan w:val="3"/>
          </w:tcPr>
          <w:p>
            <w:pPr>
              <w:ind w:left="360"/>
              <w:spacing w:after="0" w:line="153" w:lineRule="exact"/>
              <w:rPr>
                <w:sz w:val="20"/>
                <w:szCs w:val="20"/>
                <w:color w:val="auto"/>
              </w:rPr>
            </w:pPr>
            <w:r>
              <w:rPr>
                <w:rFonts w:ascii="Arial" w:cs="Arial" w:eastAsia="Arial" w:hAnsi="Arial"/>
                <w:sz w:val="14"/>
                <w:szCs w:val="14"/>
                <w:color w:val="auto"/>
              </w:rPr>
              <w:t>procedures, and practices for mitigating</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and General Counsel present the</w:t>
            </w:r>
          </w:p>
        </w:tc>
        <w:tc>
          <w:tcPr>
            <w:tcW w:w="3040" w:type="dxa"/>
            <w:vAlign w:val="bottom"/>
            <w:tcBorders>
              <w:right w:val="single" w:sz="8" w:color="auto"/>
            </w:tcBorders>
            <w:gridSpan w:val="3"/>
          </w:tcPr>
          <w:p>
            <w:pPr>
              <w:ind w:left="280"/>
              <w:spacing w:after="0" w:line="153" w:lineRule="exact"/>
              <w:rPr>
                <w:sz w:val="20"/>
                <w:szCs w:val="20"/>
                <w:color w:val="auto"/>
              </w:rPr>
            </w:pPr>
            <w:r>
              <w:rPr>
                <w:rFonts w:ascii="Arial" w:cs="Arial" w:eastAsia="Arial" w:hAnsi="Arial"/>
                <w:sz w:val="14"/>
                <w:szCs w:val="14"/>
                <w:color w:val="auto"/>
              </w:rPr>
              <w:t>the enterprise, to solicit the director’s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those risks are effective.</w:t>
            </w: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recommendations for improving the</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60" w:type="dxa"/>
            <w:vAlign w:val="bottom"/>
            <w:tcBorders>
              <w:left w:val="single" w:sz="8" w:color="auto"/>
            </w:tcBorders>
            <w:gridSpan w:val="3"/>
            <w:vMerge w:val="continue"/>
          </w:tcPr>
          <w:p>
            <w:pPr>
              <w:spacing w:after="0"/>
              <w:rPr>
                <w:sz w:val="9"/>
                <w:szCs w:val="9"/>
                <w:color w:val="auto"/>
              </w:rPr>
            </w:pP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results of the ERM assessment in a</w:t>
            </w:r>
          </w:p>
        </w:tc>
        <w:tc>
          <w:tcPr>
            <w:tcW w:w="3040" w:type="dxa"/>
            <w:vAlign w:val="bottom"/>
            <w:tcBorders>
              <w:right w:val="single" w:sz="8" w:color="auto"/>
            </w:tcBorders>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restart"/>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annual ERM assessment deployed</w:t>
            </w: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ERM process, and to ensure that the</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060" w:type="dxa"/>
            <w:vAlign w:val="bottom"/>
            <w:tcBorders>
              <w:left w:val="single" w:sz="8" w:color="auto"/>
            </w:tcBorders>
            <w:gridSpan w:val="3"/>
            <w:vMerge w:val="continue"/>
          </w:tcPr>
          <w:p>
            <w:pPr>
              <w:spacing w:after="0"/>
              <w:rPr>
                <w:sz w:val="12"/>
                <w:szCs w:val="12"/>
                <w:color w:val="auto"/>
              </w:rPr>
            </w:pPr>
          </w:p>
        </w:tc>
        <w:tc>
          <w:tcPr>
            <w:tcW w:w="2880" w:type="dxa"/>
            <w:vAlign w:val="bottom"/>
            <w:gridSpan w:val="3"/>
          </w:tcPr>
          <w:p>
            <w:pPr>
              <w:ind w:left="280"/>
              <w:spacing w:after="0" w:line="145" w:lineRule="exact"/>
              <w:rPr>
                <w:sz w:val="20"/>
                <w:szCs w:val="20"/>
                <w:color w:val="auto"/>
              </w:rPr>
            </w:pPr>
            <w:r>
              <w:rPr>
                <w:rFonts w:ascii="Arial" w:cs="Arial" w:eastAsia="Arial" w:hAnsi="Arial"/>
                <w:sz w:val="14"/>
                <w:szCs w:val="14"/>
                <w:color w:val="auto"/>
              </w:rPr>
              <w:t>manner designed to provide full</w:t>
            </w:r>
          </w:p>
        </w:tc>
        <w:tc>
          <w:tcPr>
            <w:tcW w:w="3040" w:type="dxa"/>
            <w:vAlign w:val="bottom"/>
            <w:tcBorders>
              <w:right w:val="single" w:sz="8" w:color="auto"/>
            </w:tcBorders>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by management is based on an</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visibility into the risks facing Honeywell</w:t>
            </w:r>
          </w:p>
        </w:tc>
        <w:tc>
          <w:tcPr>
            <w:tcW w:w="3040" w:type="dxa"/>
            <w:vAlign w:val="bottom"/>
            <w:tcBorders>
              <w:right w:val="single" w:sz="8" w:color="auto"/>
            </w:tcBorders>
            <w:gridSpan w:val="3"/>
          </w:tcPr>
          <w:p>
            <w:pPr>
              <w:ind w:left="280"/>
              <w:spacing w:after="0" w:line="139" w:lineRule="exact"/>
              <w:rPr>
                <w:sz w:val="20"/>
                <w:szCs w:val="20"/>
                <w:color w:val="auto"/>
              </w:rPr>
            </w:pPr>
            <w:r>
              <w:rPr>
                <w:rFonts w:ascii="Arial" w:cs="Arial" w:eastAsia="Arial" w:hAnsi="Arial"/>
                <w:sz w:val="14"/>
                <w:szCs w:val="14"/>
                <w:color w:val="auto"/>
              </w:rPr>
              <w:t>universe of risks and the metrics for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continue"/>
          </w:tcPr>
          <w:p>
            <w:pPr>
              <w:spacing w:after="0"/>
              <w:rPr>
                <w:sz w:val="4"/>
                <w:szCs w:val="4"/>
                <w:color w:val="auto"/>
              </w:rPr>
            </w:pP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identifying key risks, in terms of</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enterprise-wide “top down” and “bottom</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and how management is mitigating</w:t>
            </w:r>
          </w:p>
        </w:tc>
        <w:tc>
          <w:tcPr>
            <w:tcW w:w="3040" w:type="dxa"/>
            <w:vAlign w:val="bottom"/>
            <w:tcBorders>
              <w:right w:val="single" w:sz="8" w:color="auto"/>
            </w:tcBorders>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continue"/>
          </w:tcPr>
          <w:p>
            <w:pPr>
              <w:spacing w:after="0"/>
              <w:rPr>
                <w:sz w:val="4"/>
                <w:szCs w:val="4"/>
                <w:color w:val="auto"/>
              </w:rPr>
            </w:pP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likelihood of occurrence and potential</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up” view of commercial, strategic, legal,</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those risks, thereby enabling the Board</w:t>
            </w:r>
          </w:p>
        </w:tc>
        <w:tc>
          <w:tcPr>
            <w:tcW w:w="3040" w:type="dxa"/>
            <w:vAlign w:val="bottom"/>
            <w:tcBorders>
              <w:right w:val="single" w:sz="8" w:color="auto"/>
            </w:tcBorders>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continue"/>
          </w:tcPr>
          <w:p>
            <w:pPr>
              <w:spacing w:after="0"/>
              <w:rPr>
                <w:sz w:val="4"/>
                <w:szCs w:val="4"/>
                <w:color w:val="auto"/>
              </w:rPr>
            </w:pP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financial impact, is both realistic and</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compliance, human capital, cyber, and</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to effectively exercise its oversight</w:t>
            </w:r>
          </w:p>
        </w:tc>
        <w:tc>
          <w:tcPr>
            <w:tcW w:w="3040" w:type="dxa"/>
            <w:vAlign w:val="bottom"/>
            <w:tcBorders>
              <w:right w:val="single" w:sz="8" w:color="auto"/>
            </w:tcBorders>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3060" w:type="dxa"/>
            <w:vAlign w:val="bottom"/>
            <w:tcBorders>
              <w:left w:val="single" w:sz="8" w:color="auto"/>
            </w:tcBorders>
            <w:gridSpan w:val="3"/>
            <w:vMerge w:val="continue"/>
          </w:tcPr>
          <w:p>
            <w:pPr>
              <w:spacing w:after="0"/>
              <w:rPr>
                <w:sz w:val="5"/>
                <w:szCs w:val="5"/>
                <w:color w:val="auto"/>
              </w:rPr>
            </w:pPr>
          </w:p>
        </w:tc>
        <w:tc>
          <w:tcPr>
            <w:tcW w:w="2880" w:type="dxa"/>
            <w:vAlign w:val="bottom"/>
            <w:gridSpan w:val="3"/>
            <w:vMerge w:val="continue"/>
          </w:tcPr>
          <w:p>
            <w:pPr>
              <w:spacing w:after="0"/>
              <w:rPr>
                <w:sz w:val="5"/>
                <w:szCs w:val="5"/>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appropriate.</w:t>
            </w: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reputational risks and strategies for</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function.</w:t>
            </w:r>
          </w:p>
        </w:tc>
        <w:tc>
          <w:tcPr>
            <w:tcW w:w="3040" w:type="dxa"/>
            <w:vAlign w:val="bottom"/>
            <w:tcBorders>
              <w:right w:val="single" w:sz="8" w:color="auto"/>
            </w:tcBorders>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140" w:type="dxa"/>
            <w:vAlign w:val="bottom"/>
          </w:tcPr>
          <w:p>
            <w:pPr>
              <w:spacing w:after="0"/>
              <w:rPr>
                <w:sz w:val="3"/>
                <w:szCs w:val="3"/>
                <w:color w:val="auto"/>
              </w:rPr>
            </w:pPr>
          </w:p>
        </w:tc>
        <w:tc>
          <w:tcPr>
            <w:tcW w:w="3060" w:type="dxa"/>
            <w:vAlign w:val="bottom"/>
            <w:tcBorders>
              <w:left w:val="single" w:sz="8" w:color="auto"/>
            </w:tcBorders>
            <w:gridSpan w:val="3"/>
            <w:vMerge w:val="continue"/>
          </w:tcPr>
          <w:p>
            <w:pPr>
              <w:spacing w:after="0"/>
              <w:rPr>
                <w:sz w:val="3"/>
                <w:szCs w:val="3"/>
                <w:color w:val="auto"/>
              </w:rPr>
            </w:pPr>
          </w:p>
        </w:tc>
        <w:tc>
          <w:tcPr>
            <w:tcW w:w="2880" w:type="dxa"/>
            <w:vAlign w:val="bottom"/>
            <w:gridSpan w:val="3"/>
            <w:vMerge w:val="continue"/>
          </w:tcPr>
          <w:p>
            <w:pPr>
              <w:spacing w:after="0"/>
              <w:rPr>
                <w:sz w:val="3"/>
                <w:szCs w:val="3"/>
                <w:color w:val="auto"/>
              </w:rPr>
            </w:pPr>
          </w:p>
        </w:tc>
        <w:tc>
          <w:tcPr>
            <w:tcW w:w="3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Feedback from the one-on-one</w:t>
            </w: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mitigating those risks.</w:t>
            </w:r>
          </w:p>
        </w:tc>
        <w:tc>
          <w:tcPr>
            <w:tcW w:w="2880" w:type="dxa"/>
            <w:vAlign w:val="bottom"/>
            <w:gridSpan w:val="3"/>
          </w:tcPr>
          <w:p>
            <w:pPr>
              <w:ind w:left="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To facilitate continued monitoring and</w:t>
            </w:r>
          </w:p>
        </w:tc>
        <w:tc>
          <w:tcPr>
            <w:tcW w:w="3040" w:type="dxa"/>
            <w:vAlign w:val="bottom"/>
            <w:tcBorders>
              <w:right w:val="single" w:sz="8" w:color="auto"/>
            </w:tcBorders>
            <w:gridSpan w:val="3"/>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060" w:type="dxa"/>
            <w:vAlign w:val="bottom"/>
            <w:tcBorders>
              <w:left w:val="single" w:sz="8" w:color="auto"/>
            </w:tcBorders>
            <w:gridSpan w:val="3"/>
          </w:tcPr>
          <w:p>
            <w:pPr>
              <w:ind w:left="160"/>
              <w:spacing w:after="0" w:line="175" w:lineRule="exact"/>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In 2023, the ERM program included</w:t>
            </w:r>
          </w:p>
        </w:tc>
        <w:tc>
          <w:tcPr>
            <w:tcW w:w="2880" w:type="dxa"/>
            <w:vAlign w:val="bottom"/>
            <w:gridSpan w:val="3"/>
          </w:tcPr>
          <w:p>
            <w:pPr>
              <w:ind w:left="280"/>
              <w:spacing w:after="0"/>
              <w:rPr>
                <w:sz w:val="20"/>
                <w:szCs w:val="20"/>
                <w:color w:val="auto"/>
              </w:rPr>
            </w:pPr>
            <w:r>
              <w:rPr>
                <w:rFonts w:ascii="Arial" w:cs="Arial" w:eastAsia="Arial" w:hAnsi="Arial"/>
                <w:sz w:val="14"/>
                <w:szCs w:val="14"/>
                <w:color w:val="auto"/>
              </w:rPr>
              <w:t>oversight by the Board, key risk areas</w:t>
            </w:r>
          </w:p>
        </w:tc>
        <w:tc>
          <w:tcPr>
            <w:tcW w:w="3040" w:type="dxa"/>
            <w:vAlign w:val="bottom"/>
            <w:tcBorders>
              <w:right w:val="single" w:sz="8" w:color="auto"/>
            </w:tcBorders>
            <w:gridSpan w:val="3"/>
          </w:tcPr>
          <w:p>
            <w:pPr>
              <w:ind w:left="280"/>
              <w:spacing w:after="0"/>
              <w:rPr>
                <w:sz w:val="20"/>
                <w:szCs w:val="20"/>
                <w:color w:val="auto"/>
              </w:rPr>
            </w:pPr>
            <w:r>
              <w:rPr>
                <w:rFonts w:ascii="Arial" w:cs="Arial" w:eastAsia="Arial" w:hAnsi="Arial"/>
                <w:sz w:val="14"/>
                <w:szCs w:val="14"/>
                <w:color w:val="auto"/>
              </w:rPr>
              <w:t>interviews with the individual Board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interviews with the Chairman and the</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identified during the ERM process and</w:t>
            </w:r>
          </w:p>
        </w:tc>
        <w:tc>
          <w:tcPr>
            <w:tcW w:w="3040" w:type="dxa"/>
            <w:vAlign w:val="bottom"/>
            <w:tcBorders>
              <w:right w:val="single" w:sz="8" w:color="auto"/>
            </w:tcBorders>
            <w:gridSpan w:val="3"/>
          </w:tcPr>
          <w:p>
            <w:pPr>
              <w:ind w:left="280"/>
              <w:spacing w:after="0" w:line="139" w:lineRule="exact"/>
              <w:rPr>
                <w:sz w:val="20"/>
                <w:szCs w:val="20"/>
                <w:color w:val="auto"/>
              </w:rPr>
            </w:pPr>
            <w:r>
              <w:rPr>
                <w:rFonts w:ascii="Arial" w:cs="Arial" w:eastAsia="Arial" w:hAnsi="Arial"/>
                <w:sz w:val="14"/>
                <w:szCs w:val="14"/>
                <w:color w:val="auto"/>
              </w:rPr>
              <w:t>members is presented to the full Board</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continue"/>
          </w:tcPr>
          <w:p>
            <w:pPr>
              <w:spacing w:after="0"/>
              <w:rPr>
                <w:sz w:val="4"/>
                <w:szCs w:val="4"/>
                <w:color w:val="auto"/>
              </w:rPr>
            </w:pP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and incorporated in the Company’s ERM</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3060" w:type="dxa"/>
            <w:vAlign w:val="bottom"/>
            <w:tcBorders>
              <w:left w:val="single" w:sz="8" w:color="auto"/>
            </w:tcBorders>
            <w:gridSpan w:val="3"/>
            <w:vMerge w:val="restart"/>
          </w:tcPr>
          <w:p>
            <w:pPr>
              <w:ind w:left="360"/>
              <w:spacing w:after="0"/>
              <w:rPr>
                <w:sz w:val="20"/>
                <w:szCs w:val="20"/>
                <w:color w:val="auto"/>
              </w:rPr>
            </w:pPr>
            <w:r>
              <w:rPr>
                <w:rFonts w:ascii="Arial" w:cs="Arial" w:eastAsia="Arial" w:hAnsi="Arial"/>
                <w:sz w:val="14"/>
                <w:szCs w:val="14"/>
                <w:color w:val="auto"/>
              </w:rPr>
              <w:t>CEO, and each member of his</w:t>
            </w:r>
          </w:p>
        </w:tc>
        <w:tc>
          <w:tcPr>
            <w:tcW w:w="2880" w:type="dxa"/>
            <w:vAlign w:val="bottom"/>
            <w:gridSpan w:val="3"/>
            <w:vMerge w:val="restart"/>
          </w:tcPr>
          <w:p>
            <w:pPr>
              <w:ind w:left="280"/>
              <w:spacing w:after="0"/>
              <w:rPr>
                <w:sz w:val="20"/>
                <w:szCs w:val="20"/>
                <w:color w:val="auto"/>
              </w:rPr>
            </w:pPr>
            <w:r>
              <w:rPr>
                <w:rFonts w:ascii="Arial" w:cs="Arial" w:eastAsia="Arial" w:hAnsi="Arial"/>
                <w:sz w:val="14"/>
                <w:szCs w:val="14"/>
                <w:color w:val="auto"/>
              </w:rPr>
              <w:t>management’s associated mitigation</w:t>
            </w:r>
          </w:p>
        </w:tc>
        <w:tc>
          <w:tcPr>
            <w:tcW w:w="3040" w:type="dxa"/>
            <w:vAlign w:val="bottom"/>
            <w:tcBorders>
              <w:right w:val="single" w:sz="8" w:color="auto"/>
            </w:tcBorders>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3060" w:type="dxa"/>
            <w:vAlign w:val="bottom"/>
            <w:tcBorders>
              <w:left w:val="single" w:sz="8" w:color="auto"/>
            </w:tcBorders>
            <w:gridSpan w:val="3"/>
            <w:vMerge w:val="continue"/>
          </w:tcPr>
          <w:p>
            <w:pPr>
              <w:spacing w:after="0"/>
              <w:rPr>
                <w:sz w:val="4"/>
                <w:szCs w:val="4"/>
                <w:color w:val="auto"/>
              </w:rPr>
            </w:pPr>
          </w:p>
        </w:tc>
        <w:tc>
          <w:tcPr>
            <w:tcW w:w="2880" w:type="dxa"/>
            <w:vAlign w:val="bottom"/>
            <w:gridSpan w:val="3"/>
            <w:vMerge w:val="continue"/>
          </w:tcPr>
          <w:p>
            <w:pPr>
              <w:spacing w:after="0"/>
              <w:rPr>
                <w:sz w:val="4"/>
                <w:szCs w:val="4"/>
                <w:color w:val="auto"/>
              </w:rPr>
            </w:pPr>
          </w:p>
        </w:tc>
        <w:tc>
          <w:tcPr>
            <w:tcW w:w="3040" w:type="dxa"/>
            <w:vAlign w:val="bottom"/>
            <w:tcBorders>
              <w:right w:val="single" w:sz="8" w:color="auto"/>
            </w:tcBorders>
            <w:gridSpan w:val="3"/>
            <w:vMerge w:val="restart"/>
          </w:tcPr>
          <w:p>
            <w:pPr>
              <w:ind w:left="280"/>
              <w:spacing w:after="0"/>
              <w:rPr>
                <w:sz w:val="20"/>
                <w:szCs w:val="20"/>
                <w:color w:val="auto"/>
              </w:rPr>
            </w:pPr>
            <w:r>
              <w:rPr>
                <w:rFonts w:ascii="Arial" w:cs="Arial" w:eastAsia="Arial" w:hAnsi="Arial"/>
                <w:sz w:val="14"/>
                <w:szCs w:val="14"/>
                <w:color w:val="auto"/>
              </w:rPr>
              <w:t>program and risk mitigation efforts.</w:t>
            </w: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leadership team, as well as 70 workshop</w:t>
            </w:r>
          </w:p>
        </w:tc>
        <w:tc>
          <w:tcPr>
            <w:tcW w:w="2880" w:type="dxa"/>
            <w:vAlign w:val="bottom"/>
            <w:gridSpan w:val="3"/>
          </w:tcPr>
          <w:p>
            <w:pPr>
              <w:ind w:left="280"/>
              <w:spacing w:after="0"/>
              <w:rPr>
                <w:sz w:val="20"/>
                <w:szCs w:val="20"/>
                <w:color w:val="auto"/>
              </w:rPr>
            </w:pPr>
            <w:r>
              <w:rPr>
                <w:rFonts w:ascii="Arial" w:cs="Arial" w:eastAsia="Arial" w:hAnsi="Arial"/>
                <w:sz w:val="14"/>
                <w:szCs w:val="14"/>
                <w:color w:val="auto"/>
              </w:rPr>
              <w:t>activities become part of Board and/or</w:t>
            </w:r>
          </w:p>
        </w:tc>
        <w:tc>
          <w:tcPr>
            <w:tcW w:w="3040" w:type="dxa"/>
            <w:vAlign w:val="bottom"/>
            <w:tcBorders>
              <w:right w:val="single" w:sz="8" w:color="auto"/>
            </w:tcBorders>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interviews with 165 risk owners and risk</w:t>
            </w:r>
          </w:p>
        </w:tc>
        <w:tc>
          <w:tcPr>
            <w:tcW w:w="2880" w:type="dxa"/>
            <w:vAlign w:val="bottom"/>
            <w:gridSpan w:val="3"/>
          </w:tcPr>
          <w:p>
            <w:pPr>
              <w:ind w:left="280"/>
              <w:spacing w:after="0"/>
              <w:rPr>
                <w:sz w:val="20"/>
                <w:szCs w:val="20"/>
                <w:color w:val="auto"/>
              </w:rPr>
            </w:pPr>
            <w:r>
              <w:rPr>
                <w:rFonts w:ascii="Arial" w:cs="Arial" w:eastAsia="Arial" w:hAnsi="Arial"/>
                <w:sz w:val="14"/>
                <w:szCs w:val="14"/>
                <w:color w:val="auto"/>
              </w:rPr>
              <w:t>committee meeting agendas for the</w:t>
            </w:r>
          </w:p>
        </w:tc>
        <w:tc>
          <w:tcPr>
            <w:tcW w:w="1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experts, covering 76 risk areas across all</w:t>
            </w:r>
          </w:p>
        </w:tc>
        <w:tc>
          <w:tcPr>
            <w:tcW w:w="2880" w:type="dxa"/>
            <w:vAlign w:val="bottom"/>
            <w:gridSpan w:val="3"/>
          </w:tcPr>
          <w:p>
            <w:pPr>
              <w:ind w:left="280"/>
              <w:spacing w:after="0"/>
              <w:rPr>
                <w:sz w:val="20"/>
                <w:szCs w:val="20"/>
                <w:color w:val="auto"/>
              </w:rPr>
            </w:pPr>
            <w:r>
              <w:rPr>
                <w:rFonts w:ascii="Arial" w:cs="Arial" w:eastAsia="Arial" w:hAnsi="Arial"/>
                <w:sz w:val="14"/>
                <w:szCs w:val="14"/>
                <w:color w:val="auto"/>
              </w:rPr>
              <w:t>following year.</w:t>
            </w: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6"/>
                <w:szCs w:val="16"/>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businesses and functions.</w:t>
            </w:r>
          </w:p>
        </w:tc>
        <w:tc>
          <w:tcPr>
            <w:tcW w:w="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060" w:type="dxa"/>
            <w:vAlign w:val="bottom"/>
            <w:tcBorders>
              <w:left w:val="single" w:sz="8" w:color="auto"/>
            </w:tcBorders>
            <w:gridSpan w:val="3"/>
          </w:tcPr>
          <w:p>
            <w:pPr>
              <w:ind w:left="1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In 2024, ERM-identified risks will drive</w:t>
            </w: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over 80% of the audits to be conducted</w:t>
            </w:r>
          </w:p>
        </w:tc>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under the internal audit function’s</w:t>
            </w:r>
          </w:p>
        </w:tc>
        <w:tc>
          <w:tcPr>
            <w:tcW w:w="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060" w:type="dxa"/>
            <w:vAlign w:val="bottom"/>
            <w:tcBorders>
              <w:left w:val="single" w:sz="8" w:color="auto"/>
            </w:tcBorders>
            <w:gridSpan w:val="3"/>
          </w:tcPr>
          <w:p>
            <w:pPr>
              <w:ind w:left="360"/>
              <w:spacing w:after="0"/>
              <w:rPr>
                <w:sz w:val="20"/>
                <w:szCs w:val="20"/>
                <w:color w:val="auto"/>
              </w:rPr>
            </w:pPr>
            <w:r>
              <w:rPr>
                <w:rFonts w:ascii="Arial" w:cs="Arial" w:eastAsia="Arial" w:hAnsi="Arial"/>
                <w:sz w:val="14"/>
                <w:szCs w:val="14"/>
                <w:color w:val="auto"/>
              </w:rPr>
              <w:t>annual plan.</w:t>
            </w:r>
          </w:p>
        </w:tc>
        <w:tc>
          <w:tcPr>
            <w:tcW w:w="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114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w w:val="99"/>
              </w:rPr>
              <w:t>40</w:t>
            </w:r>
          </w:p>
        </w:tc>
        <w:tc>
          <w:tcPr>
            <w:tcW w:w="980" w:type="dxa"/>
            <w:vAlign w:val="bottom"/>
            <w:tcBorders>
              <w:left w:val="single" w:sz="8" w:color="auto"/>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140" w:type="dxa"/>
            <w:vAlign w:val="bottom"/>
            <w:vMerge w:val="continue"/>
          </w:tcPr>
          <w:p>
            <w:pPr>
              <w:spacing w:after="0"/>
              <w:rPr>
                <w:sz w:val="24"/>
                <w:szCs w:val="24"/>
                <w:color w:val="auto"/>
              </w:rPr>
            </w:pPr>
          </w:p>
        </w:tc>
        <w:tc>
          <w:tcPr>
            <w:tcW w:w="5940" w:type="dxa"/>
            <w:vAlign w:val="bottom"/>
            <w:gridSpan w:val="6"/>
          </w:tcPr>
          <w:p>
            <w:pPr>
              <w:ind w:left="500"/>
              <w:spacing w:after="0"/>
              <w:rPr>
                <w:sz w:val="20"/>
                <w:szCs w:val="20"/>
                <w:color w:val="auto"/>
              </w:rPr>
            </w:pPr>
            <w:r>
              <w:rPr>
                <w:rFonts w:ascii="Arial" w:cs="Arial" w:eastAsia="Arial" w:hAnsi="Arial"/>
                <w:sz w:val="13"/>
                <w:szCs w:val="13"/>
                <w:b w:val="1"/>
                <w:bCs w:val="1"/>
                <w:color w:val="6D6E71"/>
              </w:rPr>
              <w:t>|   2024 NOTICE AND PROXY STATEMENT</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548640" cy="1028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STRATEGY</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One of the Board’s primary responsibilities is overseeing management’s establishment and execution of the Company’s strategy and the associated risks. The full Board oversees strategy and strategic risk through robust and constructive engagement with management, taking into consideration Honeywell’s key priorities, global trends impacting our business, regulatory developments, and disruptors in our industries. The Board’s oversight of strategy primarily occurs through deep-dive annual reviews of the long-term strategic plans and annual operating plans of each of our businesses. During these reviews, management provides the Board with its view of the key commercial and strategic risks and opportunities faced by each business unit so that the Board can assess whether management has identified the key risks and opportunities and is taking appropriate actions to mitigate risk. In addition to the review of each business’ strategic and annual plans, specific areas of risk and opportunity are tabled for further Board and/or committee discussion to ensure additional Board engagement on the areas of risk that are most impactful to Honeywell’s strategic direction.</w:t>
      </w:r>
    </w:p>
    <w:p>
      <w:pPr>
        <w:spacing w:after="0" w:line="86"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The Board’s oversight of strategy is prominent in the Company’s portfolio optimization, mergers, acquisitions, and divestitures activity. From strategy and vision to comprehensive annual portfolio reviews, individual transaction approvals, deal execution, integration, and performance against goals, the Board is engaged in all aspects of the Company’s mergers, acquisitions, divestitures, and corporate development activities. With the ultimate goal of achieving outcomes that promote long-term shareowner value, the Board annually engages in a rigorous, thorough, and unbiased review of Honeywell’s portfolio and devotes a substantial amount of time at each Board meeting to pressure test potential transactions, review deal execution, monitor integration, and assess long-term outcomes.</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ESG MATTERS</w:t>
      </w:r>
    </w:p>
    <w:p>
      <w:pPr>
        <w:spacing w:after="0" w:line="128"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auto"/>
        </w:rPr>
        <w:t>Honeywell takes seriously its commitment to corporate social responsibility, protection of the environment, and creation of sustainable opportunity everywhere it operates. Honeywell’s environmental, social, and governance (ESG) initiatives are aligned with the Company’s long-term strategy, both informing and supporting Honeywell’s strategic plans.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Board’s engagement and oversight extends to ESG initiatives in the following principal ways:</w:t>
      </w:r>
    </w:p>
    <w:p>
      <w:pPr>
        <w:spacing w:after="0" w:line="113" w:lineRule="exact"/>
        <w:rPr>
          <w:sz w:val="20"/>
          <w:szCs w:val="20"/>
          <w:color w:val="auto"/>
        </w:rPr>
      </w:pPr>
    </w:p>
    <w:p>
      <w:pPr>
        <w:ind w:left="200" w:right="580" w:hanging="192"/>
        <w:spacing w:after="0" w:line="304" w:lineRule="auto"/>
        <w:tabs>
          <w:tab w:leader="none" w:pos="197" w:val="left"/>
        </w:tabs>
        <w:numPr>
          <w:ilvl w:val="0"/>
          <w:numId w:val="110"/>
        </w:numPr>
        <w:rPr>
          <w:rFonts w:ascii="Arial" w:cs="Arial" w:eastAsia="Arial" w:hAnsi="Arial"/>
          <w:sz w:val="16"/>
          <w:szCs w:val="16"/>
          <w:b w:val="1"/>
          <w:bCs w:val="1"/>
          <w:color w:val="D7282F"/>
        </w:rPr>
      </w:pPr>
      <w:r>
        <w:rPr>
          <w:rFonts w:ascii="Arial" w:cs="Arial" w:eastAsia="Arial" w:hAnsi="Arial"/>
          <w:sz w:val="16"/>
          <w:szCs w:val="16"/>
          <w:color w:val="auto"/>
        </w:rPr>
        <w:t>The CGRC has primary jurisdiction for managing risks and opportunities associated with ESG as well as oversight of discrete ESG topics, such as climate, environmental remediation, integrity and ethics, and political engagement.</w:t>
      </w:r>
    </w:p>
    <w:p>
      <w:pPr>
        <w:spacing w:after="0" w:line="6" w:lineRule="exact"/>
        <w:rPr>
          <w:rFonts w:ascii="Arial" w:cs="Arial" w:eastAsia="Arial" w:hAnsi="Arial"/>
          <w:sz w:val="16"/>
          <w:szCs w:val="16"/>
          <w:b w:val="1"/>
          <w:bCs w:val="1"/>
          <w:color w:val="D7282F"/>
        </w:rPr>
      </w:pPr>
    </w:p>
    <w:p>
      <w:pPr>
        <w:ind w:left="200" w:right="280" w:hanging="192"/>
        <w:spacing w:after="0" w:line="286" w:lineRule="auto"/>
        <w:tabs>
          <w:tab w:leader="none" w:pos="197" w:val="left"/>
        </w:tabs>
        <w:numPr>
          <w:ilvl w:val="0"/>
          <w:numId w:val="110"/>
        </w:numPr>
        <w:rPr>
          <w:rFonts w:ascii="Arial" w:cs="Arial" w:eastAsia="Arial" w:hAnsi="Arial"/>
          <w:sz w:val="16"/>
          <w:szCs w:val="16"/>
          <w:b w:val="1"/>
          <w:bCs w:val="1"/>
          <w:color w:val="D7282F"/>
        </w:rPr>
      </w:pPr>
      <w:r>
        <w:rPr>
          <w:rFonts w:ascii="Arial" w:cs="Arial" w:eastAsia="Arial" w:hAnsi="Arial"/>
          <w:sz w:val="16"/>
          <w:szCs w:val="16"/>
          <w:color w:val="auto"/>
        </w:rPr>
        <w:t>Direct MDCC oversight of human capital management issues, including culture, diversity and inclusion, talent recruitment and retention, and employee well-being.</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0"/>
        </w:numPr>
        <w:rPr>
          <w:rFonts w:ascii="Arial" w:cs="Arial" w:eastAsia="Arial" w:hAnsi="Arial"/>
          <w:sz w:val="16"/>
          <w:szCs w:val="16"/>
          <w:b w:val="1"/>
          <w:bCs w:val="1"/>
          <w:color w:val="D7282F"/>
        </w:rPr>
      </w:pPr>
      <w:r>
        <w:rPr>
          <w:rFonts w:ascii="Arial" w:cs="Arial" w:eastAsia="Arial" w:hAnsi="Arial"/>
          <w:sz w:val="16"/>
          <w:szCs w:val="16"/>
          <w:color w:val="auto"/>
        </w:rPr>
        <w:t>Direct Audit Committee and Board engagement with ESG risk areas through a robust and comprehensive ERM program.</w:t>
      </w:r>
    </w:p>
    <w:p>
      <w:pPr>
        <w:spacing w:after="0" w:line="72" w:lineRule="exact"/>
        <w:rPr>
          <w:rFonts w:ascii="Arial" w:cs="Arial" w:eastAsia="Arial" w:hAnsi="Arial"/>
          <w:sz w:val="16"/>
          <w:szCs w:val="16"/>
          <w:b w:val="1"/>
          <w:bCs w:val="1"/>
          <w:color w:val="D7282F"/>
        </w:rPr>
      </w:pPr>
    </w:p>
    <w:p>
      <w:pPr>
        <w:ind w:left="200" w:right="120" w:hanging="192"/>
        <w:spacing w:after="0" w:line="304" w:lineRule="auto"/>
        <w:tabs>
          <w:tab w:leader="none" w:pos="197" w:val="left"/>
        </w:tabs>
        <w:numPr>
          <w:ilvl w:val="0"/>
          <w:numId w:val="110"/>
        </w:numPr>
        <w:rPr>
          <w:rFonts w:ascii="Arial" w:cs="Arial" w:eastAsia="Arial" w:hAnsi="Arial"/>
          <w:sz w:val="16"/>
          <w:szCs w:val="16"/>
          <w:b w:val="1"/>
          <w:bCs w:val="1"/>
          <w:color w:val="D7282F"/>
        </w:rPr>
      </w:pPr>
      <w:r>
        <w:rPr>
          <w:rFonts w:ascii="Arial" w:cs="Arial" w:eastAsia="Arial" w:hAnsi="Arial"/>
          <w:sz w:val="16"/>
          <w:szCs w:val="16"/>
          <w:color w:val="auto"/>
        </w:rPr>
        <w:t>Direct Board engagement on select ESG topics, such as inclusion and diversity, safety, business resiliency, political engagement, environmental matters, and community engagement.</w:t>
      </w:r>
    </w:p>
    <w:p>
      <w:pPr>
        <w:spacing w:after="0" w:line="6" w:lineRule="exact"/>
        <w:rPr>
          <w:rFonts w:ascii="Arial" w:cs="Arial" w:eastAsia="Arial" w:hAnsi="Arial"/>
          <w:sz w:val="16"/>
          <w:szCs w:val="16"/>
          <w:b w:val="1"/>
          <w:bCs w:val="1"/>
          <w:color w:val="D7282F"/>
        </w:rPr>
      </w:pPr>
    </w:p>
    <w:p>
      <w:pPr>
        <w:ind w:left="200" w:right="300" w:hanging="192"/>
        <w:spacing w:after="0" w:line="266" w:lineRule="auto"/>
        <w:tabs>
          <w:tab w:leader="none" w:pos="197" w:val="left"/>
        </w:tabs>
        <w:numPr>
          <w:ilvl w:val="0"/>
          <w:numId w:val="110"/>
        </w:numPr>
        <w:rPr>
          <w:rFonts w:ascii="Arial" w:cs="Arial" w:eastAsia="Arial" w:hAnsi="Arial"/>
          <w:sz w:val="16"/>
          <w:szCs w:val="16"/>
          <w:b w:val="1"/>
          <w:bCs w:val="1"/>
          <w:color w:val="D7282F"/>
        </w:rPr>
      </w:pPr>
      <w:r>
        <w:rPr>
          <w:rFonts w:ascii="Arial" w:cs="Arial" w:eastAsia="Arial" w:hAnsi="Arial"/>
          <w:sz w:val="16"/>
          <w:szCs w:val="16"/>
          <w:color w:val="auto"/>
        </w:rPr>
        <w:t>Feedback from shareowners. The Board values shareowners’ perspectives on ESG matters, and the Company (oftentimes with our independent Lead Director, MDCC Chair, and/or CGRC Chair) engages directly with shareowners throughout the year to discuss and receive feedback on our activities, goals, and achievements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15175" cy="291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Overall Oversight of 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757045" cy="12687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757045" cy="1268730"/>
                    </a:xfrm>
                    <a:prstGeom prst="rect">
                      <a:avLst/>
                    </a:prstGeom>
                    <a:noFill/>
                  </pic:spPr>
                </pic:pic>
              </a:graphicData>
            </a:graphic>
          </wp:anchor>
        </w:drawing>
      </w:r>
    </w:p>
    <w:p>
      <w:pPr>
        <w:spacing w:after="0" w:line="386" w:lineRule="exact"/>
        <w:rPr>
          <w:sz w:val="20"/>
          <w:szCs w:val="20"/>
          <w:color w:val="auto"/>
        </w:rPr>
      </w:pPr>
    </w:p>
    <w:p>
      <w:pPr>
        <w:ind w:left="100" w:right="40"/>
        <w:spacing w:after="0" w:line="294" w:lineRule="auto"/>
        <w:rPr>
          <w:sz w:val="20"/>
          <w:szCs w:val="20"/>
          <w:color w:val="auto"/>
        </w:rPr>
      </w:pPr>
      <w:r>
        <w:rPr>
          <w:rFonts w:ascii="Arial" w:cs="Arial" w:eastAsia="Arial" w:hAnsi="Arial"/>
          <w:sz w:val="14"/>
          <w:szCs w:val="14"/>
          <w:b w:val="1"/>
          <w:bCs w:val="1"/>
          <w:color w:val="auto"/>
        </w:rPr>
        <w:t>Committee O</w:t>
      </w:r>
      <w:r>
        <w:rPr>
          <w:rFonts w:ascii="Arial" w:cs="Arial" w:eastAsia="Arial" w:hAnsi="Arial"/>
          <w:sz w:val="14"/>
          <w:szCs w:val="14"/>
          <w:b w:val="1"/>
          <w:bCs w:val="1"/>
          <w:color w:val="242424"/>
        </w:rPr>
        <w:t>versight of</w:t>
      </w:r>
      <w:r>
        <w:rPr>
          <w:rFonts w:ascii="Arial" w:cs="Arial" w:eastAsia="Arial" w:hAnsi="Arial"/>
          <w:sz w:val="14"/>
          <w:szCs w:val="14"/>
          <w:b w:val="1"/>
          <w:bCs w:val="1"/>
          <w:color w:val="auto"/>
        </w:rPr>
        <w:t xml:space="preserve"> D</w:t>
      </w:r>
      <w:r>
        <w:rPr>
          <w:rFonts w:ascii="Arial" w:cs="Arial" w:eastAsia="Arial" w:hAnsi="Arial"/>
          <w:sz w:val="14"/>
          <w:szCs w:val="14"/>
          <w:b w:val="1"/>
          <w:bCs w:val="1"/>
          <w:color w:val="242424"/>
        </w:rPr>
        <w:t>iscrete ESG</w:t>
      </w:r>
      <w:r>
        <w:rPr>
          <w:rFonts w:ascii="Arial" w:cs="Arial" w:eastAsia="Arial" w:hAnsi="Arial"/>
          <w:sz w:val="14"/>
          <w:szCs w:val="14"/>
          <w:b w:val="1"/>
          <w:bCs w:val="1"/>
          <w:color w:val="auto"/>
        </w:rPr>
        <w:t xml:space="preserve"> R</w:t>
      </w:r>
      <w:r>
        <w:rPr>
          <w:rFonts w:ascii="Arial" w:cs="Arial" w:eastAsia="Arial" w:hAnsi="Arial"/>
          <w:sz w:val="14"/>
          <w:szCs w:val="14"/>
          <w:b w:val="1"/>
          <w:bCs w:val="1"/>
          <w:color w:val="242424"/>
        </w:rPr>
        <w:t>isk and</w:t>
      </w:r>
      <w:r>
        <w:rPr>
          <w:rFonts w:ascii="Arial" w:cs="Arial" w:eastAsia="Arial" w:hAnsi="Arial"/>
          <w:sz w:val="14"/>
          <w:szCs w:val="14"/>
          <w:b w:val="1"/>
          <w:bCs w:val="1"/>
          <w:color w:val="auto"/>
        </w:rPr>
        <w:t xml:space="preserve"> Op</w:t>
      </w:r>
      <w:r>
        <w:rPr>
          <w:rFonts w:ascii="Arial" w:cs="Arial" w:eastAsia="Arial" w:hAnsi="Arial"/>
          <w:sz w:val="14"/>
          <w:szCs w:val="14"/>
          <w:b w:val="1"/>
          <w:bCs w:val="1"/>
          <w:color w:val="242424"/>
        </w:rPr>
        <w:t>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1041400</wp:posOffset>
            </wp:positionV>
            <wp:extent cx="1757045" cy="1045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57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line="272" w:lineRule="auto"/>
        <w:rPr>
          <w:sz w:val="20"/>
          <w:szCs w:val="20"/>
          <w:color w:val="auto"/>
        </w:rPr>
      </w:pPr>
      <w:r>
        <w:rPr>
          <w:rFonts w:ascii="Arial" w:cs="Arial" w:eastAsia="Arial" w:hAnsi="Arial"/>
          <w:sz w:val="14"/>
          <w:szCs w:val="14"/>
          <w:b w:val="1"/>
          <w:bCs w:val="1"/>
          <w:color w:val="auto"/>
        </w:rPr>
        <w:t>Management with Accountability and Regular, Direct Reporting to Responsible Board Committee on ESG Topics</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The full Board and Corporate Governance and Responsibility Committee oversee the Company's overall ESG performance and associated risks and opportunities.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760" w:type="dxa"/>
            <w:vAlign w:val="bottom"/>
            <w:tcBorders>
              <w:top w:val="single" w:sz="8" w:color="939598"/>
              <w:right w:val="single" w:sz="8" w:color="939598"/>
            </w:tcBorders>
            <w:gridSpan w:val="2"/>
          </w:tcPr>
          <w:p>
            <w:pPr>
              <w:ind w:left="140"/>
              <w:spacing w:after="0"/>
              <w:rPr>
                <w:sz w:val="20"/>
                <w:szCs w:val="20"/>
                <w:color w:val="auto"/>
              </w:rPr>
            </w:pPr>
            <w:r>
              <w:rPr>
                <w:rFonts w:ascii="Arial" w:cs="Arial" w:eastAsia="Arial" w:hAnsi="Arial"/>
                <w:sz w:val="14"/>
                <w:szCs w:val="14"/>
                <w:b w:val="1"/>
                <w:bCs w:val="1"/>
                <w:color w:val="D7282F"/>
              </w:rPr>
              <w:t>CGRC</w:t>
            </w:r>
          </w:p>
        </w:tc>
        <w:tc>
          <w:tcPr>
            <w:tcW w:w="2740" w:type="dxa"/>
            <w:vAlign w:val="bottom"/>
            <w:tcBorders>
              <w:top w:val="single" w:sz="8" w:color="939598"/>
              <w:right w:val="single" w:sz="8" w:color="939598"/>
            </w:tcBorders>
            <w:gridSpan w:val="2"/>
          </w:tcPr>
          <w:p>
            <w:pPr>
              <w:ind w:left="80"/>
              <w:spacing w:after="0"/>
              <w:rPr>
                <w:sz w:val="20"/>
                <w:szCs w:val="20"/>
                <w:color w:val="auto"/>
              </w:rPr>
            </w:pPr>
            <w:r>
              <w:rPr>
                <w:rFonts w:ascii="Arial" w:cs="Arial" w:eastAsia="Arial" w:hAnsi="Arial"/>
                <w:sz w:val="14"/>
                <w:szCs w:val="14"/>
                <w:b w:val="1"/>
                <w:bCs w:val="1"/>
                <w:color w:val="D7282F"/>
              </w:rPr>
              <w:t>AUDIT COMMITTEE</w:t>
            </w:r>
          </w:p>
        </w:tc>
        <w:tc>
          <w:tcPr>
            <w:tcW w:w="2720" w:type="dxa"/>
            <w:vAlign w:val="bottom"/>
            <w:tcBorders>
              <w:top w:val="single" w:sz="8" w:color="939598"/>
            </w:tcBorders>
            <w:gridSpan w:val="2"/>
          </w:tcPr>
          <w:p>
            <w:pPr>
              <w:ind w:left="80"/>
              <w:spacing w:after="0"/>
              <w:rPr>
                <w:sz w:val="20"/>
                <w:szCs w:val="20"/>
                <w:color w:val="auto"/>
              </w:rPr>
            </w:pPr>
            <w:r>
              <w:rPr>
                <w:rFonts w:ascii="Arial" w:cs="Arial" w:eastAsia="Arial" w:hAnsi="Arial"/>
                <w:sz w:val="14"/>
                <w:szCs w:val="14"/>
                <w:b w:val="1"/>
                <w:bCs w:val="1"/>
                <w:color w:val="D7282F"/>
              </w:rPr>
              <w:t>MDCC</w:t>
            </w:r>
          </w:p>
        </w:tc>
        <w:tc>
          <w:tcPr>
            <w:tcW w:w="0" w:type="dxa"/>
            <w:vAlign w:val="bottom"/>
          </w:tcPr>
          <w:p>
            <w:pPr>
              <w:spacing w:after="0"/>
              <w:rPr>
                <w:sz w:val="1"/>
                <w:szCs w:val="1"/>
                <w:color w:val="auto"/>
              </w:rPr>
            </w:pPr>
          </w:p>
        </w:tc>
      </w:tr>
      <w:tr>
        <w:trPr>
          <w:trHeight w:val="172"/>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Environmental</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Tax</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20" w:type="dxa"/>
            <w:vAlign w:val="bottom"/>
          </w:tcPr>
          <w:p>
            <w:pPr>
              <w:ind w:left="80"/>
              <w:spacing w:after="0"/>
              <w:rPr>
                <w:sz w:val="20"/>
                <w:szCs w:val="20"/>
                <w:color w:val="auto"/>
              </w:rPr>
            </w:pPr>
            <w:r>
              <w:rPr>
                <w:rFonts w:ascii="Arial" w:cs="Arial" w:eastAsia="Arial" w:hAnsi="Arial"/>
                <w:sz w:val="13"/>
                <w:szCs w:val="13"/>
                <w:color w:val="auto"/>
              </w:rPr>
              <w:t>Human Capital Management</w:t>
            </w: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Health and Safety</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Financial Controls</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20" w:type="dxa"/>
            <w:vAlign w:val="bottom"/>
          </w:tcPr>
          <w:p>
            <w:pPr>
              <w:ind w:left="80"/>
              <w:spacing w:after="0"/>
              <w:rPr>
                <w:sz w:val="20"/>
                <w:szCs w:val="20"/>
                <w:color w:val="auto"/>
              </w:rPr>
            </w:pPr>
            <w:r>
              <w:rPr>
                <w:rFonts w:ascii="Arial" w:cs="Arial" w:eastAsia="Arial" w:hAnsi="Arial"/>
                <w:sz w:val="13"/>
                <w:szCs w:val="13"/>
                <w:color w:val="auto"/>
              </w:rPr>
              <w:t>Inclusion and Diversity</w:t>
            </w: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Climate</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Enterprise Risk</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20" w:type="dxa"/>
            <w:vAlign w:val="bottom"/>
          </w:tcPr>
          <w:p>
            <w:pPr>
              <w:ind w:left="80"/>
              <w:spacing w:after="0"/>
              <w:rPr>
                <w:sz w:val="20"/>
                <w:szCs w:val="20"/>
                <w:color w:val="auto"/>
              </w:rPr>
            </w:pPr>
            <w:r>
              <w:rPr>
                <w:rFonts w:ascii="Arial" w:cs="Arial" w:eastAsia="Arial" w:hAnsi="Arial"/>
                <w:sz w:val="13"/>
                <w:szCs w:val="13"/>
                <w:color w:val="auto"/>
              </w:rPr>
              <w:t>Labor Practices</w:t>
            </w: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Remediation</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Litigation/Controversies</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20" w:type="dxa"/>
            <w:vAlign w:val="bottom"/>
          </w:tcPr>
          <w:p>
            <w:pPr>
              <w:ind w:left="80"/>
              <w:spacing w:after="0"/>
              <w:rPr>
                <w:sz w:val="20"/>
                <w:szCs w:val="20"/>
                <w:color w:val="auto"/>
              </w:rPr>
            </w:pPr>
            <w:r>
              <w:rPr>
                <w:rFonts w:ascii="Arial" w:cs="Arial" w:eastAsia="Arial" w:hAnsi="Arial"/>
                <w:sz w:val="13"/>
                <w:szCs w:val="13"/>
                <w:color w:val="auto"/>
              </w:rPr>
              <w:t>Culture</w:t>
            </w: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Political Engagement</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Raw Materials Sourcing</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75"/>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Governance</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Product Safety and Integrity</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20" w:type="dxa"/>
            <w:vAlign w:val="bottom"/>
          </w:tcPr>
          <w:p>
            <w:pPr>
              <w:ind w:left="80"/>
              <w:spacing w:after="0"/>
              <w:rPr>
                <w:sz w:val="20"/>
                <w:szCs w:val="20"/>
                <w:color w:val="auto"/>
              </w:rPr>
            </w:pPr>
            <w:r>
              <w:rPr>
                <w:rFonts w:ascii="Arial" w:cs="Arial" w:eastAsia="Arial" w:hAnsi="Arial"/>
                <w:sz w:val="13"/>
                <w:szCs w:val="13"/>
                <w:color w:val="auto"/>
              </w:rPr>
              <w:t>Workplace Respect</w:t>
            </w: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Integrity and Compliance</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Supply Chain</w:t>
            </w:r>
          </w:p>
        </w:tc>
        <w:tc>
          <w:tcPr>
            <w:tcW w:w="2720" w:type="dxa"/>
            <w:vAlign w:val="bottom"/>
            <w:gridSpan w:val="2"/>
          </w:tcPr>
          <w:p>
            <w:pPr>
              <w:ind w:left="8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Employee Engagement and Wellness</w:t>
            </w: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Data Privacy</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Cybersecurity</w:t>
            </w:r>
          </w:p>
        </w:tc>
        <w:tc>
          <w:tcPr>
            <w:tcW w:w="2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 w:type="dxa"/>
            <w:vAlign w:val="bottom"/>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Environmental Justice</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Artificial Intelligence</w:t>
            </w:r>
          </w:p>
        </w:tc>
        <w:tc>
          <w:tcPr>
            <w:tcW w:w="2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60" w:type="dxa"/>
            <w:vAlign w:val="bottom"/>
            <w:tcBorders>
              <w:bottom w:val="single" w:sz="8" w:color="939598"/>
            </w:tcBorders>
          </w:tcPr>
          <w:p>
            <w:pPr>
              <w:spacing w:after="0"/>
              <w:rPr>
                <w:sz w:val="10"/>
                <w:szCs w:val="10"/>
                <w:color w:val="auto"/>
              </w:rPr>
            </w:pPr>
          </w:p>
        </w:tc>
        <w:tc>
          <w:tcPr>
            <w:tcW w:w="2500" w:type="dxa"/>
            <w:vAlign w:val="bottom"/>
            <w:tcBorders>
              <w:bottom w:val="single" w:sz="8" w:color="939598"/>
              <w:right w:val="single" w:sz="8" w:color="939598"/>
            </w:tcBorders>
          </w:tcPr>
          <w:p>
            <w:pPr>
              <w:spacing w:after="0"/>
              <w:rPr>
                <w:sz w:val="10"/>
                <w:szCs w:val="10"/>
                <w:color w:val="auto"/>
              </w:rPr>
            </w:pPr>
          </w:p>
        </w:tc>
        <w:tc>
          <w:tcPr>
            <w:tcW w:w="200" w:type="dxa"/>
            <w:vAlign w:val="bottom"/>
            <w:tcBorders>
              <w:bottom w:val="single" w:sz="8" w:color="939598"/>
            </w:tcBorders>
          </w:tcPr>
          <w:p>
            <w:pPr>
              <w:spacing w:after="0"/>
              <w:rPr>
                <w:sz w:val="10"/>
                <w:szCs w:val="10"/>
                <w:color w:val="auto"/>
              </w:rPr>
            </w:pPr>
          </w:p>
        </w:tc>
        <w:tc>
          <w:tcPr>
            <w:tcW w:w="2540" w:type="dxa"/>
            <w:vAlign w:val="bottom"/>
            <w:tcBorders>
              <w:bottom w:val="single" w:sz="8" w:color="939598"/>
              <w:right w:val="single" w:sz="8" w:color="939598"/>
            </w:tcBorders>
          </w:tcPr>
          <w:p>
            <w:pPr>
              <w:spacing w:after="0"/>
              <w:rPr>
                <w:sz w:val="10"/>
                <w:szCs w:val="10"/>
                <w:color w:val="auto"/>
              </w:rPr>
            </w:pPr>
          </w:p>
        </w:tc>
        <w:tc>
          <w:tcPr>
            <w:tcW w:w="2720" w:type="dxa"/>
            <w:vAlign w:val="bottom"/>
            <w:tcBorders>
              <w:bottom w:val="single" w:sz="8" w:color="939598"/>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2760" w:type="dxa"/>
            <w:vAlign w:val="bottom"/>
            <w:tcBorders>
              <w:right w:val="single" w:sz="8" w:color="939598"/>
            </w:tcBorders>
            <w:gridSpan w:val="2"/>
            <w:vMerge w:val="restart"/>
          </w:tcPr>
          <w:p>
            <w:pPr>
              <w:ind w:left="14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SVP and General Counsel</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SVP and CFO</w:t>
            </w:r>
          </w:p>
        </w:tc>
        <w:tc>
          <w:tcPr>
            <w:tcW w:w="2720" w:type="dxa"/>
            <w:vAlign w:val="bottom"/>
            <w:gridSpan w:val="2"/>
          </w:tcPr>
          <w:p>
            <w:pPr>
              <w:ind w:left="8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SVP and Chief Human Resources Officer</w:t>
            </w:r>
          </w:p>
        </w:tc>
        <w:tc>
          <w:tcPr>
            <w:tcW w:w="0" w:type="dxa"/>
            <w:vAlign w:val="bottom"/>
          </w:tcPr>
          <w:p>
            <w:pPr>
              <w:spacing w:after="0"/>
              <w:rPr>
                <w:sz w:val="1"/>
                <w:szCs w:val="1"/>
                <w:color w:val="auto"/>
              </w:rPr>
            </w:pPr>
          </w:p>
        </w:tc>
      </w:tr>
      <w:tr>
        <w:trPr>
          <w:trHeight w:val="54"/>
        </w:trPr>
        <w:tc>
          <w:tcPr>
            <w:tcW w:w="2760" w:type="dxa"/>
            <w:vAlign w:val="bottom"/>
            <w:tcBorders>
              <w:right w:val="single" w:sz="8" w:color="939598"/>
            </w:tcBorders>
            <w:gridSpan w:val="2"/>
            <w:vMerge w:val="continue"/>
          </w:tcPr>
          <w:p>
            <w:pPr>
              <w:spacing w:after="0"/>
              <w:rPr>
                <w:sz w:val="4"/>
                <w:szCs w:val="4"/>
                <w:color w:val="auto"/>
              </w:rPr>
            </w:pPr>
          </w:p>
        </w:tc>
        <w:tc>
          <w:tcPr>
            <w:tcW w:w="200" w:type="dxa"/>
            <w:vAlign w:val="bottom"/>
            <w:vMerge w:val="restart"/>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vMerge w:val="restart"/>
          </w:tcPr>
          <w:p>
            <w:pPr>
              <w:ind w:left="80"/>
              <w:spacing w:after="0"/>
              <w:rPr>
                <w:sz w:val="20"/>
                <w:szCs w:val="20"/>
                <w:color w:val="auto"/>
              </w:rPr>
            </w:pPr>
            <w:r>
              <w:rPr>
                <w:rFonts w:ascii="Arial" w:cs="Arial" w:eastAsia="Arial" w:hAnsi="Arial"/>
                <w:sz w:val="13"/>
                <w:szCs w:val="13"/>
                <w:color w:val="auto"/>
              </w:rPr>
              <w:t>SVP and General Counsel</w:t>
            </w:r>
          </w:p>
        </w:tc>
        <w:tc>
          <w:tcPr>
            <w:tcW w:w="27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Chief Inclusion and Diversity Officer</w:t>
            </w:r>
          </w:p>
        </w:tc>
        <w:tc>
          <w:tcPr>
            <w:tcW w:w="0" w:type="dxa"/>
            <w:vAlign w:val="bottom"/>
          </w:tcPr>
          <w:p>
            <w:pPr>
              <w:spacing w:after="0"/>
              <w:rPr>
                <w:sz w:val="1"/>
                <w:szCs w:val="1"/>
                <w:color w:val="auto"/>
              </w:rPr>
            </w:pPr>
          </w:p>
        </w:tc>
      </w:tr>
      <w:tr>
        <w:trPr>
          <w:trHeight w:val="112"/>
        </w:trPr>
        <w:tc>
          <w:tcPr>
            <w:tcW w:w="2760" w:type="dxa"/>
            <w:vAlign w:val="bottom"/>
            <w:tcBorders>
              <w:right w:val="single" w:sz="8" w:color="939598"/>
            </w:tcBorders>
            <w:gridSpan w:val="2"/>
            <w:vMerge w:val="restart"/>
          </w:tcPr>
          <w:p>
            <w:pPr>
              <w:ind w:left="14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Chief Sustainability Officer and Chief</w:t>
            </w:r>
          </w:p>
        </w:tc>
        <w:tc>
          <w:tcPr>
            <w:tcW w:w="200" w:type="dxa"/>
            <w:vAlign w:val="bottom"/>
            <w:vMerge w:val="continue"/>
          </w:tcPr>
          <w:p>
            <w:pPr>
              <w:spacing w:after="0"/>
              <w:rPr>
                <w:sz w:val="9"/>
                <w:szCs w:val="9"/>
                <w:color w:val="auto"/>
              </w:rPr>
            </w:pPr>
          </w:p>
        </w:tc>
        <w:tc>
          <w:tcPr>
            <w:tcW w:w="2540" w:type="dxa"/>
            <w:vAlign w:val="bottom"/>
            <w:tcBorders>
              <w:right w:val="single" w:sz="8" w:color="939598"/>
            </w:tcBorders>
            <w:vMerge w:val="continue"/>
          </w:tcPr>
          <w:p>
            <w:pPr>
              <w:spacing w:after="0"/>
              <w:rPr>
                <w:sz w:val="9"/>
                <w:szCs w:val="9"/>
                <w:color w:val="auto"/>
              </w:rPr>
            </w:pPr>
          </w:p>
        </w:tc>
        <w:tc>
          <w:tcPr>
            <w:tcW w:w="2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760" w:type="dxa"/>
            <w:vAlign w:val="bottom"/>
            <w:tcBorders>
              <w:right w:val="single" w:sz="8" w:color="939598"/>
            </w:tcBorders>
            <w:gridSpan w:val="2"/>
            <w:vMerge w:val="continue"/>
          </w:tcPr>
          <w:p>
            <w:pPr>
              <w:spacing w:after="0"/>
              <w:rPr>
                <w:sz w:val="8"/>
                <w:szCs w:val="8"/>
                <w:color w:val="auto"/>
              </w:rPr>
            </w:pPr>
          </w:p>
        </w:tc>
        <w:tc>
          <w:tcPr>
            <w:tcW w:w="200" w:type="dxa"/>
            <w:vAlign w:val="bottom"/>
            <w:vMerge w:val="restart"/>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vMerge w:val="restart"/>
          </w:tcPr>
          <w:p>
            <w:pPr>
              <w:ind w:left="80"/>
              <w:spacing w:after="0"/>
              <w:rPr>
                <w:sz w:val="20"/>
                <w:szCs w:val="20"/>
                <w:color w:val="auto"/>
              </w:rPr>
            </w:pPr>
            <w:r>
              <w:rPr>
                <w:rFonts w:ascii="Arial" w:cs="Arial" w:eastAsia="Arial" w:hAnsi="Arial"/>
                <w:sz w:val="13"/>
                <w:szCs w:val="13"/>
                <w:color w:val="auto"/>
              </w:rPr>
              <w:t>VP, Corporate Audit</w:t>
            </w:r>
          </w:p>
        </w:tc>
        <w:tc>
          <w:tcPr>
            <w:tcW w:w="2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60" w:type="dxa"/>
            <w:vAlign w:val="bottom"/>
          </w:tcPr>
          <w:p>
            <w:pPr>
              <w:spacing w:after="0"/>
              <w:rPr>
                <w:sz w:val="6"/>
                <w:szCs w:val="6"/>
                <w:color w:val="auto"/>
              </w:rPr>
            </w:pPr>
          </w:p>
        </w:tc>
        <w:tc>
          <w:tcPr>
            <w:tcW w:w="2500" w:type="dxa"/>
            <w:vAlign w:val="bottom"/>
            <w:tcBorders>
              <w:right w:val="single" w:sz="8" w:color="939598"/>
            </w:tcBorders>
            <w:vMerge w:val="restart"/>
          </w:tcPr>
          <w:p>
            <w:pPr>
              <w:ind w:left="80"/>
              <w:spacing w:after="0"/>
              <w:rPr>
                <w:sz w:val="20"/>
                <w:szCs w:val="20"/>
                <w:color w:val="auto"/>
              </w:rPr>
            </w:pPr>
            <w:r>
              <w:rPr>
                <w:rFonts w:ascii="Arial" w:cs="Arial" w:eastAsia="Arial" w:hAnsi="Arial"/>
                <w:sz w:val="13"/>
                <w:szCs w:val="13"/>
                <w:color w:val="auto"/>
              </w:rPr>
              <w:t>Scientist</w:t>
            </w:r>
          </w:p>
        </w:tc>
        <w:tc>
          <w:tcPr>
            <w:tcW w:w="200" w:type="dxa"/>
            <w:vAlign w:val="bottom"/>
            <w:vMerge w:val="continue"/>
          </w:tcPr>
          <w:p>
            <w:pPr>
              <w:spacing w:after="0"/>
              <w:rPr>
                <w:sz w:val="6"/>
                <w:szCs w:val="6"/>
                <w:color w:val="auto"/>
              </w:rPr>
            </w:pPr>
          </w:p>
        </w:tc>
        <w:tc>
          <w:tcPr>
            <w:tcW w:w="2540" w:type="dxa"/>
            <w:vAlign w:val="bottom"/>
            <w:tcBorders>
              <w:right w:val="single" w:sz="8" w:color="939598"/>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60" w:type="dxa"/>
            <w:vAlign w:val="bottom"/>
          </w:tcPr>
          <w:p>
            <w:pPr>
              <w:spacing w:after="0"/>
              <w:rPr>
                <w:sz w:val="7"/>
                <w:szCs w:val="7"/>
                <w:color w:val="auto"/>
              </w:rPr>
            </w:pPr>
          </w:p>
        </w:tc>
        <w:tc>
          <w:tcPr>
            <w:tcW w:w="2500" w:type="dxa"/>
            <w:vAlign w:val="bottom"/>
            <w:tcBorders>
              <w:right w:val="single" w:sz="8" w:color="939598"/>
            </w:tcBorders>
            <w:vMerge w:val="continue"/>
          </w:tcPr>
          <w:p>
            <w:pPr>
              <w:spacing w:after="0"/>
              <w:rPr>
                <w:sz w:val="7"/>
                <w:szCs w:val="7"/>
                <w:color w:val="auto"/>
              </w:rPr>
            </w:pPr>
          </w:p>
        </w:tc>
        <w:tc>
          <w:tcPr>
            <w:tcW w:w="200" w:type="dxa"/>
            <w:vAlign w:val="bottom"/>
            <w:vMerge w:val="restart"/>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vMerge w:val="restart"/>
          </w:tcPr>
          <w:p>
            <w:pPr>
              <w:ind w:left="80"/>
              <w:spacing w:after="0"/>
              <w:rPr>
                <w:sz w:val="20"/>
                <w:szCs w:val="20"/>
                <w:color w:val="auto"/>
              </w:rPr>
            </w:pPr>
            <w:r>
              <w:rPr>
                <w:rFonts w:ascii="Arial" w:cs="Arial" w:eastAsia="Arial" w:hAnsi="Arial"/>
                <w:sz w:val="13"/>
                <w:szCs w:val="13"/>
                <w:color w:val="auto"/>
              </w:rPr>
              <w:t>Chief Security Officer</w:t>
            </w:r>
          </w:p>
        </w:tc>
        <w:tc>
          <w:tcPr>
            <w:tcW w:w="2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60" w:type="dxa"/>
            <w:vAlign w:val="bottom"/>
            <w:vMerge w:val="restart"/>
          </w:tcPr>
          <w:p>
            <w:pPr>
              <w:ind w:left="140"/>
              <w:spacing w:after="0"/>
              <w:rPr>
                <w:sz w:val="20"/>
                <w:szCs w:val="20"/>
                <w:color w:val="auto"/>
              </w:rPr>
            </w:pPr>
            <w:r>
              <w:rPr>
                <w:rFonts w:ascii="Arial" w:cs="Arial" w:eastAsia="Arial" w:hAnsi="Arial"/>
                <w:sz w:val="13"/>
                <w:szCs w:val="13"/>
                <w:b w:val="1"/>
                <w:bCs w:val="1"/>
                <w:color w:val="D7282F"/>
              </w:rPr>
              <w:t>•</w:t>
            </w:r>
          </w:p>
        </w:tc>
        <w:tc>
          <w:tcPr>
            <w:tcW w:w="2500" w:type="dxa"/>
            <w:vAlign w:val="bottom"/>
            <w:tcBorders>
              <w:right w:val="single" w:sz="8" w:color="939598"/>
            </w:tcBorders>
            <w:vMerge w:val="restart"/>
          </w:tcPr>
          <w:p>
            <w:pPr>
              <w:ind w:left="80"/>
              <w:spacing w:after="0"/>
              <w:rPr>
                <w:sz w:val="20"/>
                <w:szCs w:val="20"/>
                <w:color w:val="auto"/>
              </w:rPr>
            </w:pPr>
            <w:r>
              <w:rPr>
                <w:rFonts w:ascii="Arial" w:cs="Arial" w:eastAsia="Arial" w:hAnsi="Arial"/>
                <w:sz w:val="13"/>
                <w:szCs w:val="13"/>
                <w:color w:val="auto"/>
              </w:rPr>
              <w:t>Chief Compliance Officer</w:t>
            </w:r>
          </w:p>
        </w:tc>
        <w:tc>
          <w:tcPr>
            <w:tcW w:w="200" w:type="dxa"/>
            <w:vAlign w:val="bottom"/>
            <w:vMerge w:val="continue"/>
          </w:tcPr>
          <w:p>
            <w:pPr>
              <w:spacing w:after="0"/>
              <w:rPr>
                <w:sz w:val="6"/>
                <w:szCs w:val="6"/>
                <w:color w:val="auto"/>
              </w:rPr>
            </w:pPr>
          </w:p>
        </w:tc>
        <w:tc>
          <w:tcPr>
            <w:tcW w:w="2540" w:type="dxa"/>
            <w:vAlign w:val="bottom"/>
            <w:tcBorders>
              <w:right w:val="single" w:sz="8" w:color="939598"/>
            </w:tcBorders>
            <w:vMerge w:val="continue"/>
          </w:tcPr>
          <w:p>
            <w:pPr>
              <w:spacing w:after="0"/>
              <w:rPr>
                <w:sz w:val="6"/>
                <w:szCs w:val="6"/>
                <w:color w:val="auto"/>
              </w:rPr>
            </w:pPr>
          </w:p>
        </w:tc>
        <w:tc>
          <w:tcPr>
            <w:tcW w:w="2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60" w:type="dxa"/>
            <w:vAlign w:val="bottom"/>
            <w:vMerge w:val="continue"/>
          </w:tcPr>
          <w:p>
            <w:pPr>
              <w:spacing w:after="0"/>
              <w:rPr>
                <w:sz w:val="14"/>
                <w:szCs w:val="14"/>
                <w:color w:val="auto"/>
              </w:rPr>
            </w:pPr>
          </w:p>
        </w:tc>
        <w:tc>
          <w:tcPr>
            <w:tcW w:w="2500" w:type="dxa"/>
            <w:vAlign w:val="bottom"/>
            <w:tcBorders>
              <w:right w:val="single" w:sz="8" w:color="939598"/>
            </w:tcBorders>
            <w:vMerge w:val="continue"/>
          </w:tcPr>
          <w:p>
            <w:pPr>
              <w:spacing w:after="0"/>
              <w:rPr>
                <w:sz w:val="14"/>
                <w:szCs w:val="14"/>
                <w:color w:val="auto"/>
              </w:rPr>
            </w:pP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VP, Controller</w:t>
            </w: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760" w:type="dxa"/>
            <w:vAlign w:val="bottom"/>
            <w:tcBorders>
              <w:right w:val="single" w:sz="8" w:color="939598"/>
            </w:tcBorders>
            <w:gridSpan w:val="2"/>
          </w:tcPr>
          <w:p>
            <w:pPr>
              <w:ind w:left="14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SVP, Global Government Relations</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tcPr>
          <w:p>
            <w:pPr>
              <w:ind w:left="80"/>
              <w:spacing w:after="0"/>
              <w:rPr>
                <w:sz w:val="20"/>
                <w:szCs w:val="20"/>
                <w:color w:val="auto"/>
              </w:rPr>
            </w:pPr>
            <w:r>
              <w:rPr>
                <w:rFonts w:ascii="Arial" w:cs="Arial" w:eastAsia="Arial" w:hAnsi="Arial"/>
                <w:sz w:val="13"/>
                <w:szCs w:val="13"/>
                <w:color w:val="auto"/>
              </w:rPr>
              <w:t>VP, Tax</w:t>
            </w: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760" w:type="dxa"/>
            <w:vAlign w:val="bottom"/>
            <w:tcBorders>
              <w:right w:val="single" w:sz="8" w:color="939598"/>
            </w:tcBorders>
            <w:gridSpan w:val="2"/>
            <w:vMerge w:val="restart"/>
          </w:tcPr>
          <w:p>
            <w:pPr>
              <w:ind w:left="14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VP and General Counsel, ESG</w:t>
            </w:r>
          </w:p>
        </w:tc>
        <w:tc>
          <w:tcPr>
            <w:tcW w:w="2740" w:type="dxa"/>
            <w:vAlign w:val="bottom"/>
            <w:tcBorders>
              <w:right w:val="single" w:sz="8" w:color="939598"/>
            </w:tcBorders>
            <w:gridSpan w:val="2"/>
          </w:tcPr>
          <w:p>
            <w:pPr>
              <w:ind w:left="8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Chief Supply Chain Officer</w:t>
            </w: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760" w:type="dxa"/>
            <w:vAlign w:val="bottom"/>
            <w:tcBorders>
              <w:right w:val="single" w:sz="8" w:color="939598"/>
            </w:tcBorders>
            <w:gridSpan w:val="2"/>
            <w:vMerge w:val="continue"/>
          </w:tcPr>
          <w:p>
            <w:pPr>
              <w:spacing w:after="0"/>
              <w:rPr>
                <w:sz w:val="7"/>
                <w:szCs w:val="7"/>
                <w:color w:val="auto"/>
              </w:rPr>
            </w:pPr>
          </w:p>
        </w:tc>
        <w:tc>
          <w:tcPr>
            <w:tcW w:w="200" w:type="dxa"/>
            <w:vAlign w:val="bottom"/>
            <w:vMerge w:val="restart"/>
          </w:tcPr>
          <w:p>
            <w:pPr>
              <w:ind w:left="80"/>
              <w:spacing w:after="0"/>
              <w:rPr>
                <w:sz w:val="20"/>
                <w:szCs w:val="20"/>
                <w:color w:val="auto"/>
              </w:rPr>
            </w:pPr>
            <w:r>
              <w:rPr>
                <w:rFonts w:ascii="Arial" w:cs="Arial" w:eastAsia="Arial" w:hAnsi="Arial"/>
                <w:sz w:val="13"/>
                <w:szCs w:val="13"/>
                <w:b w:val="1"/>
                <w:bCs w:val="1"/>
                <w:color w:val="D7282F"/>
              </w:rPr>
              <w:t>•</w:t>
            </w:r>
          </w:p>
        </w:tc>
        <w:tc>
          <w:tcPr>
            <w:tcW w:w="2540" w:type="dxa"/>
            <w:vAlign w:val="bottom"/>
            <w:tcBorders>
              <w:right w:val="single" w:sz="8" w:color="939598"/>
            </w:tcBorders>
            <w:vMerge w:val="restart"/>
          </w:tcPr>
          <w:p>
            <w:pPr>
              <w:ind w:left="80"/>
              <w:spacing w:after="0"/>
              <w:rPr>
                <w:sz w:val="20"/>
                <w:szCs w:val="20"/>
                <w:color w:val="auto"/>
              </w:rPr>
            </w:pPr>
            <w:r>
              <w:rPr>
                <w:rFonts w:ascii="Arial" w:cs="Arial" w:eastAsia="Arial" w:hAnsi="Arial"/>
                <w:sz w:val="13"/>
                <w:szCs w:val="13"/>
                <w:color w:val="auto"/>
              </w:rPr>
              <w:t>Chief Compliance Officer</w:t>
            </w:r>
          </w:p>
        </w:tc>
        <w:tc>
          <w:tcPr>
            <w:tcW w:w="2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60" w:type="dxa"/>
            <w:vAlign w:val="bottom"/>
          </w:tcPr>
          <w:p>
            <w:pPr>
              <w:spacing w:after="0"/>
              <w:rPr>
                <w:sz w:val="7"/>
                <w:szCs w:val="7"/>
                <w:color w:val="auto"/>
              </w:rPr>
            </w:pPr>
          </w:p>
        </w:tc>
        <w:tc>
          <w:tcPr>
            <w:tcW w:w="2500" w:type="dxa"/>
            <w:vAlign w:val="bottom"/>
            <w:tcBorders>
              <w:right w:val="single" w:sz="8" w:color="939598"/>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2540" w:type="dxa"/>
            <w:vAlign w:val="bottom"/>
            <w:tcBorders>
              <w:right w:val="single" w:sz="8" w:color="939598"/>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2500" w:type="dxa"/>
            <w:vAlign w:val="bottom"/>
            <w:tcBorders>
              <w:right w:val="single" w:sz="8" w:color="939598"/>
            </w:tcBorders>
          </w:tcPr>
          <w:p>
            <w:pPr>
              <w:spacing w:after="0"/>
              <w:rPr>
                <w:sz w:val="14"/>
                <w:szCs w:val="14"/>
                <w:color w:val="auto"/>
              </w:rPr>
            </w:pPr>
          </w:p>
        </w:tc>
        <w:tc>
          <w:tcPr>
            <w:tcW w:w="2740" w:type="dxa"/>
            <w:vAlign w:val="bottom"/>
            <w:tcBorders>
              <w:right w:val="single" w:sz="8" w:color="939598"/>
            </w:tcBorders>
            <w:gridSpan w:val="2"/>
          </w:tcPr>
          <w:p>
            <w:pPr>
              <w:ind w:left="80"/>
              <w:spacing w:after="0"/>
              <w:rPr>
                <w:sz w:val="20"/>
                <w:szCs w:val="20"/>
                <w:color w:val="auto"/>
              </w:rPr>
            </w:pPr>
            <w:r>
              <w:rPr>
                <w:rFonts w:ascii="Arial" w:cs="Arial" w:eastAsia="Arial" w:hAnsi="Arial"/>
                <w:sz w:val="13"/>
                <w:szCs w:val="13"/>
                <w:b w:val="1"/>
                <w:bCs w:val="1"/>
                <w:color w:val="D7282F"/>
              </w:rPr>
              <w:t xml:space="preserve">•  </w:t>
            </w:r>
            <w:r>
              <w:rPr>
                <w:rFonts w:ascii="Arial" w:cs="Arial" w:eastAsia="Arial" w:hAnsi="Arial"/>
                <w:sz w:val="13"/>
                <w:szCs w:val="13"/>
                <w:color w:val="000000"/>
              </w:rPr>
              <w:t>Chief Digital Technology Officer</w:t>
            </w: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60" w:type="dxa"/>
            <w:vAlign w:val="bottom"/>
          </w:tcPr>
          <w:p>
            <w:pPr>
              <w:spacing w:after="0"/>
              <w:rPr>
                <w:sz w:val="5"/>
                <w:szCs w:val="5"/>
                <w:color w:val="auto"/>
              </w:rPr>
            </w:pPr>
          </w:p>
        </w:tc>
        <w:tc>
          <w:tcPr>
            <w:tcW w:w="2500" w:type="dxa"/>
            <w:vAlign w:val="bottom"/>
            <w:tcBorders>
              <w:right w:val="single" w:sz="8" w:color="939598"/>
            </w:tcBorders>
          </w:tcPr>
          <w:p>
            <w:pPr>
              <w:spacing w:after="0"/>
              <w:rPr>
                <w:sz w:val="5"/>
                <w:szCs w:val="5"/>
                <w:color w:val="auto"/>
              </w:rPr>
            </w:pPr>
          </w:p>
        </w:tc>
        <w:tc>
          <w:tcPr>
            <w:tcW w:w="200" w:type="dxa"/>
            <w:vAlign w:val="bottom"/>
          </w:tcPr>
          <w:p>
            <w:pPr>
              <w:spacing w:after="0"/>
              <w:rPr>
                <w:sz w:val="5"/>
                <w:szCs w:val="5"/>
                <w:color w:val="auto"/>
              </w:rPr>
            </w:pPr>
          </w:p>
        </w:tc>
        <w:tc>
          <w:tcPr>
            <w:tcW w:w="2540" w:type="dxa"/>
            <w:vAlign w:val="bottom"/>
            <w:tcBorders>
              <w:right w:val="single" w:sz="8" w:color="939598"/>
            </w:tcBorders>
          </w:tcPr>
          <w:p>
            <w:pPr>
              <w:spacing w:after="0"/>
              <w:rPr>
                <w:sz w:val="5"/>
                <w:szCs w:val="5"/>
                <w:color w:val="auto"/>
              </w:rPr>
            </w:pPr>
          </w:p>
        </w:tc>
        <w:tc>
          <w:tcPr>
            <w:tcW w:w="2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-7620</wp:posOffset>
            </wp:positionV>
            <wp:extent cx="711517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280"/>
            <w:col w:w="8240"/>
          </w:cols>
          <w:pgMar w:left="320" w:top="230" w:right="339" w:bottom="1440" w:gutter="0" w:footer="0" w:header="0"/>
          <w:type w:val="continuous"/>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OVERSIGHT OF HUMAN CAPITAL AND CULTURE</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Board and the MDCC provide oversight over human capital, with particular focus on culture, inclusion and diversity, talent development and assessment, and succession planning. Honeywell has built a reputation for “doing what we say.” At the center of that commitment to excellence is a high-performance culture driven by the Six Honeywell Behaviors: Drive Accountability Culture, Be Courageous, Build Exceptional Talent, Win Together, Innovate and Create Value for Customers, and Embrace Transformation, and grounded in our Foundational Principles: Integrity and Ethics, Inclusion and Diversity, and Workplace Respect — these are our core values. Working at Honeywell requires fully embracing the Foundational Principles, and Honeywell expects all employees to exemplify these principles in words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78105</wp:posOffset>
            </wp:positionV>
            <wp:extent cx="5717540" cy="60833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717540" cy="60833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46" w:lineRule="exact"/>
        <w:rPr>
          <w:sz w:val="20"/>
          <w:szCs w:val="20"/>
          <w:color w:val="auto"/>
        </w:rPr>
      </w:pPr>
    </w:p>
    <w:p>
      <w:pPr>
        <w:ind w:left="1260" w:right="140"/>
        <w:spacing w:after="0" w:line="260" w:lineRule="auto"/>
        <w:rPr>
          <w:sz w:val="20"/>
          <w:szCs w:val="20"/>
          <w:color w:val="auto"/>
        </w:rPr>
      </w:pPr>
      <w:r>
        <w:rPr>
          <w:rFonts w:ascii="Arial" w:cs="Arial" w:eastAsia="Arial" w:hAnsi="Arial"/>
          <w:sz w:val="30"/>
          <w:szCs w:val="30"/>
          <w:b w:val="1"/>
          <w:bCs w:val="1"/>
          <w:color w:val="D7282F"/>
        </w:rPr>
        <w:t xml:space="preserve">FOUNDATIONAL </w:t>
      </w:r>
      <w:r>
        <w:rPr>
          <w:rFonts w:ascii="Arial" w:cs="Arial" w:eastAsia="Arial" w:hAnsi="Arial"/>
          <w:sz w:val="30"/>
          <w:szCs w:val="30"/>
          <w:b w:val="1"/>
          <w:bCs w:val="1"/>
          <w:color w:val="000000"/>
        </w:rPr>
        <w:t>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261620</wp:posOffset>
            </wp:positionV>
            <wp:extent cx="1551305" cy="10718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51305" cy="1071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tabs>
          <w:tab w:leader="none" w:pos="1780" w:val="left"/>
          <w:tab w:leader="none" w:pos="3760" w:val="left"/>
        </w:tabs>
        <w:rPr>
          <w:sz w:val="20"/>
          <w:szCs w:val="20"/>
          <w:color w:val="auto"/>
        </w:rPr>
      </w:pPr>
      <w:r>
        <w:rPr>
          <w:rFonts w:ascii="Arial" w:cs="Arial" w:eastAsia="Arial" w:hAnsi="Arial"/>
          <w:sz w:val="16"/>
          <w:szCs w:val="16"/>
          <w:b w:val="1"/>
          <w:bCs w:val="1"/>
          <w:color w:val="auto"/>
        </w:rPr>
        <w:t>INTEGRITY</w:t>
      </w:r>
      <w:r>
        <w:rPr>
          <w:sz w:val="20"/>
          <w:szCs w:val="20"/>
          <w:color w:val="auto"/>
        </w:rPr>
        <w:tab/>
      </w:r>
      <w:r>
        <w:rPr>
          <w:rFonts w:ascii="Arial" w:cs="Arial" w:eastAsia="Arial" w:hAnsi="Arial"/>
          <w:sz w:val="16"/>
          <w:szCs w:val="16"/>
          <w:b w:val="1"/>
          <w:bCs w:val="1"/>
          <w:color w:val="auto"/>
        </w:rPr>
        <w:t>INCLUSION</w:t>
      </w:r>
      <w:r>
        <w:rPr>
          <w:sz w:val="20"/>
          <w:szCs w:val="20"/>
          <w:color w:val="auto"/>
        </w:rPr>
        <w:tab/>
      </w:r>
      <w:r>
        <w:rPr>
          <w:rFonts w:ascii="Arial" w:cs="Arial" w:eastAsia="Arial" w:hAnsi="Arial"/>
          <w:sz w:val="16"/>
          <w:szCs w:val="16"/>
          <w:b w:val="1"/>
          <w:bCs w:val="1"/>
          <w:color w:val="auto"/>
        </w:rPr>
        <w:t>WORKPLACE</w:t>
      </w:r>
    </w:p>
    <w:p>
      <w:pPr>
        <w:spacing w:after="0" w:line="21" w:lineRule="exact"/>
        <w:rPr>
          <w:sz w:val="20"/>
          <w:szCs w:val="20"/>
          <w:color w:val="auto"/>
        </w:rPr>
      </w:pPr>
    </w:p>
    <w:p>
      <w:pPr>
        <w:spacing w:after="0"/>
        <w:tabs>
          <w:tab w:leader="none" w:pos="1780" w:val="left"/>
          <w:tab w:leader="none" w:pos="3760" w:val="left"/>
        </w:tabs>
        <w:rPr>
          <w:sz w:val="20"/>
          <w:szCs w:val="20"/>
          <w:color w:val="auto"/>
        </w:rPr>
      </w:pPr>
      <w:r>
        <w:rPr>
          <w:rFonts w:ascii="Arial" w:cs="Arial" w:eastAsia="Arial" w:hAnsi="Arial"/>
          <w:sz w:val="16"/>
          <w:szCs w:val="16"/>
          <w:b w:val="1"/>
          <w:bCs w:val="1"/>
          <w:color w:val="auto"/>
        </w:rPr>
        <w:t>AND ETHICS</w:t>
      </w:r>
      <w:r>
        <w:rPr>
          <w:sz w:val="20"/>
          <w:szCs w:val="20"/>
          <w:color w:val="auto"/>
        </w:rPr>
        <w:tab/>
      </w:r>
      <w:r>
        <w:rPr>
          <w:rFonts w:ascii="Arial" w:cs="Arial" w:eastAsia="Arial" w:hAnsi="Arial"/>
          <w:sz w:val="16"/>
          <w:szCs w:val="16"/>
          <w:b w:val="1"/>
          <w:bCs w:val="1"/>
          <w:color w:val="auto"/>
        </w:rPr>
        <w:t>AND DIVERSITY</w:t>
      </w:r>
      <w:r>
        <w:rPr>
          <w:sz w:val="20"/>
          <w:szCs w:val="20"/>
          <w:color w:val="auto"/>
        </w:rPr>
        <w:tab/>
      </w:r>
      <w:r>
        <w:rPr>
          <w:rFonts w:ascii="Arial" w:cs="Arial" w:eastAsia="Arial" w:hAnsi="Arial"/>
          <w:sz w:val="16"/>
          <w:szCs w:val="16"/>
          <w:b w:val="1"/>
          <w:bCs w:val="1"/>
          <w:color w:val="auto"/>
        </w:rPr>
        <w:t>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396240</wp:posOffset>
            </wp:positionV>
            <wp:extent cx="4037330" cy="10718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037330" cy="1071880"/>
                    </a:xfrm>
                    <a:prstGeom prst="rect">
                      <a:avLst/>
                    </a:prstGeom>
                    <a:noFill/>
                  </pic:spPr>
                </pic:pic>
              </a:graphicData>
            </a:graphic>
          </wp:anchor>
        </w:drawing>
      </w:r>
    </w:p>
    <w:p>
      <w:pPr>
        <w:spacing w:after="0" w:line="412" w:lineRule="exact"/>
        <w:rPr>
          <w:sz w:val="20"/>
          <w:szCs w:val="20"/>
          <w:color w:val="auto"/>
        </w:rPr>
      </w:pPr>
    </w:p>
    <w:p>
      <w:pPr>
        <w:sectPr>
          <w:pgSz w:w="11900" w:h="16838" w:orient="portrait"/>
          <w:cols w:equalWidth="0" w:num="2">
            <w:col w:w="3840" w:space="720"/>
            <w:col w:w="66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135"/>
        </w:trPr>
        <w:tc>
          <w:tcPr>
            <w:tcW w:w="1120" w:type="dxa"/>
            <w:vAlign w:val="bottom"/>
          </w:tcPr>
          <w:p>
            <w:pPr>
              <w:spacing w:after="0"/>
              <w:rPr>
                <w:sz w:val="20"/>
                <w:szCs w:val="20"/>
                <w:color w:val="auto"/>
              </w:rPr>
            </w:pPr>
            <w:r>
              <w:rPr>
                <w:rFonts w:ascii="Arial" w:cs="Arial" w:eastAsia="Arial" w:hAnsi="Arial"/>
                <w:sz w:val="11"/>
                <w:szCs w:val="11"/>
                <w:b w:val="1"/>
                <w:bCs w:val="1"/>
                <w:color w:val="auto"/>
              </w:rPr>
              <w:t>DRIVE</w:t>
            </w:r>
          </w:p>
        </w:tc>
        <w:tc>
          <w:tcPr>
            <w:tcW w:w="1180" w:type="dxa"/>
            <w:vAlign w:val="bottom"/>
          </w:tcPr>
          <w:p>
            <w:pPr>
              <w:ind w:left="160"/>
              <w:spacing w:after="0"/>
              <w:rPr>
                <w:sz w:val="20"/>
                <w:szCs w:val="20"/>
                <w:color w:val="auto"/>
              </w:rPr>
            </w:pPr>
            <w:r>
              <w:rPr>
                <w:rFonts w:ascii="Arial" w:cs="Arial" w:eastAsia="Arial" w:hAnsi="Arial"/>
                <w:sz w:val="11"/>
                <w:szCs w:val="11"/>
                <w:b w:val="1"/>
                <w:bCs w:val="1"/>
                <w:color w:val="auto"/>
              </w:rPr>
              <w:t>BE</w:t>
            </w:r>
          </w:p>
        </w:tc>
        <w:tc>
          <w:tcPr>
            <w:tcW w:w="1280" w:type="dxa"/>
            <w:vAlign w:val="bottom"/>
          </w:tcPr>
          <w:p>
            <w:pPr>
              <w:ind w:left="260"/>
              <w:spacing w:after="0"/>
              <w:rPr>
                <w:sz w:val="20"/>
                <w:szCs w:val="20"/>
                <w:color w:val="auto"/>
              </w:rPr>
            </w:pPr>
            <w:r>
              <w:rPr>
                <w:rFonts w:ascii="Arial" w:cs="Arial" w:eastAsia="Arial" w:hAnsi="Arial"/>
                <w:sz w:val="11"/>
                <w:szCs w:val="11"/>
                <w:b w:val="1"/>
                <w:bCs w:val="1"/>
                <w:color w:val="auto"/>
              </w:rPr>
              <w:t>BUILD</w:t>
            </w:r>
          </w:p>
        </w:tc>
        <w:tc>
          <w:tcPr>
            <w:tcW w:w="1200" w:type="dxa"/>
            <w:vAlign w:val="bottom"/>
          </w:tcPr>
          <w:p>
            <w:pPr>
              <w:ind w:left="260"/>
              <w:spacing w:after="0"/>
              <w:rPr>
                <w:sz w:val="20"/>
                <w:szCs w:val="20"/>
                <w:color w:val="auto"/>
              </w:rPr>
            </w:pPr>
            <w:r>
              <w:rPr>
                <w:rFonts w:ascii="Arial" w:cs="Arial" w:eastAsia="Arial" w:hAnsi="Arial"/>
                <w:sz w:val="11"/>
                <w:szCs w:val="11"/>
                <w:b w:val="1"/>
                <w:bCs w:val="1"/>
                <w:color w:val="D7282F"/>
              </w:rPr>
              <w:t>W</w:t>
            </w:r>
            <w:r>
              <w:rPr>
                <w:rFonts w:ascii="Arial" w:cs="Arial" w:eastAsia="Arial" w:hAnsi="Arial"/>
                <w:sz w:val="11"/>
                <w:szCs w:val="11"/>
                <w:b w:val="1"/>
                <w:bCs w:val="1"/>
                <w:color w:val="000000"/>
              </w:rPr>
              <w:t>IN</w:t>
            </w:r>
          </w:p>
        </w:tc>
        <w:tc>
          <w:tcPr>
            <w:tcW w:w="1460" w:type="dxa"/>
            <w:vAlign w:val="bottom"/>
          </w:tcPr>
          <w:p>
            <w:pPr>
              <w:ind w:left="340"/>
              <w:spacing w:after="0"/>
              <w:rPr>
                <w:sz w:val="20"/>
                <w:szCs w:val="20"/>
                <w:color w:val="auto"/>
              </w:rPr>
            </w:pPr>
            <w:r>
              <w:rPr>
                <w:rFonts w:ascii="Arial" w:cs="Arial" w:eastAsia="Arial" w:hAnsi="Arial"/>
                <w:sz w:val="11"/>
                <w:szCs w:val="11"/>
                <w:b w:val="1"/>
                <w:bCs w:val="1"/>
                <w:color w:val="D7282F"/>
              </w:rPr>
              <w:t>I</w:t>
            </w:r>
            <w:r>
              <w:rPr>
                <w:rFonts w:ascii="Arial" w:cs="Arial" w:eastAsia="Arial" w:hAnsi="Arial"/>
                <w:sz w:val="11"/>
                <w:szCs w:val="11"/>
                <w:b w:val="1"/>
                <w:bCs w:val="1"/>
                <w:color w:val="000000"/>
              </w:rPr>
              <w:t>NNOVATIVE</w:t>
            </w:r>
          </w:p>
        </w:tc>
        <w:tc>
          <w:tcPr>
            <w:tcW w:w="1340" w:type="dxa"/>
            <w:vAlign w:val="bottom"/>
          </w:tcPr>
          <w:p>
            <w:pPr>
              <w:ind w:left="160"/>
              <w:spacing w:after="0"/>
              <w:rPr>
                <w:sz w:val="20"/>
                <w:szCs w:val="20"/>
                <w:color w:val="auto"/>
              </w:rPr>
            </w:pPr>
            <w:r>
              <w:rPr>
                <w:rFonts w:ascii="Arial" w:cs="Arial" w:eastAsia="Arial" w:hAnsi="Arial"/>
                <w:sz w:val="11"/>
                <w:szCs w:val="11"/>
                <w:b w:val="1"/>
                <w:bCs w:val="1"/>
                <w:color w:val="auto"/>
              </w:rPr>
              <w:t>EMBRACE</w:t>
            </w:r>
          </w:p>
        </w:tc>
        <w:tc>
          <w:tcPr>
            <w:tcW w:w="1040" w:type="dxa"/>
            <w:vAlign w:val="bottom"/>
          </w:tcPr>
          <w:p>
            <w:pPr>
              <w:ind w:left="160"/>
              <w:spacing w:after="0"/>
              <w:rPr>
                <w:sz w:val="20"/>
                <w:szCs w:val="20"/>
                <w:color w:val="auto"/>
              </w:rPr>
            </w:pPr>
            <w:r>
              <w:rPr>
                <w:rFonts w:ascii="Arial" w:cs="Arial" w:eastAsia="Arial" w:hAnsi="Arial"/>
                <w:sz w:val="11"/>
                <w:szCs w:val="11"/>
                <w:b w:val="1"/>
                <w:bCs w:val="1"/>
                <w:color w:val="auto"/>
                <w:w w:val="95"/>
              </w:rPr>
              <w:t>...@</w:t>
            </w:r>
            <w:r>
              <w:rPr>
                <w:rFonts w:ascii="Arial" w:cs="Arial" w:eastAsia="Arial" w:hAnsi="Arial"/>
                <w:sz w:val="11"/>
                <w:szCs w:val="11"/>
                <w:b w:val="1"/>
                <w:bCs w:val="1"/>
                <w:color w:val="D7282F"/>
                <w:w w:val="95"/>
              </w:rPr>
              <w:t>H</w:t>
            </w:r>
            <w:r>
              <w:rPr>
                <w:rFonts w:ascii="Arial" w:cs="Arial" w:eastAsia="Arial" w:hAnsi="Arial"/>
                <w:sz w:val="11"/>
                <w:szCs w:val="11"/>
                <w:b w:val="1"/>
                <w:bCs w:val="1"/>
                <w:color w:val="auto"/>
                <w:w w:val="95"/>
              </w:rPr>
              <w:t>ONEYWELL</w:t>
            </w:r>
          </w:p>
        </w:tc>
      </w:tr>
      <w:tr>
        <w:trPr>
          <w:trHeight w:val="135"/>
        </w:trPr>
        <w:tc>
          <w:tcPr>
            <w:tcW w:w="1120" w:type="dxa"/>
            <w:vAlign w:val="bottom"/>
          </w:tcPr>
          <w:p>
            <w:pPr>
              <w:spacing w:after="0"/>
              <w:rPr>
                <w:sz w:val="20"/>
                <w:szCs w:val="20"/>
                <w:color w:val="auto"/>
              </w:rPr>
            </w:pPr>
            <w:r>
              <w:rPr>
                <w:rFonts w:ascii="Arial" w:cs="Arial" w:eastAsia="Arial" w:hAnsi="Arial"/>
                <w:sz w:val="11"/>
                <w:szCs w:val="11"/>
                <w:b w:val="1"/>
                <w:bCs w:val="1"/>
                <w:color w:val="D7282F"/>
              </w:rPr>
              <w:t>A</w:t>
            </w:r>
            <w:r>
              <w:rPr>
                <w:rFonts w:ascii="Arial" w:cs="Arial" w:eastAsia="Arial" w:hAnsi="Arial"/>
                <w:sz w:val="11"/>
                <w:szCs w:val="11"/>
                <w:b w:val="1"/>
                <w:bCs w:val="1"/>
                <w:color w:val="000000"/>
              </w:rPr>
              <w:t>CCOUNTABILITY</w:t>
            </w:r>
          </w:p>
        </w:tc>
        <w:tc>
          <w:tcPr>
            <w:tcW w:w="1180" w:type="dxa"/>
            <w:vAlign w:val="bottom"/>
          </w:tcPr>
          <w:p>
            <w:pPr>
              <w:ind w:left="160"/>
              <w:spacing w:after="0"/>
              <w:rPr>
                <w:sz w:val="20"/>
                <w:szCs w:val="20"/>
                <w:color w:val="auto"/>
              </w:rPr>
            </w:pPr>
            <w:r>
              <w:rPr>
                <w:rFonts w:ascii="Arial" w:cs="Arial" w:eastAsia="Arial" w:hAnsi="Arial"/>
                <w:sz w:val="11"/>
                <w:szCs w:val="11"/>
                <w:b w:val="1"/>
                <w:bCs w:val="1"/>
                <w:color w:val="D7282F"/>
              </w:rPr>
              <w:t>C</w:t>
            </w:r>
            <w:r>
              <w:rPr>
                <w:rFonts w:ascii="Arial" w:cs="Arial" w:eastAsia="Arial" w:hAnsi="Arial"/>
                <w:sz w:val="11"/>
                <w:szCs w:val="11"/>
                <w:b w:val="1"/>
                <w:bCs w:val="1"/>
                <w:color w:val="000000"/>
              </w:rPr>
              <w:t>OURAGEOUS</w:t>
            </w:r>
          </w:p>
        </w:tc>
        <w:tc>
          <w:tcPr>
            <w:tcW w:w="1280" w:type="dxa"/>
            <w:vAlign w:val="bottom"/>
          </w:tcPr>
          <w:p>
            <w:pPr>
              <w:ind w:left="260"/>
              <w:spacing w:after="0"/>
              <w:rPr>
                <w:sz w:val="20"/>
                <w:szCs w:val="20"/>
                <w:color w:val="auto"/>
              </w:rPr>
            </w:pPr>
            <w:r>
              <w:rPr>
                <w:rFonts w:ascii="Arial" w:cs="Arial" w:eastAsia="Arial" w:hAnsi="Arial"/>
                <w:sz w:val="11"/>
                <w:szCs w:val="11"/>
                <w:b w:val="1"/>
                <w:bCs w:val="1"/>
                <w:color w:val="auto"/>
              </w:rPr>
              <w:t>EXCEPTIONAL</w:t>
            </w:r>
          </w:p>
        </w:tc>
        <w:tc>
          <w:tcPr>
            <w:tcW w:w="1200" w:type="dxa"/>
            <w:vAlign w:val="bottom"/>
          </w:tcPr>
          <w:p>
            <w:pPr>
              <w:ind w:left="260"/>
              <w:spacing w:after="0"/>
              <w:rPr>
                <w:sz w:val="20"/>
                <w:szCs w:val="20"/>
                <w:color w:val="auto"/>
              </w:rPr>
            </w:pPr>
            <w:r>
              <w:rPr>
                <w:rFonts w:ascii="Arial" w:cs="Arial" w:eastAsia="Arial" w:hAnsi="Arial"/>
                <w:sz w:val="11"/>
                <w:szCs w:val="11"/>
                <w:b w:val="1"/>
                <w:bCs w:val="1"/>
                <w:color w:val="auto"/>
              </w:rPr>
              <w:t>TOGETHER</w:t>
            </w:r>
          </w:p>
        </w:tc>
        <w:tc>
          <w:tcPr>
            <w:tcW w:w="1460" w:type="dxa"/>
            <w:vAlign w:val="bottom"/>
          </w:tcPr>
          <w:p>
            <w:pPr>
              <w:ind w:left="340"/>
              <w:spacing w:after="0"/>
              <w:rPr>
                <w:sz w:val="20"/>
                <w:szCs w:val="20"/>
                <w:color w:val="auto"/>
              </w:rPr>
            </w:pPr>
            <w:r>
              <w:rPr>
                <w:rFonts w:ascii="Arial" w:cs="Arial" w:eastAsia="Arial" w:hAnsi="Arial"/>
                <w:sz w:val="11"/>
                <w:szCs w:val="11"/>
                <w:b w:val="1"/>
                <w:bCs w:val="1"/>
                <w:color w:val="auto"/>
              </w:rPr>
              <w:t>CREATE VALUE</w:t>
            </w:r>
          </w:p>
        </w:tc>
        <w:tc>
          <w:tcPr>
            <w:tcW w:w="1340" w:type="dxa"/>
            <w:vAlign w:val="bottom"/>
          </w:tcPr>
          <w:p>
            <w:pPr>
              <w:ind w:left="160"/>
              <w:spacing w:after="0"/>
              <w:rPr>
                <w:sz w:val="20"/>
                <w:szCs w:val="20"/>
                <w:color w:val="auto"/>
              </w:rPr>
            </w:pPr>
            <w:r>
              <w:rPr>
                <w:rFonts w:ascii="Arial" w:cs="Arial" w:eastAsia="Arial" w:hAnsi="Arial"/>
                <w:sz w:val="11"/>
                <w:szCs w:val="11"/>
                <w:b w:val="1"/>
                <w:bCs w:val="1"/>
                <w:color w:val="D7282F"/>
              </w:rPr>
              <w:t>T</w:t>
            </w:r>
            <w:r>
              <w:rPr>
                <w:rFonts w:ascii="Arial" w:cs="Arial" w:eastAsia="Arial" w:hAnsi="Arial"/>
                <w:sz w:val="11"/>
                <w:szCs w:val="11"/>
                <w:b w:val="1"/>
                <w:bCs w:val="1"/>
                <w:color w:val="000000"/>
              </w:rPr>
              <w:t>RANSFORMATION</w:t>
            </w:r>
          </w:p>
        </w:tc>
        <w:tc>
          <w:tcPr>
            <w:tcW w:w="1040" w:type="dxa"/>
            <w:vAlign w:val="bottom"/>
          </w:tcPr>
          <w:p>
            <w:pPr>
              <w:spacing w:after="0"/>
              <w:rPr>
                <w:sz w:val="11"/>
                <w:szCs w:val="11"/>
                <w:color w:val="auto"/>
              </w:rPr>
            </w:pPr>
          </w:p>
        </w:tc>
      </w:tr>
      <w:tr>
        <w:trPr>
          <w:trHeight w:val="148"/>
        </w:trPr>
        <w:tc>
          <w:tcPr>
            <w:tcW w:w="1120" w:type="dxa"/>
            <w:vAlign w:val="bottom"/>
          </w:tcPr>
          <w:p>
            <w:pPr>
              <w:spacing w:after="0"/>
              <w:rPr>
                <w:sz w:val="20"/>
                <w:szCs w:val="20"/>
                <w:color w:val="auto"/>
              </w:rPr>
            </w:pPr>
            <w:r>
              <w:rPr>
                <w:rFonts w:ascii="Arial" w:cs="Arial" w:eastAsia="Arial" w:hAnsi="Arial"/>
                <w:sz w:val="11"/>
                <w:szCs w:val="11"/>
                <w:b w:val="1"/>
                <w:bCs w:val="1"/>
                <w:color w:val="auto"/>
              </w:rPr>
              <w:t>CULTURE</w:t>
            </w:r>
          </w:p>
        </w:tc>
        <w:tc>
          <w:tcPr>
            <w:tcW w:w="1180" w:type="dxa"/>
            <w:vAlign w:val="bottom"/>
          </w:tcPr>
          <w:p>
            <w:pPr>
              <w:spacing w:after="0"/>
              <w:rPr>
                <w:sz w:val="12"/>
                <w:szCs w:val="12"/>
                <w:color w:val="auto"/>
              </w:rPr>
            </w:pPr>
          </w:p>
        </w:tc>
        <w:tc>
          <w:tcPr>
            <w:tcW w:w="1280" w:type="dxa"/>
            <w:vAlign w:val="bottom"/>
          </w:tcPr>
          <w:p>
            <w:pPr>
              <w:ind w:left="260"/>
              <w:spacing w:after="0"/>
              <w:rPr>
                <w:sz w:val="20"/>
                <w:szCs w:val="20"/>
                <w:color w:val="auto"/>
              </w:rPr>
            </w:pPr>
            <w:r>
              <w:rPr>
                <w:rFonts w:ascii="Arial" w:cs="Arial" w:eastAsia="Arial" w:hAnsi="Arial"/>
                <w:sz w:val="11"/>
                <w:szCs w:val="11"/>
                <w:b w:val="1"/>
                <w:bCs w:val="1"/>
                <w:color w:val="D7282F"/>
              </w:rPr>
              <w:t>T</w:t>
            </w:r>
            <w:r>
              <w:rPr>
                <w:rFonts w:ascii="Arial" w:cs="Arial" w:eastAsia="Arial" w:hAnsi="Arial"/>
                <w:sz w:val="11"/>
                <w:szCs w:val="11"/>
                <w:b w:val="1"/>
                <w:bCs w:val="1"/>
                <w:color w:val="000000"/>
              </w:rPr>
              <w:t>ALENT</w:t>
            </w:r>
          </w:p>
        </w:tc>
        <w:tc>
          <w:tcPr>
            <w:tcW w:w="1200" w:type="dxa"/>
            <w:vAlign w:val="bottom"/>
          </w:tcPr>
          <w:p>
            <w:pPr>
              <w:spacing w:after="0"/>
              <w:rPr>
                <w:sz w:val="12"/>
                <w:szCs w:val="12"/>
                <w:color w:val="auto"/>
              </w:rPr>
            </w:pPr>
          </w:p>
        </w:tc>
        <w:tc>
          <w:tcPr>
            <w:tcW w:w="1460" w:type="dxa"/>
            <w:vAlign w:val="bottom"/>
          </w:tcPr>
          <w:p>
            <w:pPr>
              <w:ind w:left="340"/>
              <w:spacing w:after="0"/>
              <w:rPr>
                <w:sz w:val="20"/>
                <w:szCs w:val="20"/>
                <w:color w:val="auto"/>
              </w:rPr>
            </w:pPr>
            <w:r>
              <w:rPr>
                <w:rFonts w:ascii="Arial" w:cs="Arial" w:eastAsia="Arial" w:hAnsi="Arial"/>
                <w:sz w:val="11"/>
                <w:szCs w:val="11"/>
                <w:b w:val="1"/>
                <w:bCs w:val="1"/>
                <w:color w:val="auto"/>
              </w:rPr>
              <w:t>FOR CUSTOMERS</w:t>
            </w: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r>
    </w:tbl>
    <w:p>
      <w:pPr>
        <w:spacing w:after="0" w:line="202"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The strength of the Company’s culture is essential to fulfilling our strategic vision, and the Board and the MDCC work with management to oversee adherence to our core values and measure progress against the Honeywell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0629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of the Board’s committees plays a role in ensuring that our core values remain at the center of Honeywell’s culture.</w:t>
      </w:r>
    </w:p>
    <w:p>
      <w:pPr>
        <w:spacing w:after="0" w:line="113" w:lineRule="exact"/>
        <w:rPr>
          <w:sz w:val="20"/>
          <w:szCs w:val="20"/>
          <w:color w:val="auto"/>
        </w:rPr>
      </w:pPr>
    </w:p>
    <w:p>
      <w:pPr>
        <w:ind w:left="360" w:hanging="191"/>
        <w:spacing w:after="0"/>
        <w:tabs>
          <w:tab w:leader="none" w:pos="360"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The CGRC meets regularly with our Chief Compliance Officer to review the Company’s integrity and compliance program, policies, and scorecard.</w:t>
      </w:r>
    </w:p>
    <w:p>
      <w:pPr>
        <w:spacing w:after="0" w:line="86" w:lineRule="exact"/>
        <w:rPr>
          <w:rFonts w:ascii="Arial" w:cs="Arial" w:eastAsia="Arial" w:hAnsi="Arial"/>
          <w:sz w:val="16"/>
          <w:szCs w:val="16"/>
          <w:b w:val="1"/>
          <w:bCs w:val="1"/>
          <w:color w:val="D7282F"/>
        </w:rPr>
      </w:pPr>
    </w:p>
    <w:p>
      <w:pPr>
        <w:ind w:left="360" w:right="280" w:hanging="191"/>
        <w:spacing w:after="0" w:line="286" w:lineRule="auto"/>
        <w:tabs>
          <w:tab w:leader="none" w:pos="357"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The Audit Committee receives detailed investigation reports on a quarterly basis to monitor trends, ensure that allegations are investigated promptly, and as necessary, confirm that appropriate disciplinary measures are taken in a timely fashion.</w:t>
      </w:r>
    </w:p>
    <w:p>
      <w:pPr>
        <w:spacing w:after="0" w:line="20" w:lineRule="exact"/>
        <w:rPr>
          <w:rFonts w:ascii="Arial" w:cs="Arial" w:eastAsia="Arial" w:hAnsi="Arial"/>
          <w:sz w:val="16"/>
          <w:szCs w:val="16"/>
          <w:b w:val="1"/>
          <w:bCs w:val="1"/>
          <w:color w:val="D7282F"/>
        </w:rPr>
      </w:pPr>
    </w:p>
    <w:p>
      <w:pPr>
        <w:ind w:left="360" w:right="440" w:hanging="191"/>
        <w:spacing w:after="0" w:line="286" w:lineRule="auto"/>
        <w:tabs>
          <w:tab w:leader="none" w:pos="357" w:val="left"/>
        </w:tabs>
        <w:numPr>
          <w:ilvl w:val="0"/>
          <w:numId w:val="111"/>
        </w:numPr>
        <w:rPr>
          <w:rFonts w:ascii="Arial" w:cs="Arial" w:eastAsia="Arial" w:hAnsi="Arial"/>
          <w:sz w:val="16"/>
          <w:szCs w:val="16"/>
          <w:b w:val="1"/>
          <w:bCs w:val="1"/>
          <w:color w:val="D7282F"/>
        </w:rPr>
      </w:pPr>
      <w:r>
        <w:rPr>
          <w:rFonts w:ascii="Arial" w:cs="Arial" w:eastAsia="Arial" w:hAnsi="Arial"/>
          <w:sz w:val="16"/>
          <w:szCs w:val="16"/>
          <w:color w:val="auto"/>
        </w:rPr>
        <w:t>The MDCC has responsibility for CEO and officer succession and development, working with management to monitor workplace culture, establish diversity expectations, and review progress.</w:t>
      </w:r>
    </w:p>
    <w:p>
      <w:pPr>
        <w:spacing w:after="0" w:line="27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Board is also closely engaged in the development and management of human capital. The Board’s involvement in leadership development and succession planning is systematic and ongoing, and the Board provides input on important decisions in each of these areas. The Board has primary responsibility for CEO succession planning and oversight over succession planning for other executive officer positions. Annually, the full Board reviews the leadership succession plan for the CEO and the CEO's direct reports, which includes identification of “ready now” successors, management’s view of potential successors that are not “ready now” but will be ready within a reasonable timeframe, and development actions necessary to address any gaps in the leadership succession plan. Also discussed are recent and future potential changes involving various leaders and their organizations. In addition, the Board meets regularly with high-potential executives.</w:t>
      </w:r>
    </w:p>
    <w:p>
      <w:pPr>
        <w:spacing w:after="0" w:line="6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Board believes that workforce diversity represents a fundamental business opportunity as the Company plans and executes its long-term strategy. The Board and the MDCC oversee the Company’s progress and actions in this important area through engagement in succession planning, management development, and compensation review processes that take into account outcomes and metrics for diverse groups. Review of diversity performance is also a standing Board agenda item, providing an opportunity for the Board to engage directly with senior management to analyze workforce metrics that measure diversity of new hires and internal promotions as compared to that of the available pool of qualified talent, discuss trends, review Office of Federal Contract Compliance Programs audits, and oversee enterprise-wide efforts to drive hiring, promotion, and retention of diverse talent.</w:t>
      </w:r>
    </w:p>
    <w:p>
      <w:pPr>
        <w:spacing w:after="0" w:line="218"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sz w:val="1"/>
          <w:szCs w:val="1"/>
          <w:color w:val="auto"/>
        </w:rPr>
        <w:drawing>
          <wp:inline distT="0" distB="0" distL="0" distR="0">
            <wp:extent cx="548640" cy="10287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Inclusion and Diversity (I&amp;D) is a Foundational Principle at Honeywell. The Board believes that its diversity (33% of the Board members are women and 42% are ethnically or racially diverse) and the diversity of Honeywell’s executive leadership (66% of the Company’s executive officers are diverse by ethnic background, non-U.S. place of birth, or gender) are core to its success and a testament to Honeywell’s ongoing commitment to hiring, developing, and retaining diverse talent, and fostering an inclusive culture.</w:t>
      </w:r>
    </w:p>
    <w:p>
      <w:pPr>
        <w:spacing w:after="0" w:line="7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evidence of Honeywell’s continued commitment to increase the diversity of Honeywell’s executive leadership, the percentage of women executives increased to 28.4% in 2023 from 24.7% in 2020. Further, the percentage of executives, in our United States workforce, who are people of color increased to 26.8% in 2023 from 19.9% in 2020. The Company’s commitment to I&amp;D enables better decision-making and innovation, helps build competitive advantages, and furthers long-term success.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Honeywell’s I&amp;D initiatives, please visit investor.honeywell.com (see “ESG/Inclusion &amp; Diversity”).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SPOTLIGHT ON WORKFORCE DIVERSITY</w:t>
      </w:r>
      <w:r>
        <w:rPr>
          <w:rFonts w:ascii="Arial" w:cs="Arial" w:eastAsia="Arial" w:hAnsi="Arial"/>
          <w:sz w:val="28"/>
          <w:szCs w:val="28"/>
          <w:b w:val="1"/>
          <w:bCs w:val="1"/>
          <w:color w:val="D7282F"/>
          <w:vertAlign w:val="superscript"/>
        </w:rPr>
        <w:t>(1)</w:t>
      </w:r>
    </w:p>
    <w:p>
      <w:pPr>
        <w:sectPr>
          <w:pgSz w:w="11900" w:h="16838" w:orient="portrait"/>
          <w:cols w:equalWidth="0" w:num="1">
            <w:col w:w="11240"/>
          </w:cols>
          <w:pgMar w:left="320" w:top="230" w:right="339" w:bottom="1440" w:gutter="0" w:footer="0" w:header="0"/>
        </w:sectPr>
      </w:pPr>
    </w:p>
    <w:p>
      <w:pPr>
        <w:spacing w:after="0" w:line="10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6D6E71"/>
        </w:rPr>
        <w:t>WOMEN IN THE GLOBAL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226695</wp:posOffset>
            </wp:positionV>
            <wp:extent cx="2468880" cy="15944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68880" cy="1594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PEOPLE OF COLOR (POC) IN THE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2110740</wp:posOffset>
            </wp:positionV>
            <wp:extent cx="570928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7092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87630</wp:posOffset>
            </wp:positionV>
            <wp:extent cx="2468880" cy="15944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468880" cy="159448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1879600</wp:posOffset>
            </wp:positionV>
            <wp:extent cx="2366010" cy="1028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36601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62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3000" w:type="dxa"/>
            <w:vAlign w:val="bottom"/>
            <w:tcBorders>
              <w:right w:val="single" w:sz="8" w:color="D7282F"/>
            </w:tcBorders>
          </w:tcPr>
          <w:p>
            <w:pPr>
              <w:spacing w:after="0"/>
              <w:rPr>
                <w:sz w:val="20"/>
                <w:szCs w:val="20"/>
                <w:color w:val="auto"/>
              </w:rPr>
            </w:pPr>
            <w:r>
              <w:rPr>
                <w:rFonts w:ascii="Arial" w:cs="Arial" w:eastAsia="Arial" w:hAnsi="Arial"/>
                <w:sz w:val="16"/>
                <w:szCs w:val="16"/>
                <w:b w:val="1"/>
                <w:bCs w:val="1"/>
                <w:color w:val="6D6E71"/>
              </w:rPr>
              <w:t>U.S. EXECUTIVES</w:t>
            </w:r>
          </w:p>
        </w:tc>
        <w:tc>
          <w:tcPr>
            <w:tcW w:w="3000" w:type="dxa"/>
            <w:vAlign w:val="bottom"/>
            <w:tcBorders>
              <w:right w:val="single" w:sz="8" w:color="D7282F"/>
            </w:tcBorders>
          </w:tcPr>
          <w:p>
            <w:pPr>
              <w:ind w:left="120"/>
              <w:spacing w:after="0"/>
              <w:rPr>
                <w:sz w:val="20"/>
                <w:szCs w:val="20"/>
                <w:color w:val="auto"/>
              </w:rPr>
            </w:pPr>
            <w:r>
              <w:rPr>
                <w:rFonts w:ascii="Arial" w:cs="Arial" w:eastAsia="Arial" w:hAnsi="Arial"/>
                <w:sz w:val="16"/>
                <w:szCs w:val="16"/>
                <w:b w:val="1"/>
                <w:bCs w:val="1"/>
                <w:color w:val="6D6E71"/>
              </w:rPr>
              <w:t>U.S. OTHER MANAGERS</w:t>
            </w:r>
          </w:p>
        </w:tc>
        <w:tc>
          <w:tcPr>
            <w:tcW w:w="2280" w:type="dxa"/>
            <w:vAlign w:val="bottom"/>
            <w:vMerge w:val="restart"/>
          </w:tcPr>
          <w:p>
            <w:pPr>
              <w:ind w:left="140"/>
              <w:spacing w:after="0"/>
              <w:rPr>
                <w:sz w:val="20"/>
                <w:szCs w:val="20"/>
                <w:color w:val="auto"/>
              </w:rPr>
            </w:pPr>
            <w:r>
              <w:rPr>
                <w:rFonts w:ascii="Arial" w:cs="Arial" w:eastAsia="Arial" w:hAnsi="Arial"/>
                <w:sz w:val="16"/>
                <w:szCs w:val="16"/>
                <w:b w:val="1"/>
                <w:bCs w:val="1"/>
                <w:color w:val="6D6E71"/>
                <w:w w:val="97"/>
              </w:rPr>
              <w:t>TOTAL U.S. WORKFORCE</w:t>
            </w:r>
            <w:r>
              <w:rPr>
                <w:rFonts w:ascii="Arial" w:cs="Arial" w:eastAsia="Arial" w:hAnsi="Arial"/>
                <w:sz w:val="21"/>
                <w:szCs w:val="21"/>
                <w:b w:val="1"/>
                <w:bCs w:val="1"/>
                <w:color w:val="6D6E71"/>
                <w:w w:val="97"/>
                <w:vertAlign w:val="superscript"/>
              </w:rPr>
              <w:t>(2)</w:t>
            </w:r>
          </w:p>
        </w:tc>
        <w:tc>
          <w:tcPr>
            <w:tcW w:w="0" w:type="dxa"/>
            <w:vAlign w:val="bottom"/>
          </w:tcPr>
          <w:p>
            <w:pPr>
              <w:spacing w:after="0"/>
              <w:rPr>
                <w:sz w:val="1"/>
                <w:szCs w:val="1"/>
                <w:color w:val="auto"/>
              </w:rPr>
            </w:pPr>
          </w:p>
        </w:tc>
      </w:tr>
      <w:tr>
        <w:trPr>
          <w:trHeight w:val="168"/>
        </w:trPr>
        <w:tc>
          <w:tcPr>
            <w:tcW w:w="3000" w:type="dxa"/>
            <w:vAlign w:val="bottom"/>
            <w:tcBorders>
              <w:right w:val="single" w:sz="8" w:color="D7282F"/>
            </w:tcBorders>
          </w:tcPr>
          <w:p>
            <w:pPr>
              <w:spacing w:after="0"/>
              <w:rPr>
                <w:sz w:val="14"/>
                <w:szCs w:val="14"/>
                <w:color w:val="auto"/>
              </w:rPr>
            </w:pPr>
          </w:p>
        </w:tc>
        <w:tc>
          <w:tcPr>
            <w:tcW w:w="3000" w:type="dxa"/>
            <w:vAlign w:val="bottom"/>
            <w:tcBorders>
              <w:right w:val="single" w:sz="8" w:color="D7282F"/>
            </w:tcBorders>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0"/>
        </w:trPr>
        <w:tc>
          <w:tcPr>
            <w:tcW w:w="3000" w:type="dxa"/>
            <w:vAlign w:val="bottom"/>
            <w:tcBorders>
              <w:right w:val="single" w:sz="8" w:color="D7282F"/>
            </w:tcBorders>
          </w:tcPr>
          <w:p>
            <w:pPr>
              <w:spacing w:after="0"/>
              <w:rPr>
                <w:sz w:val="24"/>
                <w:szCs w:val="24"/>
                <w:color w:val="auto"/>
              </w:rPr>
            </w:pPr>
          </w:p>
        </w:tc>
        <w:tc>
          <w:tcPr>
            <w:tcW w:w="3000" w:type="dxa"/>
            <w:vAlign w:val="bottom"/>
            <w:tcBorders>
              <w:right w:val="single" w:sz="8" w:color="D7282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-1208405</wp:posOffset>
            </wp:positionV>
            <wp:extent cx="5417820" cy="10801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417820" cy="108013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102870</wp:posOffset>
            </wp:positionV>
            <wp:extent cx="2288540" cy="1028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28854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EXECUTIVE LEADERSHIP DIVERSITY</w:t>
      </w:r>
      <w:r>
        <w:rPr>
          <w:rFonts w:ascii="Arial" w:cs="Arial" w:eastAsia="Arial" w:hAnsi="Arial"/>
          <w:sz w:val="28"/>
          <w:szCs w:val="28"/>
          <w:b w:val="1"/>
          <w:bCs w:val="1"/>
          <w:color w:val="D7282F"/>
          <w:vertAlign w:val="superscript"/>
        </w:rPr>
        <w:t>(1)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640" w:type="dxa"/>
            <w:vAlign w:val="bottom"/>
            <w:tcBorders>
              <w:top w:val="single" w:sz="8" w:color="D7282F"/>
              <w:right w:val="single" w:sz="8" w:color="D7282F"/>
            </w:tcBorders>
            <w:vMerge w:val="restart"/>
          </w:tcPr>
          <w:p>
            <w:pPr>
              <w:ind w:left="20"/>
              <w:spacing w:after="0"/>
              <w:rPr>
                <w:sz w:val="20"/>
                <w:szCs w:val="20"/>
                <w:color w:val="auto"/>
              </w:rPr>
            </w:pPr>
            <w:r>
              <w:rPr>
                <w:rFonts w:ascii="Arial" w:cs="Arial" w:eastAsia="Arial" w:hAnsi="Arial"/>
                <w:sz w:val="14"/>
                <w:szCs w:val="14"/>
                <w:b w:val="1"/>
                <w:bCs w:val="1"/>
                <w:color w:val="auto"/>
              </w:rPr>
              <w:t>WOMEN</w:t>
            </w:r>
          </w:p>
        </w:tc>
        <w:tc>
          <w:tcPr>
            <w:tcW w:w="5580" w:type="dxa"/>
            <w:vAlign w:val="bottom"/>
            <w:tcBorders>
              <w:top w:val="single" w:sz="8" w:color="D7282F"/>
            </w:tcBorders>
          </w:tcPr>
          <w:p>
            <w:pPr>
              <w:ind w:left="80"/>
              <w:spacing w:after="0"/>
              <w:rPr>
                <w:sz w:val="20"/>
                <w:szCs w:val="20"/>
                <w:color w:val="auto"/>
              </w:rPr>
            </w:pPr>
            <w:r>
              <w:rPr>
                <w:rFonts w:ascii="Arial" w:cs="Arial" w:eastAsia="Arial" w:hAnsi="Arial"/>
                <w:sz w:val="14"/>
                <w:szCs w:val="14"/>
                <w:b w:val="1"/>
                <w:bCs w:val="1"/>
                <w:color w:val="auto"/>
              </w:rPr>
              <w:t>PEOPLE OF COLOR</w:t>
            </w:r>
          </w:p>
        </w:tc>
        <w:tc>
          <w:tcPr>
            <w:tcW w:w="0" w:type="dxa"/>
            <w:vAlign w:val="bottom"/>
          </w:tcPr>
          <w:p>
            <w:pPr>
              <w:spacing w:after="0"/>
              <w:rPr>
                <w:sz w:val="1"/>
                <w:szCs w:val="1"/>
                <w:color w:val="auto"/>
              </w:rPr>
            </w:pPr>
          </w:p>
        </w:tc>
      </w:tr>
      <w:tr>
        <w:trPr>
          <w:trHeight w:val="108"/>
        </w:trPr>
        <w:tc>
          <w:tcPr>
            <w:tcW w:w="5640" w:type="dxa"/>
            <w:vAlign w:val="bottom"/>
            <w:tcBorders>
              <w:right w:val="single" w:sz="8" w:color="D7282F"/>
            </w:tcBorders>
            <w:vMerge w:val="continue"/>
          </w:tcPr>
          <w:p>
            <w:pPr>
              <w:spacing w:after="0"/>
              <w:rPr>
                <w:sz w:val="9"/>
                <w:szCs w:val="9"/>
                <w:color w:val="auto"/>
              </w:rPr>
            </w:pPr>
          </w:p>
        </w:tc>
        <w:tc>
          <w:tcPr>
            <w:tcW w:w="5580" w:type="dxa"/>
            <w:vAlign w:val="bottom"/>
            <w:vMerge w:val="restart"/>
          </w:tcPr>
          <w:p>
            <w:pPr>
              <w:ind w:left="80"/>
              <w:spacing w:after="0"/>
              <w:rPr>
                <w:sz w:val="20"/>
                <w:szCs w:val="20"/>
                <w:color w:val="auto"/>
              </w:rPr>
            </w:pPr>
            <w:r>
              <w:rPr>
                <w:rFonts w:ascii="Arial" w:cs="Arial" w:eastAsia="Arial" w:hAnsi="Arial"/>
                <w:sz w:val="43"/>
                <w:szCs w:val="43"/>
                <w:b w:val="1"/>
                <w:bCs w:val="1"/>
                <w:color w:val="auto"/>
              </w:rPr>
              <w:t>26.8%</w:t>
            </w:r>
          </w:p>
        </w:tc>
        <w:tc>
          <w:tcPr>
            <w:tcW w:w="0" w:type="dxa"/>
            <w:vAlign w:val="bottom"/>
          </w:tcPr>
          <w:p>
            <w:pPr>
              <w:spacing w:after="0"/>
              <w:rPr>
                <w:sz w:val="1"/>
                <w:szCs w:val="1"/>
                <w:color w:val="auto"/>
              </w:rPr>
            </w:pPr>
          </w:p>
        </w:tc>
      </w:tr>
      <w:tr>
        <w:trPr>
          <w:trHeight w:val="461"/>
        </w:trPr>
        <w:tc>
          <w:tcPr>
            <w:tcW w:w="5640" w:type="dxa"/>
            <w:vAlign w:val="bottom"/>
            <w:tcBorders>
              <w:right w:val="single" w:sz="8" w:color="D7282F"/>
            </w:tcBorders>
          </w:tcPr>
          <w:p>
            <w:pPr>
              <w:ind w:left="20"/>
              <w:spacing w:after="0" w:line="460" w:lineRule="exact"/>
              <w:rPr>
                <w:sz w:val="20"/>
                <w:szCs w:val="20"/>
                <w:color w:val="auto"/>
              </w:rPr>
            </w:pPr>
            <w:r>
              <w:rPr>
                <w:rFonts w:ascii="Arial" w:cs="Arial" w:eastAsia="Arial" w:hAnsi="Arial"/>
                <w:sz w:val="43"/>
                <w:szCs w:val="43"/>
                <w:b w:val="1"/>
                <w:bCs w:val="1"/>
                <w:color w:val="auto"/>
              </w:rPr>
              <w:t>28.4%</w:t>
            </w:r>
          </w:p>
        </w:tc>
        <w:tc>
          <w:tcPr>
            <w:tcW w:w="5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640" w:type="dxa"/>
            <w:vAlign w:val="bottom"/>
            <w:tcBorders>
              <w:right w:val="single" w:sz="8" w:color="D7282F"/>
            </w:tcBorders>
            <w:vMerge w:val="restart"/>
          </w:tcPr>
          <w:p>
            <w:pPr>
              <w:ind w:left="20"/>
              <w:spacing w:after="0"/>
              <w:rPr>
                <w:sz w:val="20"/>
                <w:szCs w:val="20"/>
                <w:color w:val="auto"/>
              </w:rPr>
            </w:pPr>
            <w:r>
              <w:rPr>
                <w:rFonts w:ascii="Arial" w:cs="Arial" w:eastAsia="Arial" w:hAnsi="Arial"/>
                <w:sz w:val="16"/>
                <w:szCs w:val="16"/>
                <w:color w:val="auto"/>
              </w:rPr>
              <w:t>Compared to 24.7% in 2020</w:t>
            </w:r>
          </w:p>
        </w:tc>
        <w:tc>
          <w:tcPr>
            <w:tcW w:w="5580" w:type="dxa"/>
            <w:vAlign w:val="bottom"/>
          </w:tcPr>
          <w:p>
            <w:pPr>
              <w:ind w:left="80"/>
              <w:spacing w:after="0"/>
              <w:rPr>
                <w:sz w:val="20"/>
                <w:szCs w:val="20"/>
                <w:color w:val="auto"/>
              </w:rPr>
            </w:pPr>
            <w:r>
              <w:rPr>
                <w:rFonts w:ascii="Arial" w:cs="Arial" w:eastAsia="Arial" w:hAnsi="Arial"/>
                <w:sz w:val="16"/>
                <w:szCs w:val="16"/>
                <w:color w:val="auto"/>
              </w:rPr>
              <w:t>Compared to 19.9% in 2020</w:t>
            </w:r>
          </w:p>
        </w:tc>
        <w:tc>
          <w:tcPr>
            <w:tcW w:w="0" w:type="dxa"/>
            <w:vAlign w:val="bottom"/>
          </w:tcPr>
          <w:p>
            <w:pPr>
              <w:spacing w:after="0"/>
              <w:rPr>
                <w:sz w:val="1"/>
                <w:szCs w:val="1"/>
                <w:color w:val="auto"/>
              </w:rPr>
            </w:pPr>
          </w:p>
        </w:tc>
      </w:tr>
      <w:tr>
        <w:trPr>
          <w:trHeight w:val="107"/>
        </w:trPr>
        <w:tc>
          <w:tcPr>
            <w:tcW w:w="5640" w:type="dxa"/>
            <w:vAlign w:val="bottom"/>
            <w:tcBorders>
              <w:right w:val="single" w:sz="8" w:color="D7282F"/>
            </w:tcBorders>
            <w:vMerge w:val="continue"/>
          </w:tcPr>
          <w:p>
            <w:pPr>
              <w:spacing w:after="0"/>
              <w:rPr>
                <w:sz w:val="9"/>
                <w:szCs w:val="9"/>
                <w:color w:val="auto"/>
              </w:rPr>
            </w:pPr>
          </w:p>
        </w:tc>
        <w:tc>
          <w:tcPr>
            <w:tcW w:w="5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5640" w:type="dxa"/>
            <w:vAlign w:val="bottom"/>
            <w:tcBorders>
              <w:right w:val="single" w:sz="8" w:color="D7282F"/>
            </w:tcBorders>
          </w:tcPr>
          <w:p>
            <w:pPr>
              <w:spacing w:after="0"/>
              <w:rPr>
                <w:sz w:val="10"/>
                <w:szCs w:val="10"/>
                <w:color w:val="auto"/>
              </w:rPr>
            </w:pPr>
          </w:p>
        </w:tc>
        <w:tc>
          <w:tcPr>
            <w:tcW w:w="5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right="260" w:hanging="192"/>
        <w:spacing w:after="0" w:line="230" w:lineRule="auto"/>
        <w:tabs>
          <w:tab w:leader="none" w:pos="200" w:val="left"/>
        </w:tabs>
        <w:numPr>
          <w:ilvl w:val="0"/>
          <w:numId w:val="112"/>
        </w:numPr>
        <w:rPr>
          <w:rFonts w:ascii="Arial" w:cs="Arial" w:eastAsia="Arial" w:hAnsi="Arial"/>
          <w:sz w:val="16"/>
          <w:szCs w:val="16"/>
          <w:color w:val="auto"/>
          <w:vertAlign w:val="superscript"/>
        </w:rPr>
      </w:pPr>
      <w:r>
        <w:rPr>
          <w:rFonts w:ascii="Arial" w:cs="Arial" w:eastAsia="Arial" w:hAnsi="Arial"/>
          <w:sz w:val="13"/>
          <w:szCs w:val="13"/>
          <w:color w:val="auto"/>
        </w:rPr>
        <w:t>As of December 31, 2023, unless otherwise indicated. Excludes Sandia National Laboratories (Sandia) and Kansas City National Security Campus (KCNSC) workforces. Sandia and KCNSC are U.S. Department of Energy facilities. Honeywell manages these facilities as a contract operator and does not establish or control their human resources policies. API represents Asian or Pacific Islander. The executives category represents executive-band employees.</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12"/>
        </w:numPr>
        <w:rPr>
          <w:rFonts w:ascii="Arial" w:cs="Arial" w:eastAsia="Arial" w:hAnsi="Arial"/>
          <w:sz w:val="16"/>
          <w:szCs w:val="16"/>
          <w:color w:val="auto"/>
          <w:vertAlign w:val="superscript"/>
        </w:rPr>
      </w:pPr>
      <w:r>
        <w:rPr>
          <w:rFonts w:ascii="Arial" w:cs="Arial" w:eastAsia="Arial" w:hAnsi="Arial"/>
          <w:sz w:val="13"/>
          <w:szCs w:val="13"/>
          <w:color w:val="auto"/>
        </w:rPr>
        <w:t>Sum of percentages is less than 100% due to rounding.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3"/>
          <w:szCs w:val="13"/>
          <w:b w:val="1"/>
          <w:bCs w:val="1"/>
          <w:color w:val="6D6E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INTEGRITY AND ETHICS</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At the core of Honeywell’s Foundational Principles is the Company’s Code of Business Conduct (the Code), which applies to all directors, officers (including our Chief Executive Officer, Chief Financial Officer, and Controller), and employees across the Company in all businesses and in all countries. The Code is a baseline set of requirements that enables employees to recognize and be aware of how to report integrity, compliance, and legal issues. In addition, the Code sets forth its commitment to maintaining an inclusive, safe, and respectful environment and outlines our pledge to zero tolerance for harassment and unlawful discrimination.</w:t>
      </w:r>
    </w:p>
    <w:p>
      <w:pPr>
        <w:spacing w:after="0" w:line="64"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Code provides guidance and expectations in a number of key integrity and compliance areas, including how employees should treat each other; conflicts of interest; health, safety, environmental, product stewardship, and sustainability (HSEPS); books and records; anti-corruption; proper business practices; trade compliance; insider trading; data privacy; respect for human rights; and the appropriate use of information technology and social media. To reinforce the Code, Honeywell provides comprehensive training on key compliance topics, develops training scenarios, deploys monthly manager communication toolkits, provides mechanisms for employees and third parties to report concerns (including anonymously), and ensures timely and fair reviews of integrity and compliance concerns through a best-in-class process to report and investigate allegations. Honeywell responds to 100% of reported allegations.</w:t>
      </w:r>
    </w:p>
    <w:p>
      <w:pPr>
        <w:spacing w:after="0" w:line="26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Any amendments or revisions to the Code will be published on the Company website. Any waiver of the Code for any of Honeywell’s directors or executive officers requires pre-approval from the Board and if granted, the Board ensures that appropriate controls are in place to protect the Company and its shareowners. All officers and employees must complete Code of Conduct training and, where permitted by law, must also certify each year that they will comply with the Code. In 2023, the Company received Code certifications from 100% of its officers and eligible employees, where permitted by law. Honeywell’s Code of Conduct training includes a variety of topics, including conflicts of interest, workplace respect, anticorruption, cybersecurity, and data privacy.</w:t>
      </w:r>
    </w:p>
    <w:p>
      <w:pPr>
        <w:spacing w:after="0" w:line="6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Honeywell is committed to fostering a culture of integrity, ethics, and workplace respect by setting the tone at the top and by unambiguously and repeatedly reinforcing its expectations. Honeywell also empowers our people managers to communicate openly with their team members regarding the importance of conducting themselves with integrity and fostering an environment that encourages candid discussion of integrity and compliance topics and how to raise and report any instances of ethical misconduct. The Integrity and Compliance team delivers integrity awareness communications across Honeywell, including through town halls, newsletters, and monthly integrity-awareness manager toolkits that provide people managers with ready-to-use materials to support discussions of integrity and compliance topics with their teams.</w:t>
      </w:r>
    </w:p>
    <w:p>
      <w:pPr>
        <w:spacing w:after="0" w:line="8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Additional details about the Code, the Supplier Code of Business Conduct, and other components of Honeywell’s integrity and compliance program can be found on our website at investor.honeywell.com (see “ESG/Integrity and Compliance”).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POLICIES AND PROCEDURES</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Board has adopted an insider trading policy (Insider Trading Policy) that applies to all of the Company's directors, officers, and employees, as well as certain other designated individuals,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(Rule 10b5-1). In addition, certain individuals, including directors and officers, are required to receive prior approval from the Chairman and pre-clearance from the Corporate Secretary prior to engaging in transactions in the Company's securities. The Insider Trading Policy also sets forth mandatory guidelines that apply to all executive officers, directors, and employees of the Company who adopt Rule 10b5-1 plans for trading in the Company's securities, which are intended to ensure compliance with Rule 10b5-1 and to conform to best practices with respect to the design and implementation of Rule 10b5-1 plans.</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HUMAN RIGHTS</w:t>
      </w:r>
    </w:p>
    <w:p>
      <w:pPr>
        <w:spacing w:after="0" w:line="14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Honeywell is committed to treating people with respect and fostering a positive and respectful workplace environment. Our Code of Business Conduct, Supplier Code of Conduct, and our Human Rights Policy address a broad range of human and workplace rights in our global operations and supply chain to ensure fairness, ethical behavior, dignity, and respect. Honeywell has implemented policies and processes to help fulfill its human rights commitments. Our Human Rights Policy applies to all Honeywell workers worldwide, including contingent workers, agents, and candidates for hire. Honeywell also requires suppliers to uphold the human rights principles described in Honeywell’s Supplier Code of Conduct. Key elements of our Human Rights Policy include inclusion and diversity, workplace respect, freedom of association, a safe and healthy workplace, workplace security, work hours and wages, forced labor and human trafficking, child labor, and rights of local communities and those who live and work there. Honeywell’s human rights commitments can be found on our website at investor.honeywell.com (see “ESG/Integrity and Compliance”).</w:t>
      </w:r>
    </w:p>
    <w:p>
      <w:pPr>
        <w:spacing w:after="0" w:line="221"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sz w:val="1"/>
          <w:szCs w:val="1"/>
          <w:color w:val="auto"/>
        </w:rPr>
        <w:drawing>
          <wp:inline distT="0" distB="0" distL="0" distR="0">
            <wp:extent cx="548640" cy="10287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49" w:name="page50"/>
    <w:bookmarkEnd w:id="49"/>
    <w:p>
      <w:pPr>
        <w:spacing w:after="0"/>
        <w:rPr>
          <w:sz w:val="20"/>
          <w:szCs w:val="20"/>
          <w:color w:val="auto"/>
        </w:rPr>
      </w:pPr>
      <w:r>
        <w:rPr>
          <w:rFonts w:ascii="Arial" w:cs="Arial" w:eastAsia="Arial" w:hAnsi="Arial"/>
          <w:sz w:val="45"/>
          <w:szCs w:val="45"/>
          <w:b w:val="1"/>
          <w:bCs w:val="1"/>
          <w:color w:val="auto"/>
        </w:rPr>
        <w:t>DIRECTOR</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COMPENSATION</w:t>
      </w:r>
    </w:p>
    <w:p>
      <w:pPr>
        <w:spacing w:after="0" w:line="362" w:lineRule="exact"/>
        <w:rPr>
          <w:sz w:val="20"/>
          <w:szCs w:val="20"/>
          <w:color w:val="auto"/>
        </w:rPr>
      </w:pPr>
    </w:p>
    <w:p>
      <w:pPr>
        <w:jc w:val="both"/>
        <w:ind w:right="300"/>
        <w:spacing w:after="0" w:line="265" w:lineRule="auto"/>
        <w:rPr>
          <w:sz w:val="20"/>
          <w:szCs w:val="20"/>
          <w:color w:val="auto"/>
        </w:rPr>
      </w:pPr>
      <w:r>
        <w:rPr>
          <w:rFonts w:ascii="Arial" w:cs="Arial" w:eastAsia="Arial" w:hAnsi="Arial"/>
          <w:sz w:val="16"/>
          <w:szCs w:val="16"/>
          <w:color w:val="auto"/>
        </w:rPr>
        <w:t>The Corporate Governance and Responsibility Committee (CGRC) reviews and makes recommendations to the Board regarding the form and amount of compensation for non-employee directors. Any director who is an employee of Honeywell receives no additional compensation for services on the Board. Honeywell’s director compensation program is designed to enable continued attraction and retention of highly qualified directors and to address the time, effort, expertise, and accountability required of active Board membership.</w:t>
      </w:r>
    </w:p>
    <w:p>
      <w:pPr>
        <w:spacing w:after="0" w:line="202"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ELEMENTS OF COMPENSATION</w:t>
      </w:r>
    </w:p>
    <w:p>
      <w:pPr>
        <w:spacing w:after="0" w:line="12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general, the CGRC and the Board believe that annual compensation for non-employee directors should consist of both a cash component, designed to compensate members for their service on the Board and its committees, and an equity component, designed to align the interests of directors and shareowners.</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482725" cy="41402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482725" cy="414020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Cash Retainer</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Lead Director Compensation</w:t>
      </w:r>
    </w:p>
    <w:p>
      <w:pPr>
        <w:spacing w:after="0" w:line="113" w:lineRule="exact"/>
        <w:rPr>
          <w:sz w:val="20"/>
          <w:szCs w:val="20"/>
          <w:color w:val="auto"/>
        </w:rPr>
      </w:pPr>
    </w:p>
    <w:p>
      <w:pPr>
        <w:ind w:left="20" w:right="380"/>
        <w:spacing w:after="0" w:line="296" w:lineRule="auto"/>
        <w:rPr>
          <w:sz w:val="20"/>
          <w:szCs w:val="20"/>
          <w:color w:val="auto"/>
        </w:rPr>
      </w:pPr>
      <w:r>
        <w:rPr>
          <w:rFonts w:ascii="Arial" w:cs="Arial" w:eastAsia="Arial" w:hAnsi="Arial"/>
          <w:sz w:val="16"/>
          <w:szCs w:val="16"/>
          <w:b w:val="1"/>
          <w:bCs w:val="1"/>
          <w:color w:val="auto"/>
        </w:rPr>
        <w:t>Committee Membership Compensation</w:t>
      </w:r>
    </w:p>
    <w:p>
      <w:pPr>
        <w:spacing w:after="0" w:line="5" w:lineRule="exact"/>
        <w:rPr>
          <w:sz w:val="20"/>
          <w:szCs w:val="20"/>
          <w:color w:val="auto"/>
        </w:rPr>
      </w:pPr>
    </w:p>
    <w:p>
      <w:pPr>
        <w:ind w:left="20" w:right="920"/>
        <w:spacing w:after="0" w:line="296" w:lineRule="auto"/>
        <w:rPr>
          <w:sz w:val="20"/>
          <w:szCs w:val="20"/>
          <w:color w:val="auto"/>
        </w:rPr>
      </w:pPr>
      <w:r>
        <w:rPr>
          <w:rFonts w:ascii="Arial" w:cs="Arial" w:eastAsia="Arial" w:hAnsi="Arial"/>
          <w:sz w:val="16"/>
          <w:szCs w:val="16"/>
          <w:b w:val="1"/>
          <w:bCs w:val="1"/>
          <w:color w:val="auto"/>
        </w:rPr>
        <w:t>Committee Chair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Common Stock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Annual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1238250</wp:posOffset>
            </wp:positionV>
            <wp:extent cx="148272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5320" w:type="dxa"/>
            <w:vAlign w:val="bottom"/>
            <w:tcBorders>
              <w:top w:val="single" w:sz="8" w:color="D7282F"/>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quarterly installments.</w:t>
            </w:r>
          </w:p>
        </w:tc>
        <w:tc>
          <w:tcPr>
            <w:tcW w:w="3400" w:type="dxa"/>
            <w:vAlign w:val="bottom"/>
            <w:tcBorders>
              <w:top w:val="single" w:sz="8" w:color="D7282F"/>
            </w:tcBorders>
          </w:tcPr>
          <w:p>
            <w:pPr>
              <w:spacing w:after="0"/>
              <w:rPr>
                <w:sz w:val="20"/>
                <w:szCs w:val="20"/>
                <w:color w:val="auto"/>
              </w:rPr>
            </w:pPr>
            <w:r>
              <w:rPr>
                <w:rFonts w:ascii="Arial" w:cs="Arial" w:eastAsia="Arial" w:hAnsi="Arial"/>
                <w:sz w:val="16"/>
                <w:szCs w:val="16"/>
                <w:color w:val="auto"/>
              </w:rPr>
              <w:t>$120,000 per annum.</w:t>
            </w:r>
          </w:p>
        </w:tc>
        <w:tc>
          <w:tcPr>
            <w:tcW w:w="0" w:type="dxa"/>
            <w:vAlign w:val="bottom"/>
          </w:tcPr>
          <w:p>
            <w:pPr>
              <w:spacing w:after="0"/>
              <w:rPr>
                <w:sz w:val="1"/>
                <w:szCs w:val="1"/>
                <w:color w:val="auto"/>
              </w:rPr>
            </w:pPr>
          </w:p>
        </w:tc>
      </w:tr>
      <w:tr>
        <w:trPr>
          <w:trHeight w:val="34"/>
        </w:trPr>
        <w:tc>
          <w:tcPr>
            <w:tcW w:w="5320" w:type="dxa"/>
            <w:vAlign w:val="bottom"/>
            <w:tcBorders>
              <w:bottom w:val="single" w:sz="8" w:color="939598"/>
              <w:right w:val="single" w:sz="8" w:color="939598"/>
            </w:tcBorders>
          </w:tcPr>
          <w:p>
            <w:pPr>
              <w:spacing w:after="0"/>
              <w:rPr>
                <w:sz w:val="3"/>
                <w:szCs w:val="3"/>
                <w:color w:val="auto"/>
              </w:rPr>
            </w:pPr>
          </w:p>
        </w:tc>
        <w:tc>
          <w:tcPr>
            <w:tcW w:w="34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quarterly installments (in addition to Board cash retainer).</w:t>
            </w:r>
          </w:p>
        </w:tc>
        <w:tc>
          <w:tcPr>
            <w:tcW w:w="3400" w:type="dxa"/>
            <w:vAlign w:val="bottom"/>
          </w:tcPr>
          <w:p>
            <w:pPr>
              <w:spacing w:after="0"/>
              <w:rPr>
                <w:sz w:val="20"/>
                <w:szCs w:val="20"/>
                <w:color w:val="auto"/>
              </w:rPr>
            </w:pPr>
            <w:r>
              <w:rPr>
                <w:rFonts w:ascii="Arial" w:cs="Arial" w:eastAsia="Arial" w:hAnsi="Arial"/>
                <w:sz w:val="16"/>
                <w:szCs w:val="16"/>
                <w:color w:val="auto"/>
              </w:rPr>
              <w:t>$60,000 per annum.</w:t>
            </w:r>
          </w:p>
        </w:tc>
        <w:tc>
          <w:tcPr>
            <w:tcW w:w="0" w:type="dxa"/>
            <w:vAlign w:val="bottom"/>
          </w:tcPr>
          <w:p>
            <w:pPr>
              <w:spacing w:after="0"/>
              <w:rPr>
                <w:sz w:val="1"/>
                <w:szCs w:val="1"/>
                <w:color w:val="auto"/>
              </w:rPr>
            </w:pPr>
          </w:p>
        </w:tc>
      </w:tr>
      <w:tr>
        <w:trPr>
          <w:trHeight w:val="35"/>
        </w:trPr>
        <w:tc>
          <w:tcPr>
            <w:tcW w:w="5320" w:type="dxa"/>
            <w:vAlign w:val="bottom"/>
            <w:tcBorders>
              <w:bottom w:val="single" w:sz="8" w:color="939598"/>
              <w:right w:val="single" w:sz="8" w:color="939598"/>
            </w:tcBorders>
          </w:tcPr>
          <w:p>
            <w:pPr>
              <w:spacing w:after="0"/>
              <w:rPr>
                <w:sz w:val="3"/>
                <w:szCs w:val="3"/>
                <w:color w:val="auto"/>
              </w:rPr>
            </w:pPr>
          </w:p>
        </w:tc>
        <w:tc>
          <w:tcPr>
            <w:tcW w:w="34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For each committee membership, paid in quarterly installments.</w:t>
            </w:r>
          </w:p>
        </w:tc>
        <w:tc>
          <w:tcPr>
            <w:tcW w:w="3400" w:type="dxa"/>
            <w:vAlign w:val="bottom"/>
          </w:tcPr>
          <w:p>
            <w:pPr>
              <w:spacing w:after="0"/>
              <w:rPr>
                <w:sz w:val="20"/>
                <w:szCs w:val="20"/>
                <w:color w:val="auto"/>
              </w:rPr>
            </w:pPr>
            <w:r>
              <w:rPr>
                <w:rFonts w:ascii="Arial" w:cs="Arial" w:eastAsia="Arial" w:hAnsi="Arial"/>
                <w:sz w:val="16"/>
                <w:szCs w:val="16"/>
                <w:color w:val="auto"/>
              </w:rPr>
              <w:t>$10,000 per annum (or $15,000 per annum for</w:t>
            </w: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members of the Audit Committee).</w:t>
            </w:r>
          </w:p>
        </w:tc>
        <w:tc>
          <w:tcPr>
            <w:tcW w:w="0" w:type="dxa"/>
            <w:vAlign w:val="bottom"/>
          </w:tcPr>
          <w:p>
            <w:pPr>
              <w:spacing w:after="0"/>
              <w:rPr>
                <w:sz w:val="1"/>
                <w:szCs w:val="1"/>
                <w:color w:val="auto"/>
              </w:rPr>
            </w:pPr>
          </w:p>
        </w:tc>
      </w:tr>
      <w:tr>
        <w:trPr>
          <w:trHeight w:val="29"/>
        </w:trPr>
        <w:tc>
          <w:tcPr>
            <w:tcW w:w="5320" w:type="dxa"/>
            <w:vAlign w:val="bottom"/>
            <w:tcBorders>
              <w:bottom w:val="single" w:sz="8" w:color="939598"/>
              <w:right w:val="single" w:sz="8" w:color="939598"/>
            </w:tcBorders>
          </w:tcPr>
          <w:p>
            <w:pPr>
              <w:spacing w:after="0"/>
              <w:rPr>
                <w:sz w:val="2"/>
                <w:szCs w:val="2"/>
                <w:color w:val="auto"/>
              </w:rPr>
            </w:pPr>
          </w:p>
        </w:tc>
        <w:tc>
          <w:tcPr>
            <w:tcW w:w="34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quarterly installments (in addition to committee membership</w:t>
            </w:r>
          </w:p>
        </w:tc>
        <w:tc>
          <w:tcPr>
            <w:tcW w:w="3400" w:type="dxa"/>
            <w:vAlign w:val="bottom"/>
          </w:tcPr>
          <w:p>
            <w:pPr>
              <w:spacing w:after="0"/>
              <w:rPr>
                <w:sz w:val="20"/>
                <w:szCs w:val="20"/>
                <w:color w:val="auto"/>
              </w:rPr>
            </w:pPr>
            <w:r>
              <w:rPr>
                <w:rFonts w:ascii="Arial" w:cs="Arial" w:eastAsia="Arial" w:hAnsi="Arial"/>
                <w:sz w:val="16"/>
                <w:szCs w:val="16"/>
                <w:color w:val="auto"/>
              </w:rPr>
              <w:t>$40,000 per annum for the Audit Committee</w:t>
            </w:r>
          </w:p>
        </w:tc>
        <w:tc>
          <w:tcPr>
            <w:tcW w:w="0" w:type="dxa"/>
            <w:vAlign w:val="bottom"/>
          </w:tcPr>
          <w:p>
            <w:pPr>
              <w:spacing w:after="0"/>
              <w:rPr>
                <w:sz w:val="1"/>
                <w:szCs w:val="1"/>
                <w:color w:val="auto"/>
              </w:rPr>
            </w:pPr>
          </w:p>
        </w:tc>
      </w:tr>
      <w:tr>
        <w:trPr>
          <w:trHeight w:val="242"/>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compensation).</w:t>
            </w:r>
          </w:p>
        </w:tc>
        <w:tc>
          <w:tcPr>
            <w:tcW w:w="3400" w:type="dxa"/>
            <w:vAlign w:val="bottom"/>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04"/>
        </w:trPr>
        <w:tc>
          <w:tcPr>
            <w:tcW w:w="5320" w:type="dxa"/>
            <w:vAlign w:val="bottom"/>
            <w:tcBorders>
              <w:right w:val="single" w:sz="8" w:color="939598"/>
            </w:tcBorders>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$25,000 per annum for the Management</w:t>
            </w: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Development and Compensation Committee</w:t>
            </w: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17"/>
        </w:trPr>
        <w:tc>
          <w:tcPr>
            <w:tcW w:w="5320" w:type="dxa"/>
            <w:vAlign w:val="bottom"/>
            <w:tcBorders>
              <w:right w:val="single" w:sz="8" w:color="939598"/>
            </w:tcBorders>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$20,000 per annum for the Corporate</w:t>
            </w: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spacing w:after="0"/>
              <w:rPr>
                <w:sz w:val="16"/>
                <w:szCs w:val="16"/>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Governance and Responsibility Committee</w:t>
            </w: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70"/>
        </w:trPr>
        <w:tc>
          <w:tcPr>
            <w:tcW w:w="5320" w:type="dxa"/>
            <w:vAlign w:val="bottom"/>
            <w:tcBorders>
              <w:bottom w:val="single" w:sz="8" w:color="939598"/>
              <w:right w:val="single" w:sz="8" w:color="939598"/>
            </w:tcBorders>
          </w:tcPr>
          <w:p>
            <w:pPr>
              <w:spacing w:after="0"/>
              <w:rPr>
                <w:sz w:val="6"/>
                <w:szCs w:val="6"/>
                <w:color w:val="auto"/>
              </w:rPr>
            </w:pPr>
          </w:p>
        </w:tc>
        <w:tc>
          <w:tcPr>
            <w:tcW w:w="340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Automatically credited to each director’s account in the Deferred</w:t>
            </w:r>
          </w:p>
        </w:tc>
        <w:tc>
          <w:tcPr>
            <w:tcW w:w="3400" w:type="dxa"/>
            <w:vAlign w:val="bottom"/>
          </w:tcPr>
          <w:p>
            <w:pPr>
              <w:spacing w:after="0"/>
              <w:rPr>
                <w:sz w:val="20"/>
                <w:szCs w:val="20"/>
                <w:color w:val="auto"/>
              </w:rPr>
            </w:pPr>
            <w:r>
              <w:rPr>
                <w:rFonts w:ascii="Arial" w:cs="Arial" w:eastAsia="Arial" w:hAnsi="Arial"/>
                <w:sz w:val="16"/>
                <w:szCs w:val="16"/>
                <w:color w:val="auto"/>
              </w:rPr>
              <w:t>$60,000 in common stock equivalents per</w:t>
            </w:r>
          </w:p>
        </w:tc>
        <w:tc>
          <w:tcPr>
            <w:tcW w:w="0" w:type="dxa"/>
            <w:vAlign w:val="bottom"/>
          </w:tcPr>
          <w:p>
            <w:pPr>
              <w:spacing w:after="0"/>
              <w:rPr>
                <w:sz w:val="1"/>
                <w:szCs w:val="1"/>
                <w:color w:val="auto"/>
              </w:rPr>
            </w:pPr>
          </w:p>
        </w:tc>
      </w:tr>
      <w:tr>
        <w:trPr>
          <w:trHeight w:val="203"/>
        </w:trPr>
        <w:tc>
          <w:tcPr>
            <w:tcW w:w="5320" w:type="dxa"/>
            <w:vAlign w:val="bottom"/>
            <w:tcBorders>
              <w:right w:val="single" w:sz="8" w:color="939598"/>
            </w:tcBorders>
            <w:vMerge w:val="restart"/>
          </w:tcPr>
          <w:p>
            <w:pPr>
              <w:ind w:left="200"/>
              <w:spacing w:after="0"/>
              <w:rPr>
                <w:sz w:val="20"/>
                <w:szCs w:val="20"/>
                <w:color w:val="auto"/>
              </w:rPr>
            </w:pPr>
            <w:r>
              <w:rPr>
                <w:rFonts w:ascii="Arial" w:cs="Arial" w:eastAsia="Arial" w:hAnsi="Arial"/>
                <w:sz w:val="16"/>
                <w:szCs w:val="16"/>
                <w:color w:val="auto"/>
              </w:rPr>
              <w:t>Compensation Plan for Non-Employee Directors at the beginning of</w:t>
            </w:r>
          </w:p>
        </w:tc>
        <w:tc>
          <w:tcPr>
            <w:tcW w:w="3400" w:type="dxa"/>
            <w:vAlign w:val="bottom"/>
          </w:tcPr>
          <w:p>
            <w:pPr>
              <w:spacing w:after="0"/>
              <w:rPr>
                <w:sz w:val="20"/>
                <w:szCs w:val="20"/>
                <w:color w:val="auto"/>
              </w:rPr>
            </w:pPr>
            <w:r>
              <w:rPr>
                <w:rFonts w:ascii="Arial" w:cs="Arial" w:eastAsia="Arial" w:hAnsi="Arial"/>
                <w:sz w:val="16"/>
                <w:szCs w:val="16"/>
                <w:color w:val="auto"/>
              </w:rPr>
              <w:t>annum.</w:t>
            </w:r>
          </w:p>
        </w:tc>
        <w:tc>
          <w:tcPr>
            <w:tcW w:w="0" w:type="dxa"/>
            <w:vAlign w:val="bottom"/>
          </w:tcPr>
          <w:p>
            <w:pPr>
              <w:spacing w:after="0"/>
              <w:rPr>
                <w:sz w:val="1"/>
                <w:szCs w:val="1"/>
                <w:color w:val="auto"/>
              </w:rPr>
            </w:pPr>
          </w:p>
        </w:tc>
      </w:tr>
      <w:tr>
        <w:trPr>
          <w:trHeight w:val="26"/>
        </w:trPr>
        <w:tc>
          <w:tcPr>
            <w:tcW w:w="5320" w:type="dxa"/>
            <w:vAlign w:val="bottom"/>
            <w:tcBorders>
              <w:right w:val="single" w:sz="8" w:color="939598"/>
            </w:tcBorders>
            <w:vMerge w:val="continue"/>
          </w:tcPr>
          <w:p>
            <w:pPr>
              <w:spacing w:after="0"/>
              <w:rPr>
                <w:sz w:val="2"/>
                <w:szCs w:val="2"/>
                <w:color w:val="auto"/>
              </w:rPr>
            </w:pPr>
          </w:p>
        </w:tc>
        <w:tc>
          <w:tcPr>
            <w:tcW w:w="3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each calendar year. Dividend equivalents are credited with respect to</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these amounts.</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Payment of these amounts is deferred until termination of Board</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service. Payments are made in cash, as either a lump sum or in</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equal annual installments.</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5320" w:type="dxa"/>
            <w:vAlign w:val="bottom"/>
            <w:tcBorders>
              <w:bottom w:val="single" w:sz="8" w:color="939598"/>
              <w:right w:val="single" w:sz="8" w:color="939598"/>
            </w:tcBorders>
          </w:tcPr>
          <w:p>
            <w:pPr>
              <w:spacing w:after="0"/>
              <w:rPr>
                <w:sz w:val="6"/>
                <w:szCs w:val="6"/>
                <w:color w:val="auto"/>
              </w:rPr>
            </w:pPr>
          </w:p>
        </w:tc>
        <w:tc>
          <w:tcPr>
            <w:tcW w:w="340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Awarded on the date of the Annual Meeting of Shareowners.</w:t>
            </w:r>
          </w:p>
        </w:tc>
        <w:tc>
          <w:tcPr>
            <w:tcW w:w="3400" w:type="dxa"/>
            <w:vAlign w:val="bottom"/>
          </w:tcPr>
          <w:p>
            <w:pPr>
              <w:spacing w:after="0"/>
              <w:rPr>
                <w:sz w:val="20"/>
                <w:szCs w:val="20"/>
                <w:color w:val="auto"/>
              </w:rPr>
            </w:pPr>
            <w:r>
              <w:rPr>
                <w:rFonts w:ascii="Arial" w:cs="Arial" w:eastAsia="Arial" w:hAnsi="Arial"/>
                <w:sz w:val="16"/>
                <w:szCs w:val="16"/>
                <w:color w:val="auto"/>
              </w:rPr>
              <w:t>$130,000 target value per annum.</w:t>
            </w:r>
          </w:p>
        </w:tc>
        <w:tc>
          <w:tcPr>
            <w:tcW w:w="0" w:type="dxa"/>
            <w:vAlign w:val="bottom"/>
          </w:tcPr>
          <w:p>
            <w:pPr>
              <w:spacing w:after="0"/>
              <w:rPr>
                <w:sz w:val="1"/>
                <w:szCs w:val="1"/>
                <w:color w:val="auto"/>
              </w:rPr>
            </w:pPr>
          </w:p>
        </w:tc>
      </w:tr>
      <w:tr>
        <w:trPr>
          <w:trHeight w:val="209"/>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Each non-employee director receives an annual equity grant with a</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target value of $130,000, in the form of Restricted Stock Units</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(RSUs).</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Annual RSUs vest on the earliest of (i) the April 15th immediately</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preceding the first anniversary of the grant date, (ii) the director’s</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termination of service due to death or disability, (iii) the occurrence of</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a Change in Control, or (iv) the voluntary termination of service on or</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after the director’s tenth anniversary as a Board member in good</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20" w:type="dxa"/>
            <w:vAlign w:val="bottom"/>
            <w:tcBorders>
              <w:right w:val="single" w:sz="8" w:color="939598"/>
            </w:tcBorders>
          </w:tcPr>
          <w:p>
            <w:pPr>
              <w:ind w:left="200"/>
              <w:spacing w:after="0"/>
              <w:rPr>
                <w:sz w:val="20"/>
                <w:szCs w:val="20"/>
                <w:color w:val="auto"/>
              </w:rPr>
            </w:pPr>
            <w:r>
              <w:rPr>
                <w:rFonts w:ascii="Arial" w:cs="Arial" w:eastAsia="Arial" w:hAnsi="Arial"/>
                <w:sz w:val="16"/>
                <w:szCs w:val="16"/>
                <w:color w:val="auto"/>
              </w:rPr>
              <w:t>standing.</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5320" w:type="dxa"/>
            <w:vAlign w:val="bottom"/>
            <w:tcBorders>
              <w:bottom w:val="single" w:sz="8" w:color="D7282F"/>
              <w:right w:val="single" w:sz="8" w:color="939598"/>
            </w:tcBorders>
          </w:tcPr>
          <w:p>
            <w:pPr>
              <w:spacing w:after="0"/>
              <w:rPr>
                <w:sz w:val="6"/>
                <w:szCs w:val="6"/>
                <w:color w:val="auto"/>
              </w:rPr>
            </w:pPr>
          </w:p>
        </w:tc>
        <w:tc>
          <w:tcPr>
            <w:tcW w:w="3400" w:type="dxa"/>
            <w:vAlign w:val="bottom"/>
            <w:tcBorders>
              <w:bottom w:val="single" w:sz="8" w:color="D7282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2240" w:space="260"/>
            <w:col w:w="8740"/>
          </w:cols>
          <w:pgMar w:left="320" w:top="1293" w:right="339" w:bottom="1440" w:gutter="0" w:footer="0" w:header="0"/>
          <w:type w:val="continuous"/>
        </w:sectPr>
      </w:pPr>
    </w:p>
    <w:p>
      <w:pPr>
        <w:ind w:right="20"/>
        <w:spacing w:after="0" w:line="275" w:lineRule="auto"/>
        <w:rPr>
          <w:sz w:val="20"/>
          <w:szCs w:val="20"/>
          <w:color w:val="auto"/>
        </w:rPr>
      </w:pPr>
      <w:r>
        <w:rPr>
          <w:rFonts w:ascii="Arial" w:cs="Arial" w:eastAsia="Arial" w:hAnsi="Arial"/>
          <w:sz w:val="16"/>
          <w:szCs w:val="16"/>
          <w:color w:val="auto"/>
        </w:rPr>
        <w:t>In December, 2023, Pay Governance, the independent compensation consultant to the MDCC, conducted a review of our non-employee director compensation against companies in the Compensation Peer Group and companies in the S&amp;P 200, and provided recommended changes to better align with market practices. Based on that review, the CGRC approved certain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3"/>
          <w:szCs w:val="13"/>
          <w:b w:val="1"/>
          <w:bCs w:val="1"/>
          <w:color w:val="6D6E71"/>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changes to the elements of annual non-employee director compensation, beginning January 1, 2024, which are reflected on the table above. Prior to these changes (i.e., in 2023), the Board Cash Retainer was $100,000 per annum, the Management Development and Compensation Committee Chair Compensation was $20,000 per annum, and Annual Equity Grants were issued with a target value of $115,000, consisting of $65,000 in RSUs (same vesting as described above) and $50,000 in stock options vesting in equal annual installments on each April 15th immediately preceding the first, second, third, and fourth year anniversaries of the grant date, or, if earlier, the directors’ death or disability, retirement from the Board at or after mandatory retirement age (age 75), the voluntary termination from the Board on or after the tenth anniversary as a Board member in good standing, or upon a change in control. Stock options were eliminated from the non-employee director compensation mix beginning in 2024. Other elements were the same as described in the table above.</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DEFERRED COMPENSATION</w:t>
      </w:r>
    </w:p>
    <w:p>
      <w:pPr>
        <w:spacing w:after="0" w:line="141"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A non-employee director may elect to defer all or any portion of his or her annual cash retainers and fees, until a specified calendar year or termination of Board service. Compensation is credited to their account in the Deferred Compensation Plan for Non-Employee Directors. Amounts credited either accrue interest (5.11% for 2023) or are valued as if invested in a Honeywell common stock fund or one of the other funds available to participants in our employee savings plan as elected by the participant. The unit price of the Honeywell common stock fund is increased to take dividends into account. In addition to payments at the termination of Board service, upon a Change in Control, as defined in the Non-Employee Director Plan, a director may receive a lump-sum payment for amounts deferred before 2006, pursuant to a prior election.</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CHARITABLE MATCH</w:t>
      </w:r>
    </w:p>
    <w:p>
      <w:pPr>
        <w:spacing w:after="0" w:line="128"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Honeywell also matches, dollar for dollar, any charitable contribution made by a director to any qualified charity, up to an aggregate maximum of $25,000 per director, per calendar year. For 2023, matching charitable contributions were made by Honeywell in the amount of $25,000 for each of directors Ayer, Burke, and Washington. Additional matching contributions were made in the amount of $20,000 and $3,800 for directors Lieblein and Watson, respectfully.</w:t>
      </w:r>
    </w:p>
    <w:p>
      <w:pPr>
        <w:spacing w:after="0" w:line="1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BENEFITS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Directors may utilize available Company aircraft for travel to and from Board and committee meetings, and non-employee directors are provided with</w:t>
      </w:r>
    </w:p>
    <w:p>
      <w:pPr>
        <w:spacing w:after="0" w:line="21"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$350,000 in business travel accident insurance. In addition, directors elected to the Board prior to September 2008 are provided with $100,000 in term life insurance on a grandfathered basis (benefit eliminated prospectively).</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UPON ELECTION TO BOARD</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Newly appointed directors are awarded the regular elements of annual director compensation determined on a prorated basis upon joining the Board. Prorated annual equity grants to new directors will be made on substantially the same terms and conditions as the annual grant made to other non-employee directors of the Company.</w:t>
      </w:r>
    </w:p>
    <w:p>
      <w:pPr>
        <w:spacing w:after="0" w:line="24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2023 DIRECTOR COMPENSATION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Pension</w:t>
            </w: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Value and</w:t>
            </w: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220" w:type="dxa"/>
            <w:vAlign w:val="bottom"/>
          </w:tcPr>
          <w:p>
            <w:pPr>
              <w:jc w:val="right"/>
              <w:ind w:right="128"/>
              <w:spacing w:after="0"/>
              <w:rPr>
                <w:sz w:val="20"/>
                <w:szCs w:val="20"/>
                <w:color w:val="auto"/>
              </w:rPr>
            </w:pPr>
            <w:r>
              <w:rPr>
                <w:rFonts w:ascii="Arial" w:cs="Arial" w:eastAsia="Arial" w:hAnsi="Arial"/>
                <w:sz w:val="14"/>
                <w:szCs w:val="14"/>
                <w:b w:val="1"/>
                <w:bCs w:val="1"/>
                <w:color w:val="auto"/>
              </w:rPr>
              <w:t>Fees</w:t>
            </w: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Nonqualified</w:t>
            </w: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220" w:type="dxa"/>
            <w:vAlign w:val="bottom"/>
          </w:tcPr>
          <w:p>
            <w:pPr>
              <w:jc w:val="right"/>
              <w:ind w:right="128"/>
              <w:spacing w:after="0"/>
              <w:rPr>
                <w:sz w:val="20"/>
                <w:szCs w:val="20"/>
                <w:color w:val="auto"/>
              </w:rPr>
            </w:pPr>
            <w:r>
              <w:rPr>
                <w:rFonts w:ascii="Arial" w:cs="Arial" w:eastAsia="Arial" w:hAnsi="Arial"/>
                <w:sz w:val="14"/>
                <w:szCs w:val="14"/>
                <w:b w:val="1"/>
                <w:bCs w:val="1"/>
                <w:color w:val="auto"/>
              </w:rPr>
              <w:t>Earned</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Deferred</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2220" w:type="dxa"/>
            <w:vAlign w:val="bottom"/>
          </w:tcPr>
          <w:p>
            <w:pPr>
              <w:jc w:val="right"/>
              <w:ind w:right="128"/>
              <w:spacing w:after="0"/>
              <w:rPr>
                <w:sz w:val="20"/>
                <w:szCs w:val="20"/>
                <w:color w:val="auto"/>
              </w:rPr>
            </w:pPr>
            <w:r>
              <w:rPr>
                <w:rFonts w:ascii="Arial" w:cs="Arial" w:eastAsia="Arial" w:hAnsi="Arial"/>
                <w:sz w:val="14"/>
                <w:szCs w:val="14"/>
                <w:b w:val="1"/>
                <w:bCs w:val="1"/>
                <w:color w:val="auto"/>
              </w:rPr>
              <w:t>or Paid in</w:t>
            </w:r>
          </w:p>
        </w:tc>
        <w:tc>
          <w:tcPr>
            <w:tcW w:w="1080" w:type="dxa"/>
            <w:vAlign w:val="bottom"/>
          </w:tcPr>
          <w:p>
            <w:pPr>
              <w:jc w:val="right"/>
              <w:ind w:right="5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1060" w:type="dxa"/>
            <w:vAlign w:val="bottom"/>
          </w:tcPr>
          <w:p>
            <w:pPr>
              <w:jc w:val="right"/>
              <w:ind w:right="150"/>
              <w:spacing w:after="0"/>
              <w:rPr>
                <w:sz w:val="20"/>
                <w:szCs w:val="20"/>
                <w:color w:val="auto"/>
              </w:rPr>
            </w:pPr>
            <w:r>
              <w:rPr>
                <w:rFonts w:ascii="Arial" w:cs="Arial" w:eastAsia="Arial" w:hAnsi="Arial"/>
                <w:sz w:val="14"/>
                <w:szCs w:val="14"/>
                <w:b w:val="1"/>
                <w:bCs w:val="1"/>
                <w:color w:val="auto"/>
              </w:rPr>
              <w:t>Option</w:t>
            </w:r>
          </w:p>
        </w:tc>
        <w:tc>
          <w:tcPr>
            <w:tcW w:w="14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Compensation</w:t>
            </w:r>
          </w:p>
        </w:tc>
        <w:tc>
          <w:tcPr>
            <w:tcW w:w="68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Director Name</w:t>
            </w:r>
          </w:p>
        </w:tc>
        <w:tc>
          <w:tcPr>
            <w:tcW w:w="22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Cash</w:t>
            </w:r>
            <w:r>
              <w:rPr>
                <w:rFonts w:ascii="Arial" w:cs="Arial" w:eastAsia="Arial" w:hAnsi="Arial"/>
                <w:sz w:val="18"/>
                <w:szCs w:val="18"/>
                <w:b w:val="1"/>
                <w:bCs w:val="1"/>
                <w:color w:val="auto"/>
                <w:vertAlign w:val="superscript"/>
              </w:rPr>
              <w:t>(1)</w:t>
            </w:r>
          </w:p>
        </w:tc>
        <w:tc>
          <w:tcPr>
            <w:tcW w:w="1080" w:type="dxa"/>
            <w:vAlign w:val="bottom"/>
            <w:tcBorders>
              <w:bottom w:val="single" w:sz="8" w:color="D7282F"/>
            </w:tcBorders>
          </w:tcPr>
          <w:p>
            <w:pPr>
              <w:jc w:val="right"/>
              <w:ind w:right="50"/>
              <w:spacing w:after="0" w:line="214" w:lineRule="exact"/>
              <w:rPr>
                <w:sz w:val="20"/>
                <w:szCs w:val="20"/>
                <w:color w:val="auto"/>
              </w:rPr>
            </w:pPr>
            <w:r>
              <w:rPr>
                <w:rFonts w:ascii="Arial" w:cs="Arial" w:eastAsia="Arial" w:hAnsi="Arial"/>
                <w:sz w:val="24"/>
                <w:szCs w:val="24"/>
                <w:b w:val="1"/>
                <w:bCs w:val="1"/>
                <w:color w:val="auto"/>
                <w:vertAlign w:val="subscript"/>
              </w:rPr>
              <w:t>Awards</w:t>
            </w:r>
            <w:r>
              <w:rPr>
                <w:rFonts w:ascii="Arial" w:cs="Arial" w:eastAsia="Arial" w:hAnsi="Arial"/>
                <w:sz w:val="9"/>
                <w:szCs w:val="9"/>
                <w:b w:val="1"/>
                <w:bCs w:val="1"/>
                <w:color w:val="auto"/>
              </w:rPr>
              <w:t>(2)(3)</w:t>
            </w:r>
          </w:p>
        </w:tc>
        <w:tc>
          <w:tcPr>
            <w:tcW w:w="280" w:type="dxa"/>
            <w:vAlign w:val="bottom"/>
            <w:tcBorders>
              <w:bottom w:val="single" w:sz="8" w:color="D7282F"/>
            </w:tcBorders>
          </w:tcPr>
          <w:p>
            <w:pPr>
              <w:spacing w:after="0"/>
              <w:rPr>
                <w:sz w:val="18"/>
                <w:szCs w:val="18"/>
                <w:color w:val="auto"/>
              </w:rPr>
            </w:pPr>
          </w:p>
        </w:tc>
        <w:tc>
          <w:tcPr>
            <w:tcW w:w="1060" w:type="dxa"/>
            <w:vAlign w:val="bottom"/>
            <w:tcBorders>
              <w:bottom w:val="single" w:sz="8" w:color="D7282F"/>
            </w:tcBorders>
          </w:tcPr>
          <w:p>
            <w:pPr>
              <w:jc w:val="right"/>
              <w:ind w:right="150"/>
              <w:spacing w:after="0" w:line="214" w:lineRule="exact"/>
              <w:rPr>
                <w:sz w:val="20"/>
                <w:szCs w:val="20"/>
                <w:color w:val="auto"/>
              </w:rPr>
            </w:pPr>
            <w:r>
              <w:rPr>
                <w:rFonts w:ascii="Arial" w:cs="Arial" w:eastAsia="Arial" w:hAnsi="Arial"/>
                <w:sz w:val="24"/>
                <w:szCs w:val="24"/>
                <w:b w:val="1"/>
                <w:bCs w:val="1"/>
                <w:color w:val="auto"/>
                <w:vertAlign w:val="subscript"/>
              </w:rPr>
              <w:t>Awards</w:t>
            </w:r>
            <w:r>
              <w:rPr>
                <w:rFonts w:ascii="Arial" w:cs="Arial" w:eastAsia="Arial" w:hAnsi="Arial"/>
                <w:sz w:val="9"/>
                <w:szCs w:val="9"/>
                <w:b w:val="1"/>
                <w:bCs w:val="1"/>
                <w:color w:val="auto"/>
              </w:rPr>
              <w:t>(2)(4)</w:t>
            </w:r>
          </w:p>
        </w:tc>
        <w:tc>
          <w:tcPr>
            <w:tcW w:w="1440" w:type="dxa"/>
            <w:vAlign w:val="bottom"/>
            <w:tcBorders>
              <w:bottom w:val="single" w:sz="8" w:color="D7282F"/>
            </w:tcBorders>
            <w:gridSpan w:val="2"/>
          </w:tcPr>
          <w:p>
            <w:pPr>
              <w:jc w:val="right"/>
              <w:ind w:right="148"/>
              <w:spacing w:after="0"/>
              <w:rPr>
                <w:sz w:val="20"/>
                <w:szCs w:val="20"/>
                <w:color w:val="auto"/>
              </w:rPr>
            </w:pPr>
            <w:r>
              <w:rPr>
                <w:rFonts w:ascii="Arial" w:cs="Arial" w:eastAsia="Arial" w:hAnsi="Arial"/>
                <w:sz w:val="14"/>
                <w:szCs w:val="14"/>
                <w:b w:val="1"/>
                <w:bCs w:val="1"/>
                <w:color w:val="auto"/>
              </w:rPr>
              <w:t>Earnings</w:t>
            </w:r>
            <w:r>
              <w:rPr>
                <w:rFonts w:ascii="Arial" w:cs="Arial" w:eastAsia="Arial" w:hAnsi="Arial"/>
                <w:sz w:val="18"/>
                <w:szCs w:val="18"/>
                <w:b w:val="1"/>
                <w:bCs w:val="1"/>
                <w:color w:val="auto"/>
                <w:vertAlign w:val="superscript"/>
              </w:rPr>
              <w:t>(5)</w:t>
            </w:r>
          </w:p>
        </w:tc>
        <w:tc>
          <w:tcPr>
            <w:tcW w:w="150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(6)</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7"/>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Duncan B. Angove</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   170,000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   65,160</w:t>
            </w:r>
          </w:p>
        </w:tc>
        <w:tc>
          <w:tcPr>
            <w:tcW w:w="28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47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   285,237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William S. Ayer</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200,000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9"/>
                <w:szCs w:val="19"/>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25,047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340,237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Kevin Burke</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175,000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9"/>
                <w:szCs w:val="19"/>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25,047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315,237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 Scott Davis</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275,000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9"/>
                <w:szCs w:val="19"/>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6,664</w:t>
            </w:r>
          </w:p>
        </w:tc>
        <w:tc>
          <w:tcPr>
            <w:tcW w:w="68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563</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397,417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Deborah Flint</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175,000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9"/>
                <w:szCs w:val="19"/>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47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290,237</w:t>
            </w:r>
          </w:p>
        </w:tc>
        <w:tc>
          <w:tcPr>
            <w:tcW w:w="0" w:type="dxa"/>
            <w:vAlign w:val="bottom"/>
          </w:tcPr>
          <w:p>
            <w:pPr>
              <w:spacing w:after="0"/>
              <w:rPr>
                <w:sz w:val="1"/>
                <w:szCs w:val="1"/>
                <w:color w:val="auto"/>
              </w:rPr>
            </w:pPr>
          </w:p>
        </w:tc>
      </w:tr>
      <w:tr>
        <w:trPr>
          <w:trHeight w:val="322"/>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Michael W. Lamach</w:t>
            </w:r>
            <w:r>
              <w:rPr>
                <w:rFonts w:ascii="Arial" w:cs="Arial" w:eastAsia="Arial" w:hAnsi="Arial"/>
                <w:sz w:val="9"/>
                <w:szCs w:val="9"/>
                <w:b w:val="1"/>
                <w:bCs w:val="1"/>
                <w:color w:val="auto"/>
              </w:rPr>
              <w:t>(7)</w:t>
            </w:r>
          </w:p>
        </w:tc>
        <w:tc>
          <w:tcPr>
            <w:tcW w:w="2220" w:type="dxa"/>
            <w:vAlign w:val="bottom"/>
            <w:vMerge w:val="restart"/>
          </w:tcPr>
          <w:p>
            <w:pPr>
              <w:jc w:val="right"/>
              <w:ind w:right="188"/>
              <w:spacing w:after="0"/>
              <w:rPr>
                <w:sz w:val="20"/>
                <w:szCs w:val="20"/>
                <w:color w:val="auto"/>
              </w:rPr>
            </w:pPr>
            <w:r>
              <w:rPr>
                <w:rFonts w:ascii="Arial" w:cs="Arial" w:eastAsia="Arial" w:hAnsi="Arial"/>
                <w:sz w:val="14"/>
                <w:szCs w:val="14"/>
                <w:color w:val="auto"/>
              </w:rPr>
              <w:t>14,863</w:t>
            </w:r>
          </w:p>
        </w:tc>
        <w:tc>
          <w:tcPr>
            <w:tcW w:w="1080" w:type="dxa"/>
            <w:vAlign w:val="bottom"/>
            <w:vMerge w:val="restart"/>
          </w:tcPr>
          <w:p>
            <w:pPr>
              <w:jc w:val="right"/>
              <w:ind w:right="110"/>
              <w:spacing w:after="0"/>
              <w:rPr>
                <w:sz w:val="20"/>
                <w:szCs w:val="20"/>
                <w:color w:val="auto"/>
              </w:rPr>
            </w:pPr>
            <w:r>
              <w:rPr>
                <w:rFonts w:ascii="Arial" w:cs="Arial" w:eastAsia="Arial" w:hAnsi="Arial"/>
                <w:sz w:val="14"/>
                <w:szCs w:val="14"/>
                <w:color w:val="auto"/>
              </w:rPr>
              <w:t>22,930</w:t>
            </w:r>
          </w:p>
        </w:tc>
        <w:tc>
          <w:tcPr>
            <w:tcW w:w="280" w:type="dxa"/>
            <w:vAlign w:val="bottom"/>
          </w:tcPr>
          <w:p>
            <w:pPr>
              <w:spacing w:after="0"/>
              <w:rPr>
                <w:sz w:val="24"/>
                <w:szCs w:val="24"/>
                <w:color w:val="auto"/>
              </w:rPr>
            </w:pPr>
          </w:p>
        </w:tc>
        <w:tc>
          <w:tcPr>
            <w:tcW w:w="1060" w:type="dxa"/>
            <w:vAlign w:val="bottom"/>
            <w:vMerge w:val="restart"/>
          </w:tcPr>
          <w:p>
            <w:pPr>
              <w:jc w:val="right"/>
              <w:ind w:right="210"/>
              <w:spacing w:after="0"/>
              <w:rPr>
                <w:sz w:val="20"/>
                <w:szCs w:val="20"/>
                <w:color w:val="auto"/>
              </w:rPr>
            </w:pPr>
            <w:r>
              <w:rPr>
                <w:rFonts w:ascii="Arial" w:cs="Arial" w:eastAsia="Arial" w:hAnsi="Arial"/>
                <w:sz w:val="14"/>
                <w:szCs w:val="14"/>
                <w:color w:val="auto"/>
              </w:rPr>
              <w:t>29,900</w:t>
            </w:r>
          </w:p>
        </w:tc>
        <w:tc>
          <w:tcPr>
            <w:tcW w:w="620" w:type="dxa"/>
            <w:vAlign w:val="bottom"/>
          </w:tcPr>
          <w:p>
            <w:pPr>
              <w:spacing w:after="0"/>
              <w:rPr>
                <w:sz w:val="24"/>
                <w:szCs w:val="24"/>
                <w:color w:val="auto"/>
              </w:rPr>
            </w:pP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4"/>
                <w:szCs w:val="24"/>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color w:val="auto"/>
              </w:rPr>
              <w:t>4</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67,697</w:t>
            </w: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620" w:type="dxa"/>
            <w:vAlign w:val="bottom"/>
            <w:tcBorders>
              <w:bottom w:val="single" w:sz="8" w:color="939598"/>
            </w:tcBorders>
          </w:tcPr>
          <w:p>
            <w:pPr>
              <w:spacing w:after="0" w:line="20" w:lineRule="exact"/>
              <w:rPr>
                <w:sz w:val="1"/>
                <w:szCs w:val="1"/>
                <w:color w:val="auto"/>
              </w:rPr>
            </w:pPr>
          </w:p>
        </w:tc>
        <w:tc>
          <w:tcPr>
            <w:tcW w:w="222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280" w:type="dxa"/>
            <w:vAlign w:val="bottom"/>
            <w:tcBorders>
              <w:bottom w:val="single" w:sz="8" w:color="939598"/>
            </w:tcBorders>
          </w:tcPr>
          <w:p>
            <w:pPr>
              <w:spacing w:after="0" w:line="20" w:lineRule="exact"/>
              <w:rPr>
                <w:sz w:val="1"/>
                <w:szCs w:val="1"/>
                <w:color w:val="auto"/>
              </w:rPr>
            </w:pPr>
          </w:p>
        </w:tc>
        <w:tc>
          <w:tcPr>
            <w:tcW w:w="106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10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Grace Lieblein</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200,000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20,047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335,237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Rose Lee</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170,000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9"/>
                <w:szCs w:val="19"/>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47</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285,237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Robin L. Washington</w:t>
            </w:r>
          </w:p>
        </w:tc>
        <w:tc>
          <w:tcPr>
            <w:tcW w:w="22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175,000</w:t>
            </w:r>
          </w:p>
        </w:tc>
        <w:tc>
          <w:tcPr>
            <w:tcW w:w="108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939598"/>
            </w:tcBorders>
          </w:tcPr>
          <w:p>
            <w:pPr>
              <w:spacing w:after="0"/>
              <w:rPr>
                <w:sz w:val="19"/>
                <w:szCs w:val="19"/>
                <w:color w:val="auto"/>
              </w:rPr>
            </w:pPr>
          </w:p>
        </w:tc>
        <w:tc>
          <w:tcPr>
            <w:tcW w:w="1060" w:type="dxa"/>
            <w:vAlign w:val="bottom"/>
            <w:tcBorders>
              <w:bottom w:val="single" w:sz="8" w:color="939598"/>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939598"/>
            </w:tcBorders>
          </w:tcPr>
          <w:p>
            <w:pPr>
              <w:spacing w:after="0"/>
              <w:rPr>
                <w:sz w:val="19"/>
                <w:szCs w:val="19"/>
                <w:color w:val="auto"/>
              </w:rPr>
            </w:pPr>
          </w:p>
        </w:tc>
        <w:tc>
          <w:tcPr>
            <w:tcW w:w="82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28,090</w:t>
            </w:r>
          </w:p>
        </w:tc>
        <w:tc>
          <w:tcPr>
            <w:tcW w:w="10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318,280</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Robin Watson</w:t>
            </w:r>
          </w:p>
        </w:tc>
        <w:tc>
          <w:tcPr>
            <w:tcW w:w="22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175,000</w:t>
            </w:r>
          </w:p>
        </w:tc>
        <w:tc>
          <w:tcPr>
            <w:tcW w:w="1080" w:type="dxa"/>
            <w:vAlign w:val="bottom"/>
            <w:tcBorders>
              <w:bottom w:val="single" w:sz="8" w:color="D7282F"/>
            </w:tcBorders>
          </w:tcPr>
          <w:p>
            <w:pPr>
              <w:jc w:val="right"/>
              <w:ind w:right="110"/>
              <w:spacing w:after="0"/>
              <w:rPr>
                <w:sz w:val="20"/>
                <w:szCs w:val="20"/>
                <w:color w:val="auto"/>
              </w:rPr>
            </w:pPr>
            <w:r>
              <w:rPr>
                <w:rFonts w:ascii="Arial" w:cs="Arial" w:eastAsia="Arial" w:hAnsi="Arial"/>
                <w:sz w:val="14"/>
                <w:szCs w:val="14"/>
                <w:color w:val="auto"/>
              </w:rPr>
              <w:t>65,160</w:t>
            </w:r>
          </w:p>
        </w:tc>
        <w:tc>
          <w:tcPr>
            <w:tcW w:w="280" w:type="dxa"/>
            <w:vAlign w:val="bottom"/>
            <w:tcBorders>
              <w:bottom w:val="single" w:sz="8" w:color="D7282F"/>
            </w:tcBorders>
          </w:tcPr>
          <w:p>
            <w:pPr>
              <w:spacing w:after="0"/>
              <w:rPr>
                <w:sz w:val="19"/>
                <w:szCs w:val="19"/>
                <w:color w:val="auto"/>
              </w:rPr>
            </w:pPr>
          </w:p>
        </w:tc>
        <w:tc>
          <w:tcPr>
            <w:tcW w:w="1060" w:type="dxa"/>
            <w:vAlign w:val="bottom"/>
            <w:tcBorders>
              <w:bottom w:val="single" w:sz="8" w:color="D7282F"/>
            </w:tcBorders>
          </w:tcPr>
          <w:p>
            <w:pPr>
              <w:jc w:val="right"/>
              <w:ind w:right="210"/>
              <w:spacing w:after="0"/>
              <w:rPr>
                <w:sz w:val="20"/>
                <w:szCs w:val="20"/>
                <w:color w:val="auto"/>
              </w:rPr>
            </w:pPr>
            <w:r>
              <w:rPr>
                <w:rFonts w:ascii="Arial" w:cs="Arial" w:eastAsia="Arial" w:hAnsi="Arial"/>
                <w:sz w:val="14"/>
                <w:szCs w:val="14"/>
                <w:color w:val="auto"/>
              </w:rPr>
              <w:t>50,030</w:t>
            </w:r>
          </w:p>
        </w:tc>
        <w:tc>
          <w:tcPr>
            <w:tcW w:w="620" w:type="dxa"/>
            <w:vAlign w:val="bottom"/>
            <w:tcBorders>
              <w:bottom w:val="single" w:sz="8" w:color="D7282F"/>
            </w:tcBorders>
          </w:tcPr>
          <w:p>
            <w:pPr>
              <w:spacing w:after="0"/>
              <w:rPr>
                <w:sz w:val="19"/>
                <w:szCs w:val="19"/>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spacing w:after="0"/>
              <w:rPr>
                <w:sz w:val="19"/>
                <w:szCs w:val="19"/>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3,847</w:t>
            </w:r>
          </w:p>
        </w:tc>
        <w:tc>
          <w:tcPr>
            <w:tcW w:w="10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294,037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113"/>
        </w:numPr>
        <w:rPr>
          <w:rFonts w:ascii="Arial" w:cs="Arial" w:eastAsia="Arial" w:hAnsi="Arial"/>
          <w:sz w:val="16"/>
          <w:szCs w:val="16"/>
          <w:color w:val="auto"/>
          <w:vertAlign w:val="superscript"/>
        </w:rPr>
      </w:pPr>
      <w:r>
        <w:rPr>
          <w:rFonts w:ascii="Arial" w:cs="Arial" w:eastAsia="Arial" w:hAnsi="Arial"/>
          <w:sz w:val="13"/>
          <w:szCs w:val="13"/>
          <w:color w:val="auto"/>
        </w:rPr>
        <w:t>Includes all cash fees earned, whether paid in cash or deferred under the Deferred Compensation Plan for Non-Employee Directors.</w:t>
      </w:r>
    </w:p>
    <w:p>
      <w:pPr>
        <w:spacing w:after="0" w:line="20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sz w:val="1"/>
          <w:szCs w:val="1"/>
          <w:color w:val="auto"/>
        </w:rPr>
        <w:drawing>
          <wp:inline distT="0" distB="0" distL="0" distR="0">
            <wp:extent cx="548640" cy="10287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6D6E71"/>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hanging="192"/>
        <w:spacing w:after="0"/>
        <w:tabs>
          <w:tab w:leader="none" w:pos="200" w:val="left"/>
        </w:tabs>
        <w:numPr>
          <w:ilvl w:val="0"/>
          <w:numId w:val="114"/>
        </w:numPr>
        <w:rPr>
          <w:rFonts w:ascii="Arial" w:cs="Arial" w:eastAsia="Arial" w:hAnsi="Arial"/>
          <w:sz w:val="16"/>
          <w:szCs w:val="16"/>
          <w:color w:val="auto"/>
          <w:vertAlign w:val="superscript"/>
        </w:rPr>
      </w:pPr>
      <w:r>
        <w:rPr>
          <w:rFonts w:ascii="Arial" w:cs="Arial" w:eastAsia="Arial" w:hAnsi="Arial"/>
          <w:sz w:val="13"/>
          <w:szCs w:val="13"/>
          <w:color w:val="auto"/>
        </w:rPr>
        <w:t>The following table reflects all outstanding stock awards and option awards held at December 31, 2023, by each of the listed individuals: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Outstanding</w:t>
            </w:r>
          </w:p>
        </w:tc>
      </w:tr>
      <w:tr>
        <w:trPr>
          <w:trHeight w:val="148"/>
        </w:trPr>
        <w:tc>
          <w:tcPr>
            <w:tcW w:w="3940" w:type="dxa"/>
            <w:vAlign w:val="bottom"/>
          </w:tcPr>
          <w:p>
            <w:pPr>
              <w:spacing w:after="0"/>
              <w:rPr>
                <w:sz w:val="12"/>
                <w:szCs w:val="12"/>
                <w:color w:val="auto"/>
              </w:rPr>
            </w:pPr>
          </w:p>
        </w:tc>
        <w:tc>
          <w:tcPr>
            <w:tcW w:w="4020" w:type="dxa"/>
            <w:vAlign w:val="bottom"/>
          </w:tcPr>
          <w:p>
            <w:pPr>
              <w:jc w:val="right"/>
              <w:ind w:right="117"/>
              <w:spacing w:after="0"/>
              <w:rPr>
                <w:sz w:val="20"/>
                <w:szCs w:val="20"/>
                <w:color w:val="auto"/>
              </w:rPr>
            </w:pPr>
            <w:r>
              <w:rPr>
                <w:rFonts w:ascii="Arial" w:cs="Arial" w:eastAsia="Arial" w:hAnsi="Arial"/>
                <w:sz w:val="13"/>
                <w:szCs w:val="13"/>
                <w:b w:val="1"/>
                <w:bCs w:val="1"/>
                <w:color w:val="auto"/>
              </w:rPr>
              <w:t>Outstanding</w:t>
            </w:r>
          </w:p>
        </w:tc>
        <w:tc>
          <w:tcPr>
            <w:tcW w:w="1300" w:type="dxa"/>
            <w:vAlign w:val="bottom"/>
          </w:tcPr>
          <w:p>
            <w:pPr>
              <w:jc w:val="right"/>
              <w:ind w:right="217"/>
              <w:spacing w:after="0"/>
              <w:rPr>
                <w:sz w:val="20"/>
                <w:szCs w:val="20"/>
                <w:color w:val="auto"/>
              </w:rPr>
            </w:pPr>
            <w:r>
              <w:rPr>
                <w:rFonts w:ascii="Arial" w:cs="Arial" w:eastAsia="Arial" w:hAnsi="Arial"/>
                <w:sz w:val="13"/>
                <w:szCs w:val="13"/>
                <w:b w:val="1"/>
                <w:bCs w:val="1"/>
                <w:color w:val="auto"/>
              </w:rPr>
              <w:t>Outstanding</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Deferred Comp Plan</w:t>
            </w:r>
          </w:p>
        </w:tc>
      </w:tr>
      <w:tr>
        <w:trPr>
          <w:trHeight w:val="185"/>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Director Name</w:t>
            </w:r>
          </w:p>
        </w:tc>
        <w:tc>
          <w:tcPr>
            <w:tcW w:w="4020" w:type="dxa"/>
            <w:vAlign w:val="bottom"/>
          </w:tcPr>
          <w:p>
            <w:pPr>
              <w:jc w:val="right"/>
              <w:ind w:right="117"/>
              <w:spacing w:after="0"/>
              <w:rPr>
                <w:sz w:val="20"/>
                <w:szCs w:val="20"/>
                <w:color w:val="auto"/>
              </w:rPr>
            </w:pPr>
            <w:r>
              <w:rPr>
                <w:rFonts w:ascii="Arial" w:cs="Arial" w:eastAsia="Arial" w:hAnsi="Arial"/>
                <w:sz w:val="13"/>
                <w:szCs w:val="13"/>
                <w:b w:val="1"/>
                <w:bCs w:val="1"/>
                <w:color w:val="auto"/>
              </w:rPr>
              <w:t>Option Awards</w:t>
            </w:r>
          </w:p>
        </w:tc>
        <w:tc>
          <w:tcPr>
            <w:tcW w:w="1300" w:type="dxa"/>
            <w:vAlign w:val="bottom"/>
          </w:tcPr>
          <w:p>
            <w:pPr>
              <w:jc w:val="right"/>
              <w:ind w:right="217"/>
              <w:spacing w:after="0"/>
              <w:rPr>
                <w:sz w:val="20"/>
                <w:szCs w:val="20"/>
                <w:color w:val="auto"/>
              </w:rPr>
            </w:pPr>
            <w:r>
              <w:rPr>
                <w:rFonts w:ascii="Arial" w:cs="Arial" w:eastAsia="Arial" w:hAnsi="Arial"/>
                <w:sz w:val="13"/>
                <w:szCs w:val="13"/>
                <w:b w:val="1"/>
                <w:bCs w:val="1"/>
                <w:color w:val="auto"/>
              </w:rPr>
              <w:t>Stock Awards</w:t>
            </w:r>
          </w:p>
        </w:tc>
        <w:tc>
          <w:tcPr>
            <w:tcW w:w="1500" w:type="dxa"/>
            <w:vAlign w:val="bottom"/>
          </w:tcPr>
          <w:p>
            <w:pPr>
              <w:jc w:val="right"/>
              <w:spacing w:after="0"/>
              <w:rPr>
                <w:sz w:val="20"/>
                <w:szCs w:val="20"/>
                <w:color w:val="auto"/>
              </w:rPr>
            </w:pPr>
            <w:r>
              <w:rPr>
                <w:rFonts w:ascii="Arial" w:cs="Arial" w:eastAsia="Arial" w:hAnsi="Arial"/>
                <w:sz w:val="13"/>
                <w:szCs w:val="13"/>
                <w:b w:val="1"/>
                <w:bCs w:val="1"/>
                <w:color w:val="auto"/>
              </w:rPr>
              <w:t>(Non-Elective)</w:t>
            </w:r>
          </w:p>
        </w:tc>
      </w:tr>
      <w:tr>
        <w:trPr>
          <w:trHeight w:val="22"/>
        </w:trPr>
        <w:tc>
          <w:tcPr>
            <w:tcW w:w="3940" w:type="dxa"/>
            <w:vAlign w:val="bottom"/>
            <w:tcBorders>
              <w:bottom w:val="single" w:sz="8" w:color="D7282F"/>
            </w:tcBorders>
          </w:tcPr>
          <w:p>
            <w:pPr>
              <w:spacing w:after="0" w:line="20" w:lineRule="exact"/>
              <w:rPr>
                <w:sz w:val="1"/>
                <w:szCs w:val="1"/>
                <w:color w:val="auto"/>
              </w:rPr>
            </w:pPr>
          </w:p>
        </w:tc>
        <w:tc>
          <w:tcPr>
            <w:tcW w:w="402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c>
          <w:tcPr>
            <w:tcW w:w="1500" w:type="dxa"/>
            <w:vAlign w:val="bottom"/>
            <w:tcBorders>
              <w:bottom w:val="single" w:sz="8" w:color="D7282F"/>
            </w:tcBorders>
          </w:tcPr>
          <w:p>
            <w:pPr>
              <w:spacing w:after="0" w:line="20" w:lineRule="exact"/>
              <w:rPr>
                <w:sz w:val="1"/>
                <w:szCs w:val="1"/>
                <w:color w:val="auto"/>
              </w:rPr>
            </w:pPr>
          </w:p>
        </w:tc>
      </w:tr>
      <w:tr>
        <w:trPr>
          <w:trHeight w:val="175"/>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Mr. Angove</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10,899</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2,169</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Mr. Ayer</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17,182</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4,345</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Mr. Burke</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20,346</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11,557</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Mr. Davis</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17,182</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21,373</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Ms. Flint</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7,937</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1,348</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Mr. Lamach</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599</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153</w:t>
            </w:r>
          </w:p>
        </w:tc>
        <w:tc>
          <w:tcPr>
            <w:tcW w:w="150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5"/>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Ms. Lee</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3,204</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565</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Ms. Lieblein</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22,914</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6,460</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Ms. Washington</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20,346</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5,915</w:t>
            </w:r>
          </w:p>
        </w:tc>
      </w:tr>
      <w:tr>
        <w:trPr>
          <w:trHeight w:val="22"/>
        </w:trPr>
        <w:tc>
          <w:tcPr>
            <w:tcW w:w="3940" w:type="dxa"/>
            <w:vAlign w:val="bottom"/>
            <w:tcBorders>
              <w:bottom w:val="single" w:sz="8" w:color="939598"/>
            </w:tcBorders>
          </w:tcPr>
          <w:p>
            <w:pPr>
              <w:spacing w:after="0" w:line="20" w:lineRule="exact"/>
              <w:rPr>
                <w:sz w:val="1"/>
                <w:szCs w:val="1"/>
                <w:color w:val="auto"/>
              </w:rPr>
            </w:pPr>
          </w:p>
        </w:tc>
        <w:tc>
          <w:tcPr>
            <w:tcW w:w="402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r>
      <w:tr>
        <w:trPr>
          <w:trHeight w:val="174"/>
        </w:trPr>
        <w:tc>
          <w:tcPr>
            <w:tcW w:w="3940" w:type="dxa"/>
            <w:vAlign w:val="bottom"/>
          </w:tcPr>
          <w:p>
            <w:pPr>
              <w:ind w:left="20"/>
              <w:spacing w:after="0"/>
              <w:rPr>
                <w:sz w:val="20"/>
                <w:szCs w:val="20"/>
                <w:color w:val="auto"/>
              </w:rPr>
            </w:pPr>
            <w:r>
              <w:rPr>
                <w:rFonts w:ascii="Arial" w:cs="Arial" w:eastAsia="Arial" w:hAnsi="Arial"/>
                <w:sz w:val="13"/>
                <w:szCs w:val="13"/>
                <w:b w:val="1"/>
                <w:bCs w:val="1"/>
                <w:color w:val="auto"/>
              </w:rPr>
              <w:t>Mr. Watson</w:t>
            </w:r>
          </w:p>
        </w:tc>
        <w:tc>
          <w:tcPr>
            <w:tcW w:w="4020" w:type="dxa"/>
            <w:vAlign w:val="bottom"/>
          </w:tcPr>
          <w:p>
            <w:pPr>
              <w:jc w:val="right"/>
              <w:ind w:right="157"/>
              <w:spacing w:after="0"/>
              <w:rPr>
                <w:sz w:val="20"/>
                <w:szCs w:val="20"/>
                <w:color w:val="auto"/>
              </w:rPr>
            </w:pPr>
            <w:r>
              <w:rPr>
                <w:rFonts w:ascii="Arial" w:cs="Arial" w:eastAsia="Arial" w:hAnsi="Arial"/>
                <w:sz w:val="13"/>
                <w:szCs w:val="13"/>
                <w:color w:val="auto"/>
              </w:rPr>
              <w:t>2,279</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333</w:t>
            </w:r>
          </w:p>
        </w:tc>
        <w:tc>
          <w:tcPr>
            <w:tcW w:w="1500" w:type="dxa"/>
            <w:vAlign w:val="bottom"/>
          </w:tcPr>
          <w:p>
            <w:pPr>
              <w:jc w:val="right"/>
              <w:spacing w:after="0"/>
              <w:rPr>
                <w:sz w:val="20"/>
                <w:szCs w:val="20"/>
                <w:color w:val="auto"/>
              </w:rPr>
            </w:pPr>
            <w:r>
              <w:rPr>
                <w:rFonts w:ascii="Arial" w:cs="Arial" w:eastAsia="Arial" w:hAnsi="Arial"/>
                <w:sz w:val="13"/>
                <w:szCs w:val="13"/>
                <w:color w:val="auto"/>
              </w:rPr>
              <w:t>394</w:t>
            </w:r>
          </w:p>
        </w:tc>
      </w:tr>
      <w:tr>
        <w:trPr>
          <w:trHeight w:val="22"/>
        </w:trPr>
        <w:tc>
          <w:tcPr>
            <w:tcW w:w="3940" w:type="dxa"/>
            <w:vAlign w:val="bottom"/>
            <w:tcBorders>
              <w:bottom w:val="single" w:sz="8" w:color="D7282F"/>
            </w:tcBorders>
          </w:tcPr>
          <w:p>
            <w:pPr>
              <w:spacing w:after="0" w:line="20" w:lineRule="exact"/>
              <w:rPr>
                <w:sz w:val="1"/>
                <w:szCs w:val="1"/>
                <w:color w:val="auto"/>
              </w:rPr>
            </w:pPr>
          </w:p>
        </w:tc>
        <w:tc>
          <w:tcPr>
            <w:tcW w:w="402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c>
          <w:tcPr>
            <w:tcW w:w="1500" w:type="dxa"/>
            <w:vAlign w:val="bottom"/>
            <w:tcBorders>
              <w:bottom w:val="single" w:sz="8" w:color="D7282F"/>
            </w:tcBorders>
          </w:tcPr>
          <w:p>
            <w:pPr>
              <w:spacing w:after="0" w:line="20" w:lineRule="exact"/>
              <w:rPr>
                <w:sz w:val="1"/>
                <w:szCs w:val="1"/>
                <w:color w:val="auto"/>
              </w:rPr>
            </w:pPr>
          </w:p>
        </w:tc>
      </w:tr>
    </w:tbl>
    <w:p>
      <w:pPr>
        <w:spacing w:after="0" w:line="144" w:lineRule="exact"/>
        <w:rPr>
          <w:sz w:val="20"/>
          <w:szCs w:val="20"/>
          <w:color w:val="auto"/>
        </w:rPr>
      </w:pPr>
    </w:p>
    <w:p>
      <w:pPr>
        <w:ind w:left="200" w:right="80" w:hanging="192"/>
        <w:spacing w:after="0" w:line="232" w:lineRule="auto"/>
        <w:tabs>
          <w:tab w:leader="none" w:pos="200"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The amounts set forth in this column represent the aggregate grant date fair value of Restricted Stock Unit awards. The fair value of the annual Restricted Stock Unit award was computed in accordance with FASB ASC Topic 718 using the average of the high and low of the Company’s stock price on the day of grant. Stock awards of 328 shares were made to Non-Employee Directors in May 2023 with a value of $198.66 per share. A prorated Restricted Stock Unit award of 152 shares was made to Mr. Lamach as of his appointment to the Board (December 1, 2023) with a value of $196.71 per share.</w:t>
      </w:r>
    </w:p>
    <w:p>
      <w:pPr>
        <w:spacing w:after="0" w:line="63" w:lineRule="exact"/>
        <w:rPr>
          <w:rFonts w:ascii="Arial" w:cs="Arial" w:eastAsia="Arial" w:hAnsi="Arial"/>
          <w:sz w:val="16"/>
          <w:szCs w:val="16"/>
          <w:color w:val="auto"/>
          <w:vertAlign w:val="superscript"/>
        </w:rPr>
      </w:pPr>
    </w:p>
    <w:p>
      <w:pPr>
        <w:ind w:left="200" w:right="400" w:hanging="192"/>
        <w:spacing w:after="0" w:line="233" w:lineRule="auto"/>
        <w:tabs>
          <w:tab w:leader="none" w:pos="200"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The amounts set forth in this column represent the aggregate grant date fair value of option awards computed in accordance with FASB ASC Topic 718. The fair value of each option award is determined on the date of grant using the Black-Scholes option-pricing model. Option awards of 1,309 shares were made to non-employee directors in May 2023 with a Black-Scholes value of $38.22 per share. A prorated stock option award of 599 shares was made to Mr. Lamach in December 2023 with a Black-Scholes value of $38.28 per share. A more detailed discussion of the assumptions used in the valuation of option awards made in fiscal year 2023 may be found in Note 15 of the Notes to the Financial Statements in the Company’s Form 10-K for the year ended December 31, 2023.</w:t>
      </w:r>
    </w:p>
    <w:p>
      <w:pPr>
        <w:spacing w:after="0" w:line="64" w:lineRule="exact"/>
        <w:rPr>
          <w:rFonts w:ascii="Arial" w:cs="Arial" w:eastAsia="Arial" w:hAnsi="Arial"/>
          <w:sz w:val="16"/>
          <w:szCs w:val="16"/>
          <w:color w:val="auto"/>
          <w:vertAlign w:val="superscript"/>
        </w:rPr>
      </w:pPr>
    </w:p>
    <w:p>
      <w:pPr>
        <w:ind w:left="200" w:right="60" w:hanging="192"/>
        <w:spacing w:after="0" w:line="260" w:lineRule="auto"/>
        <w:tabs>
          <w:tab w:leader="none" w:pos="200" w:val="left"/>
        </w:tabs>
        <w:numPr>
          <w:ilvl w:val="0"/>
          <w:numId w:val="115"/>
        </w:numPr>
        <w:rPr>
          <w:rFonts w:ascii="Arial" w:cs="Arial" w:eastAsia="Arial" w:hAnsi="Arial"/>
          <w:sz w:val="15"/>
          <w:szCs w:val="15"/>
          <w:color w:val="auto"/>
          <w:vertAlign w:val="superscript"/>
        </w:rPr>
      </w:pPr>
      <w:r>
        <w:rPr>
          <w:rFonts w:ascii="Arial" w:cs="Arial" w:eastAsia="Arial" w:hAnsi="Arial"/>
          <w:sz w:val="12"/>
          <w:szCs w:val="12"/>
          <w:color w:val="auto"/>
        </w:rPr>
        <w:t>Amounts included in this column reflect above-market earnings on deferred compensation from pre-2006 deferrals. Amounts invested in cash under the Deferred Compensation Plan for Non-Employee Directors are credited with the same rate of interest that applies to executives under the Honeywell Salary and Incentive Award Deferral Plan for Selected Employees. Deferrals for the 2006 plan year and later earn a rate of interest, compounded daily, based on the Company’s 15-year cost of borrowing. This rate is subject to change annually and was 5.11% for 2023. Deferrals for the 2005 plan year earn a rate of interest, compounded daily, which was set at an above-market rate before the beginning of the plan year and is subject to change annually. Deferrals for the 2004 plan year and prior plan years earn a rate of interest, compounded daily, that was set at an above-market rate before the beginning of each plan year. This rate is fixed until the deferral is distributed.</w:t>
      </w:r>
    </w:p>
    <w:p>
      <w:pPr>
        <w:spacing w:after="0" w:line="20" w:lineRule="exact"/>
        <w:rPr>
          <w:rFonts w:ascii="Arial" w:cs="Arial" w:eastAsia="Arial" w:hAnsi="Arial"/>
          <w:sz w:val="15"/>
          <w:szCs w:val="15"/>
          <w:color w:val="auto"/>
          <w:vertAlign w:val="superscript"/>
        </w:rPr>
      </w:pPr>
    </w:p>
    <w:p>
      <w:pPr>
        <w:ind w:left="200" w:hanging="192"/>
        <w:spacing w:after="0"/>
        <w:tabs>
          <w:tab w:leader="none" w:pos="200"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Includes amounts described in “Charitable Match” and “Other Benefits” above. Mr. Davis is the sole director eligible for the grandfathered term life insurance.</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15"/>
        </w:numPr>
        <w:rPr>
          <w:rFonts w:ascii="Arial" w:cs="Arial" w:eastAsia="Arial" w:hAnsi="Arial"/>
          <w:sz w:val="16"/>
          <w:szCs w:val="16"/>
          <w:color w:val="auto"/>
          <w:vertAlign w:val="superscript"/>
        </w:rPr>
      </w:pPr>
      <w:r>
        <w:rPr>
          <w:rFonts w:ascii="Arial" w:cs="Arial" w:eastAsia="Arial" w:hAnsi="Arial"/>
          <w:sz w:val="13"/>
          <w:szCs w:val="13"/>
          <w:color w:val="auto"/>
        </w:rPr>
        <w:t>Mr. Lamach was appointed to the Board on December 1, 2023.</w:t>
      </w:r>
    </w:p>
    <w:p>
      <w:pPr>
        <w:sectPr>
          <w:pgSz w:w="11900" w:h="16838" w:orient="portrait"/>
          <w:cols w:equalWidth="0" w:num="1">
            <w:col w:w="11240"/>
          </w:cols>
          <w:pgMar w:left="320" w:top="230" w:right="3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DIRECTOR STOCK OWNERSHIP GUIDELINES</w:t>
      </w:r>
    </w:p>
    <w:p>
      <w:pPr>
        <w:spacing w:after="0" w:line="195" w:lineRule="exact"/>
        <w:rPr>
          <w:sz w:val="20"/>
          <w:szCs w:val="20"/>
          <w:color w:val="auto"/>
        </w:rPr>
      </w:pPr>
    </w:p>
    <w:p>
      <w:pPr>
        <w:ind w:left="20"/>
        <w:spacing w:after="0" w:line="259" w:lineRule="auto"/>
        <w:rPr>
          <w:sz w:val="20"/>
          <w:szCs w:val="20"/>
          <w:color w:val="auto"/>
        </w:rPr>
      </w:pPr>
      <w:r>
        <w:rPr>
          <w:rFonts w:ascii="Arial" w:cs="Arial" w:eastAsia="Arial" w:hAnsi="Arial"/>
          <w:sz w:val="16"/>
          <w:szCs w:val="16"/>
          <w:color w:val="auto"/>
        </w:rPr>
        <w:t>Director stock ownership guidelines have been adopted under which each non-employee director, while serving as a director of Honeywell, must hold common stock (including shares held personally, RSUs, and/or common stock equivalents) with a market value of at least five times the annual cash retainer (or $600,000). Directors have five years from election to the Board to attain the prescribed ownership threshold. All current directors (other than Ms. Lee, who joined the Board in January 2022, Mr. Watson who joined the Board in September 2022, and Mr. Lamach who joined the Board in December 2023) have attained the prescribed ownership threshold.</w:t>
      </w:r>
    </w:p>
    <w:p>
      <w:pPr>
        <w:spacing w:after="0" w:line="68" w:lineRule="exact"/>
        <w:rPr>
          <w:sz w:val="20"/>
          <w:szCs w:val="20"/>
          <w:color w:val="auto"/>
        </w:rPr>
      </w:pPr>
    </w:p>
    <w:p>
      <w:pPr>
        <w:ind w:left="20" w:right="120"/>
        <w:spacing w:after="0" w:line="275" w:lineRule="auto"/>
        <w:rPr>
          <w:sz w:val="20"/>
          <w:szCs w:val="20"/>
          <w:color w:val="auto"/>
        </w:rPr>
      </w:pPr>
      <w:r>
        <w:rPr>
          <w:rFonts w:ascii="Arial" w:cs="Arial" w:eastAsia="Arial" w:hAnsi="Arial"/>
          <w:sz w:val="16"/>
          <w:szCs w:val="16"/>
          <w:color w:val="auto"/>
        </w:rPr>
        <w:t>In addition, directors must hold net gain shares from option exercises for one year. “Net gain shares” means the number of shares obtained by exercising the option, less the number of shares the director sells to cover the exercise price of the options and pay applicable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b w:val="1"/>
          <w:bCs w:val="1"/>
          <w:color w:val="auto"/>
        </w:rPr>
        <w:t>On average, Honeywell non-employee directors held, as of December 31, 2023, common stock with a market value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-388620</wp:posOffset>
            </wp:positionV>
            <wp:extent cx="8255" cy="13373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1337310"/>
                    </a:xfrm>
                    <a:prstGeom prst="rect">
                      <a:avLst/>
                    </a:prstGeom>
                    <a:noFill/>
                  </pic:spPr>
                </pic:pic>
              </a:graphicData>
            </a:graphic>
          </wp:anchor>
        </w:drawing>
      </w:r>
    </w:p>
    <w:p>
      <w:pPr>
        <w:spacing w:after="0"/>
        <w:rPr>
          <w:sz w:val="20"/>
          <w:szCs w:val="20"/>
          <w:color w:val="auto"/>
        </w:rPr>
      </w:pPr>
      <w:r>
        <w:rPr>
          <w:rFonts w:ascii="Arial" w:cs="Arial" w:eastAsia="Arial" w:hAnsi="Arial"/>
          <w:sz w:val="63"/>
          <w:szCs w:val="63"/>
          <w:b w:val="1"/>
          <w:bCs w:val="1"/>
          <w:color w:val="D7282F"/>
        </w:rPr>
        <w:t>26x</w:t>
      </w:r>
    </w:p>
    <w:p>
      <w:pPr>
        <w:jc w:val="both"/>
        <w:ind w:right="260"/>
        <w:spacing w:after="0" w:line="270" w:lineRule="auto"/>
        <w:rPr>
          <w:sz w:val="20"/>
          <w:szCs w:val="20"/>
          <w:color w:val="auto"/>
        </w:rPr>
      </w:pPr>
      <w:r>
        <w:rPr>
          <w:rFonts w:ascii="Arial" w:cs="Arial" w:eastAsia="Arial" w:hAnsi="Arial"/>
          <w:sz w:val="16"/>
          <w:szCs w:val="16"/>
          <w:b w:val="1"/>
          <w:bCs w:val="1"/>
          <w:color w:val="auto"/>
        </w:rPr>
        <w:t>the annual cash retainer, reflecting their deep commitment to shareowner value creation.</w:t>
      </w:r>
    </w:p>
    <w:p>
      <w:pPr>
        <w:spacing w:after="0" w:line="343" w:lineRule="exact"/>
        <w:rPr>
          <w:sz w:val="20"/>
          <w:szCs w:val="20"/>
          <w:color w:val="auto"/>
        </w:rPr>
      </w:pPr>
    </w:p>
    <w:p>
      <w:pPr>
        <w:sectPr>
          <w:pgSz w:w="11900" w:h="16838" w:orient="portrait"/>
          <w:cols w:equalWidth="0" w:num="2">
            <w:col w:w="7440" w:space="460"/>
            <w:col w:w="3340"/>
          </w:cols>
          <w:pgMar w:left="320" w:top="230" w:right="339" w:bottom="1440" w:gutter="0" w:footer="0" w:header="0"/>
          <w:type w:val="continuous"/>
        </w:sectPr>
      </w:pP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45"/>
          <w:szCs w:val="45"/>
          <w:b w:val="1"/>
          <w:bCs w:val="1"/>
          <w:color w:val="auto"/>
        </w:rPr>
        <w:t>PROPOSAL 2:</w:t>
      </w:r>
    </w:p>
    <w:p>
      <w:pPr>
        <w:spacing w:after="0" w:line="69" w:lineRule="exact"/>
        <w:rPr>
          <w:sz w:val="20"/>
          <w:szCs w:val="20"/>
          <w:color w:val="auto"/>
        </w:rPr>
      </w:pPr>
    </w:p>
    <w:p>
      <w:pPr>
        <w:ind w:right="1780"/>
        <w:spacing w:after="0" w:line="277" w:lineRule="auto"/>
        <w:rPr>
          <w:sz w:val="20"/>
          <w:szCs w:val="20"/>
          <w:color w:val="auto"/>
        </w:rPr>
      </w:pPr>
      <w:r>
        <w:rPr>
          <w:rFonts w:ascii="Arial" w:cs="Arial" w:eastAsia="Arial" w:hAnsi="Arial"/>
          <w:sz w:val="45"/>
          <w:szCs w:val="45"/>
          <w:b w:val="1"/>
          <w:bCs w:val="1"/>
          <w:color w:val="auto"/>
        </w:rPr>
        <w:t>ADVISORY VOTE TO APPROVE EXECUTIVE COMPENSATION</w:t>
      </w:r>
    </w:p>
    <w:p>
      <w:pPr>
        <w:spacing w:after="0" w:line="30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 accordance with the requirements of Section 14A of the Exchange Act and the related rules of the SEC, Honeywell seeks a non-binding advisory vote from its shareowners to approve the compensation of its Named Executive Officers (NEOs) as described in the Compensation Discussion and Analysis section beginning on page 49 and the Executive Compensation Tables section beginning on page 81. This vote is commonly known as “Say-on-Pay,” and the Board has adopted a policy of providing for an annual Say-on-Pay vote. We anticipate that shareowners will next have the opportunity to vote on the frequency of future Say-on-Pay votes at the 2029 Annual Meeting of Shareowners.</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encourage you to read the Compensation Discussion and Analysis (CD&amp;A) and Executive Compensation Tables section to learn more about the Company’s executive compensation programs and policies. The Board believes its 2023 compensation decisions and our executive compensation programs align the interests of shareowners and executives by emphasizing variable, at-risk compensation largely tied to measurable performance goals utilizing an appropriate balance of near-term and long-term goals.</w:t>
      </w:r>
    </w:p>
    <w:p>
      <w:pPr>
        <w:spacing w:after="0" w:line="7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This vote is not intended to address a specific item of compensation, but rather our overall compensation policies and procedures related to the NEOs. Because the Say-on-Pay vote is advisory, it will not be binding upon the Board or the Management Development and Compensation Committee (MDCC). However, the Board and MDCC will consider the outcome of the vote and feedback from discussions with shareowners when considering future executive compensation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that shareowners vote in favor of the following resolution:</w:t>
      </w:r>
    </w:p>
    <w:p>
      <w:pPr>
        <w:spacing w:after="0" w:line="12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“RESOLVED, that the Company’s shareowners approve, on an advisory basis, the compensation of the Named Executive Officers, as disclosed in the Company’s Proxy Statement for the 2024 Annual Meeting of Shareowners pursuant to the executive compensation disclosure rules of the Securities and Exchange Commission, including the Compensation Discussion and Analysis, the Summary Compensation Table, and the other related tables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161925</wp:posOffset>
            </wp:positionV>
            <wp:extent cx="34290" cy="419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4290" cy="419735"/>
                    </a:xfrm>
                    <a:prstGeom prst="rect">
                      <a:avLst/>
                    </a:prstGeom>
                    <a:noFill/>
                  </pic:spPr>
                </pic:pic>
              </a:graphicData>
            </a:graphic>
          </wp:anchor>
        </w:drawing>
      </w:r>
    </w:p>
    <w:p>
      <w:pPr>
        <w:spacing w:after="0" w:line="237" w:lineRule="exact"/>
        <w:rPr>
          <w:sz w:val="20"/>
          <w:szCs w:val="20"/>
          <w:color w:val="auto"/>
        </w:rPr>
      </w:pPr>
    </w:p>
    <w:p>
      <w:pPr>
        <w:ind w:left="160" w:right="148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THIS PROPOSAL.</w:t>
      </w:r>
    </w:p>
    <w:p>
      <w:pPr>
        <w:spacing w:after="0" w:line="27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sz w:val="1"/>
          <w:szCs w:val="1"/>
          <w:color w:val="auto"/>
        </w:rPr>
        <w:drawing>
          <wp:inline distT="0" distB="0" distL="0" distR="0">
            <wp:extent cx="548640" cy="10287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3" w:right="379" w:bottom="1440" w:gutter="0" w:footer="0" w:header="0"/>
        </w:sectPr>
      </w:pPr>
    </w:p>
    <w:bookmarkStart w:id="53" w:name="page54"/>
    <w:bookmarkEnd w:id="53"/>
    <w:p>
      <w:pPr>
        <w:spacing w:after="0"/>
        <w:rPr>
          <w:sz w:val="20"/>
          <w:szCs w:val="20"/>
          <w:color w:val="auto"/>
        </w:rPr>
      </w:pPr>
      <w:r>
        <w:rPr>
          <w:rFonts w:ascii="Arial" w:cs="Arial" w:eastAsia="Arial" w:hAnsi="Arial"/>
          <w:sz w:val="44"/>
          <w:szCs w:val="44"/>
          <w:b w:val="1"/>
          <w:bCs w:val="1"/>
          <w:color w:val="auto"/>
        </w:rPr>
        <w:t>COMPENSATION DISCUSSION AND ANALYSIS</w:t>
      </w:r>
    </w:p>
    <w:p>
      <w:pPr>
        <w:sectPr>
          <w:pgSz w:w="11900" w:h="16838" w:orient="portrait"/>
          <w:cols w:equalWidth="0" w:num="1">
            <w:col w:w="11240"/>
          </w:cols>
          <w:pgMar w:left="320" w:top="1293"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TABLE OF CONTENTS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OUR NAMED EXECUTIVE OFFICERS (NEOs)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CEO TRANSITION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OUR COMPENSATION PROGRAM</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Philosophy and Approach</w:t>
      </w:r>
    </w:p>
    <w:p>
      <w:pPr>
        <w:spacing w:after="0" w:line="59" w:lineRule="exact"/>
        <w:rPr>
          <w:sz w:val="20"/>
          <w:szCs w:val="20"/>
          <w:color w:val="auto"/>
        </w:rPr>
      </w:pPr>
    </w:p>
    <w:p>
      <w:pPr>
        <w:ind w:left="20" w:right="1200"/>
        <w:spacing w:after="0" w:line="316" w:lineRule="auto"/>
        <w:rPr>
          <w:sz w:val="20"/>
          <w:szCs w:val="20"/>
          <w:color w:val="auto"/>
        </w:rPr>
      </w:pPr>
      <w:r>
        <w:rPr>
          <w:rFonts w:ascii="Arial" w:cs="Arial" w:eastAsia="Arial" w:hAnsi="Arial"/>
          <w:sz w:val="16"/>
          <w:szCs w:val="16"/>
          <w:color w:val="auto"/>
        </w:rPr>
        <w:t>Engagement with Shareowners on Compensation Compensation Practices and Policies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Program Design and Link to Business Strategy and Performance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Compensation Peer Group</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Performance Relative to Peers</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2023 COMPENSATION SUMMARY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2023 Total Target Direct Compensation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2023 Actual Total Annual Direct Compensation</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CEO COMPENSATION DECISIONS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2023 BASE SALARY DECISIONS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D7282F"/>
        </w:rPr>
        <w:t>2023 ANNUAL INCENTIVE COMPENSATION PLAN DECISIONS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ICP Formulaic Portion (80% of Target Award)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ICP Individual Qualitative Portion (15% of Target Award)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ICP ESG Portion (5% of Target Award)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Approved ICP Payout Amounts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50</w:t>
            </w:r>
          </w:p>
        </w:tc>
        <w:tc>
          <w:tcPr>
            <w:tcW w:w="5060" w:type="dxa"/>
            <w:vAlign w:val="bottom"/>
          </w:tcPr>
          <w:p>
            <w:pPr>
              <w:ind w:left="180"/>
              <w:spacing w:after="0"/>
              <w:rPr>
                <w:sz w:val="20"/>
                <w:szCs w:val="20"/>
                <w:color w:val="auto"/>
              </w:rPr>
            </w:pPr>
            <w:r>
              <w:rPr>
                <w:rFonts w:ascii="Arial" w:cs="Arial" w:eastAsia="Arial" w:hAnsi="Arial"/>
                <w:sz w:val="16"/>
                <w:szCs w:val="16"/>
                <w:b w:val="1"/>
                <w:bCs w:val="1"/>
                <w:color w:val="D7282F"/>
              </w:rPr>
              <w:t>2023 LONG-TERM INCENTIVE COMPENSATION DECISIONS</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D7282F"/>
              </w:rPr>
              <w:t>68</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50</w:t>
            </w:r>
          </w:p>
        </w:tc>
        <w:tc>
          <w:tcPr>
            <w:tcW w:w="5060" w:type="dxa"/>
            <w:vAlign w:val="bottom"/>
          </w:tcPr>
          <w:p>
            <w:pPr>
              <w:ind w:left="180"/>
              <w:spacing w:after="0"/>
              <w:rPr>
                <w:sz w:val="20"/>
                <w:szCs w:val="20"/>
                <w:color w:val="auto"/>
              </w:rPr>
            </w:pPr>
            <w:r>
              <w:rPr>
                <w:rFonts w:ascii="Arial" w:cs="Arial" w:eastAsia="Arial" w:hAnsi="Arial"/>
                <w:sz w:val="16"/>
                <w:szCs w:val="16"/>
                <w:color w:val="auto"/>
              </w:rPr>
              <w:t>Total LTI Value</w:t>
            </w: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50</w:t>
            </w:r>
          </w:p>
        </w:tc>
        <w:tc>
          <w:tcPr>
            <w:tcW w:w="5060" w:type="dxa"/>
            <w:vAlign w:val="bottom"/>
          </w:tcPr>
          <w:p>
            <w:pPr>
              <w:ind w:left="180"/>
              <w:spacing w:after="0"/>
              <w:rPr>
                <w:sz w:val="20"/>
                <w:szCs w:val="20"/>
                <w:color w:val="auto"/>
              </w:rPr>
            </w:pPr>
            <w:r>
              <w:rPr>
                <w:rFonts w:ascii="Arial" w:cs="Arial" w:eastAsia="Arial" w:hAnsi="Arial"/>
                <w:sz w:val="16"/>
                <w:szCs w:val="16"/>
                <w:color w:val="auto"/>
              </w:rPr>
              <w:t>Performance Stock Units</w:t>
            </w:r>
          </w:p>
        </w:tc>
        <w:tc>
          <w:tcPr>
            <w:tcW w:w="48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5"/>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50</w:t>
            </w:r>
          </w:p>
        </w:tc>
        <w:tc>
          <w:tcPr>
            <w:tcW w:w="5060" w:type="dxa"/>
            <w:vAlign w:val="bottom"/>
          </w:tcPr>
          <w:p>
            <w:pPr>
              <w:ind w:left="180"/>
              <w:spacing w:after="0"/>
              <w:rPr>
                <w:sz w:val="20"/>
                <w:szCs w:val="20"/>
                <w:color w:val="auto"/>
              </w:rPr>
            </w:pPr>
            <w:r>
              <w:rPr>
                <w:rFonts w:ascii="Arial" w:cs="Arial" w:eastAsia="Arial" w:hAnsi="Arial"/>
                <w:sz w:val="16"/>
                <w:szCs w:val="16"/>
                <w:color w:val="auto"/>
              </w:rPr>
              <w:t>2023-2025 Performance Plan Awards to NEOs</w:t>
            </w:r>
          </w:p>
        </w:tc>
        <w:tc>
          <w:tcPr>
            <w:tcW w:w="4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52</w:t>
            </w:r>
          </w:p>
        </w:tc>
        <w:tc>
          <w:tcPr>
            <w:tcW w:w="5060" w:type="dxa"/>
            <w:vAlign w:val="bottom"/>
          </w:tcPr>
          <w:p>
            <w:pPr>
              <w:ind w:left="180"/>
              <w:spacing w:after="0"/>
              <w:rPr>
                <w:sz w:val="20"/>
                <w:szCs w:val="20"/>
                <w:color w:val="auto"/>
              </w:rPr>
            </w:pPr>
            <w:r>
              <w:rPr>
                <w:rFonts w:ascii="Arial" w:cs="Arial" w:eastAsia="Arial" w:hAnsi="Arial"/>
                <w:sz w:val="16"/>
                <w:szCs w:val="16"/>
                <w:color w:val="auto"/>
              </w:rPr>
              <w:t>2021-2023 Performance Plan Assessment</w:t>
            </w:r>
          </w:p>
        </w:tc>
        <w:tc>
          <w:tcPr>
            <w:tcW w:w="48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53</w:t>
            </w:r>
          </w:p>
        </w:tc>
        <w:tc>
          <w:tcPr>
            <w:tcW w:w="5060" w:type="dxa"/>
            <w:vAlign w:val="bottom"/>
          </w:tcPr>
          <w:p>
            <w:pPr>
              <w:ind w:left="180"/>
              <w:spacing w:after="0"/>
              <w:rPr>
                <w:sz w:val="20"/>
                <w:szCs w:val="20"/>
                <w:color w:val="auto"/>
              </w:rPr>
            </w:pPr>
            <w:r>
              <w:rPr>
                <w:rFonts w:ascii="Arial" w:cs="Arial" w:eastAsia="Arial" w:hAnsi="Arial"/>
                <w:sz w:val="16"/>
                <w:szCs w:val="16"/>
                <w:color w:val="auto"/>
              </w:rPr>
              <w:t>Stock Options</w:t>
            </w: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54</w:t>
            </w:r>
          </w:p>
        </w:tc>
        <w:tc>
          <w:tcPr>
            <w:tcW w:w="5060" w:type="dxa"/>
            <w:vAlign w:val="bottom"/>
          </w:tcPr>
          <w:p>
            <w:pPr>
              <w:ind w:left="180"/>
              <w:spacing w:after="0"/>
              <w:rPr>
                <w:sz w:val="20"/>
                <w:szCs w:val="20"/>
                <w:color w:val="auto"/>
              </w:rPr>
            </w:pPr>
            <w:r>
              <w:rPr>
                <w:rFonts w:ascii="Arial" w:cs="Arial" w:eastAsia="Arial" w:hAnsi="Arial"/>
                <w:sz w:val="16"/>
                <w:szCs w:val="16"/>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55</w:t>
            </w:r>
          </w:p>
        </w:tc>
        <w:tc>
          <w:tcPr>
            <w:tcW w:w="5060" w:type="dxa"/>
            <w:vAlign w:val="bottom"/>
            <w:vMerge w:val="restart"/>
          </w:tcPr>
          <w:p>
            <w:pPr>
              <w:ind w:left="180"/>
              <w:spacing w:after="0"/>
              <w:rPr>
                <w:sz w:val="20"/>
                <w:szCs w:val="20"/>
                <w:color w:val="auto"/>
              </w:rPr>
            </w:pPr>
            <w:r>
              <w:rPr>
                <w:rFonts w:ascii="Arial" w:cs="Arial" w:eastAsia="Arial" w:hAnsi="Arial"/>
                <w:sz w:val="16"/>
                <w:szCs w:val="16"/>
                <w:b w:val="1"/>
                <w:bCs w:val="1"/>
                <w:color w:val="D7282F"/>
              </w:rPr>
              <w:t>OTHER COMPENSATION AND BENEFIT PROGRAMS</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D7282F"/>
              </w:rPr>
              <w:t>77</w:t>
            </w:r>
          </w:p>
        </w:tc>
        <w:tc>
          <w:tcPr>
            <w:tcW w:w="0" w:type="dxa"/>
            <w:vAlign w:val="bottom"/>
          </w:tcPr>
          <w:p>
            <w:pPr>
              <w:spacing w:after="0"/>
              <w:rPr>
                <w:sz w:val="1"/>
                <w:szCs w:val="1"/>
                <w:color w:val="auto"/>
              </w:rPr>
            </w:pPr>
          </w:p>
        </w:tc>
      </w:tr>
      <w:tr>
        <w:trPr>
          <w:trHeight w:val="116"/>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56</w:t>
            </w:r>
          </w:p>
        </w:tc>
        <w:tc>
          <w:tcPr>
            <w:tcW w:w="50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40" w:type="dxa"/>
            <w:vAlign w:val="bottom"/>
            <w:vMerge w:val="continue"/>
          </w:tcPr>
          <w:p>
            <w:pPr>
              <w:spacing w:after="0"/>
              <w:rPr>
                <w:sz w:val="11"/>
                <w:szCs w:val="11"/>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Retirement Plans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5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1"/>
        </w:trPr>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D7282F"/>
                <w:w w:val="89"/>
              </w:rPr>
              <w:t>58</w:t>
            </w:r>
          </w:p>
        </w:tc>
        <w:tc>
          <w:tcPr>
            <w:tcW w:w="5060" w:type="dxa"/>
            <w:vAlign w:val="bottom"/>
          </w:tcPr>
          <w:p>
            <w:pPr>
              <w:ind w:left="180"/>
              <w:spacing w:after="0"/>
              <w:rPr>
                <w:sz w:val="20"/>
                <w:szCs w:val="20"/>
                <w:color w:val="auto"/>
              </w:rPr>
            </w:pPr>
            <w:r>
              <w:rPr>
                <w:rFonts w:ascii="Arial" w:cs="Arial" w:eastAsia="Arial" w:hAnsi="Arial"/>
                <w:sz w:val="16"/>
                <w:szCs w:val="16"/>
                <w:color w:val="auto"/>
              </w:rPr>
              <w:t>Nonqualified Deferred Compensation Plans</w:t>
            </w: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55"/>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59</w:t>
            </w:r>
          </w:p>
        </w:tc>
        <w:tc>
          <w:tcPr>
            <w:tcW w:w="5060" w:type="dxa"/>
            <w:vAlign w:val="bottom"/>
          </w:tcPr>
          <w:p>
            <w:pPr>
              <w:ind w:left="180"/>
              <w:spacing w:after="0"/>
              <w:rPr>
                <w:sz w:val="20"/>
                <w:szCs w:val="20"/>
                <w:color w:val="auto"/>
              </w:rPr>
            </w:pPr>
            <w:r>
              <w:rPr>
                <w:rFonts w:ascii="Arial" w:cs="Arial" w:eastAsia="Arial" w:hAnsi="Arial"/>
                <w:sz w:val="16"/>
                <w:szCs w:val="16"/>
                <w:color w:val="auto"/>
              </w:rPr>
              <w:t>Benefits and Perquisites</w:t>
            </w: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43"/>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59</w:t>
            </w:r>
          </w:p>
        </w:tc>
        <w:tc>
          <w:tcPr>
            <w:tcW w:w="5060" w:type="dxa"/>
            <w:vAlign w:val="bottom"/>
            <w:vMerge w:val="restart"/>
          </w:tcPr>
          <w:p>
            <w:pPr>
              <w:ind w:left="180"/>
              <w:spacing w:after="0"/>
              <w:rPr>
                <w:sz w:val="20"/>
                <w:szCs w:val="20"/>
                <w:color w:val="auto"/>
              </w:rPr>
            </w:pPr>
            <w:r>
              <w:rPr>
                <w:rFonts w:ascii="Arial" w:cs="Arial" w:eastAsia="Arial" w:hAnsi="Arial"/>
                <w:sz w:val="16"/>
                <w:szCs w:val="16"/>
                <w:b w:val="1"/>
                <w:bCs w:val="1"/>
                <w:color w:val="D7282F"/>
              </w:rPr>
              <w:t>RISK OVERSIGHT CONSIDERATIONS</w:t>
            </w: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D7282F"/>
              </w:rPr>
              <w:t>77</w:t>
            </w:r>
          </w:p>
        </w:tc>
        <w:tc>
          <w:tcPr>
            <w:tcW w:w="0" w:type="dxa"/>
            <w:vAlign w:val="bottom"/>
          </w:tcPr>
          <w:p>
            <w:pPr>
              <w:spacing w:after="0"/>
              <w:rPr>
                <w:sz w:val="1"/>
                <w:szCs w:val="1"/>
                <w:color w:val="auto"/>
              </w:rPr>
            </w:pPr>
          </w:p>
        </w:tc>
      </w:tr>
      <w:tr>
        <w:trPr>
          <w:trHeight w:val="76"/>
        </w:trPr>
        <w:tc>
          <w:tcPr>
            <w:tcW w:w="340" w:type="dxa"/>
            <w:vAlign w:val="bottom"/>
          </w:tcPr>
          <w:p>
            <w:pPr>
              <w:spacing w:after="0"/>
              <w:rPr>
                <w:sz w:val="6"/>
                <w:szCs w:val="6"/>
                <w:color w:val="auto"/>
              </w:rPr>
            </w:pPr>
          </w:p>
        </w:tc>
        <w:tc>
          <w:tcPr>
            <w:tcW w:w="506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D7282F"/>
                <w:w w:val="89"/>
              </w:rPr>
              <w:t>60</w:t>
            </w:r>
          </w:p>
        </w:tc>
        <w:tc>
          <w:tcPr>
            <w:tcW w:w="5060" w:type="dxa"/>
            <w:vAlign w:val="bottom"/>
          </w:tcPr>
          <w:p>
            <w:pPr>
              <w:ind w:left="180"/>
              <w:spacing w:after="0"/>
              <w:rPr>
                <w:sz w:val="20"/>
                <w:szCs w:val="20"/>
                <w:color w:val="auto"/>
              </w:rPr>
            </w:pPr>
            <w:r>
              <w:rPr>
                <w:rFonts w:ascii="Arial" w:cs="Arial" w:eastAsia="Arial" w:hAnsi="Arial"/>
                <w:sz w:val="16"/>
                <w:szCs w:val="16"/>
                <w:color w:val="auto"/>
              </w:rPr>
              <w:t>Stock Ownership Guidelines</w:t>
            </w:r>
          </w:p>
        </w:tc>
        <w:tc>
          <w:tcPr>
            <w:tcW w:w="4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89"/>
        </w:trPr>
        <w:tc>
          <w:tcPr>
            <w:tcW w:w="340" w:type="dxa"/>
            <w:vAlign w:val="bottom"/>
            <w:vMerge w:val="continue"/>
          </w:tcPr>
          <w:p>
            <w:pPr>
              <w:spacing w:after="0"/>
              <w:rPr>
                <w:sz w:val="7"/>
                <w:szCs w:val="7"/>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Named Executive Officers' Stock Ownership</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54"/>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D7282F"/>
                <w:w w:val="89"/>
              </w:rPr>
              <w:t>60</w:t>
            </w:r>
          </w:p>
        </w:tc>
        <w:tc>
          <w:tcPr>
            <w:tcW w:w="50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340" w:type="dxa"/>
            <w:vAlign w:val="bottom"/>
            <w:vMerge w:val="continue"/>
          </w:tcPr>
          <w:p>
            <w:pPr>
              <w:spacing w:after="0"/>
              <w:rPr>
                <w:sz w:val="7"/>
                <w:szCs w:val="7"/>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Recoupment/Clawback</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54"/>
        </w:trPr>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D7282F"/>
                <w:w w:val="89"/>
              </w:rPr>
              <w:t>60</w:t>
            </w:r>
          </w:p>
        </w:tc>
        <w:tc>
          <w:tcPr>
            <w:tcW w:w="50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340" w:type="dxa"/>
            <w:vAlign w:val="bottom"/>
            <w:vMerge w:val="continue"/>
          </w:tcPr>
          <w:p>
            <w:pPr>
              <w:spacing w:after="0"/>
              <w:rPr>
                <w:sz w:val="7"/>
                <w:szCs w:val="7"/>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Tax Deductibility of Executive Compensation</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54"/>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61</w:t>
            </w:r>
          </w:p>
        </w:tc>
        <w:tc>
          <w:tcPr>
            <w:tcW w:w="50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060" w:type="dxa"/>
            <w:vAlign w:val="bottom"/>
            <w:vMerge w:val="restart"/>
          </w:tcPr>
          <w:p>
            <w:pPr>
              <w:ind w:left="180"/>
              <w:spacing w:after="0"/>
              <w:rPr>
                <w:sz w:val="20"/>
                <w:szCs w:val="20"/>
                <w:color w:val="auto"/>
              </w:rPr>
            </w:pPr>
            <w:r>
              <w:rPr>
                <w:rFonts w:ascii="Arial" w:cs="Arial" w:eastAsia="Arial" w:hAnsi="Arial"/>
                <w:sz w:val="16"/>
                <w:szCs w:val="16"/>
                <w:color w:val="auto"/>
              </w:rPr>
              <w:t>Pledging and Hedging Transactions in Company Securities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2"/>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63</w:t>
            </w:r>
          </w:p>
        </w:tc>
        <w:tc>
          <w:tcPr>
            <w:tcW w:w="5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5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340" w:type="dxa"/>
            <w:vAlign w:val="bottom"/>
          </w:tcPr>
          <w:p>
            <w:pPr>
              <w:jc w:val="right"/>
              <w:ind w:right="79"/>
              <w:spacing w:after="0"/>
              <w:rPr>
                <w:sz w:val="20"/>
                <w:szCs w:val="20"/>
                <w:color w:val="auto"/>
              </w:rPr>
            </w:pPr>
            <w:r>
              <w:rPr>
                <w:rFonts w:ascii="Arial" w:cs="Arial" w:eastAsia="Arial" w:hAnsi="Arial"/>
                <w:sz w:val="16"/>
                <w:szCs w:val="16"/>
                <w:color w:val="auto"/>
                <w:w w:val="89"/>
              </w:rPr>
              <w:t>67</w:t>
            </w:r>
          </w:p>
        </w:tc>
        <w:tc>
          <w:tcPr>
            <w:tcW w:w="5060" w:type="dxa"/>
            <w:vAlign w:val="bottom"/>
          </w:tcPr>
          <w:p>
            <w:pPr>
              <w:ind w:left="180"/>
              <w:spacing w:after="0"/>
              <w:rPr>
                <w:sz w:val="20"/>
                <w:szCs w:val="20"/>
                <w:color w:val="auto"/>
              </w:rPr>
            </w:pPr>
            <w:r>
              <w:rPr>
                <w:rFonts w:ascii="Arial" w:cs="Arial" w:eastAsia="Arial" w:hAnsi="Arial"/>
                <w:sz w:val="16"/>
                <w:szCs w:val="16"/>
                <w:b w:val="1"/>
                <w:bCs w:val="1"/>
                <w:color w:val="D7282F"/>
              </w:rPr>
              <w:t>MANAGEMENT DEVELOPMENT AND COMPENSATION</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D7282F"/>
              </w:rPr>
              <w:t>80</w:t>
            </w:r>
          </w:p>
        </w:tc>
        <w:tc>
          <w:tcPr>
            <w:tcW w:w="0" w:type="dxa"/>
            <w:vAlign w:val="bottom"/>
          </w:tcPr>
          <w:p>
            <w:pPr>
              <w:spacing w:after="0"/>
              <w:rPr>
                <w:sz w:val="1"/>
                <w:szCs w:val="1"/>
                <w:color w:val="auto"/>
              </w:rPr>
            </w:pPr>
          </w:p>
        </w:tc>
      </w:tr>
      <w:tr>
        <w:trPr>
          <w:trHeight w:val="223"/>
        </w:trPr>
        <w:tc>
          <w:tcPr>
            <w:tcW w:w="34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67</w:t>
            </w:r>
          </w:p>
        </w:tc>
        <w:tc>
          <w:tcPr>
            <w:tcW w:w="5060" w:type="dxa"/>
            <w:vAlign w:val="bottom"/>
          </w:tcPr>
          <w:p>
            <w:pPr>
              <w:ind w:left="180"/>
              <w:spacing w:after="0"/>
              <w:rPr>
                <w:sz w:val="20"/>
                <w:szCs w:val="20"/>
                <w:color w:val="auto"/>
              </w:rPr>
            </w:pPr>
            <w:r>
              <w:rPr>
                <w:rFonts w:ascii="Arial" w:cs="Arial" w:eastAsia="Arial" w:hAnsi="Arial"/>
                <w:sz w:val="16"/>
                <w:szCs w:val="16"/>
                <w:b w:val="1"/>
                <w:bCs w:val="1"/>
                <w:color w:val="D7282F"/>
              </w:rPr>
              <w:t>COMMITTEE REPORT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340" w:type="dxa"/>
            <w:vAlign w:val="bottom"/>
            <w:vMerge w:val="continue"/>
          </w:tcPr>
          <w:p>
            <w:pPr>
              <w:spacing w:after="0"/>
              <w:rPr>
                <w:sz w:val="11"/>
                <w:szCs w:val="11"/>
                <w:color w:val="auto"/>
              </w:rPr>
            </w:pPr>
          </w:p>
        </w:tc>
        <w:tc>
          <w:tcPr>
            <w:tcW w:w="5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06" w:lineRule="exact"/>
        <w:rPr>
          <w:sz w:val="20"/>
          <w:szCs w:val="20"/>
          <w:color w:val="auto"/>
        </w:rPr>
      </w:pPr>
    </w:p>
    <w:p>
      <w:pPr>
        <w:sectPr>
          <w:pgSz w:w="11900" w:h="16838" w:orient="portrait"/>
          <w:cols w:equalWidth="0" w:num="2">
            <w:col w:w="4800" w:space="420"/>
            <w:col w:w="6020"/>
          </w:cols>
          <w:pgMar w:left="320" w:top="1293" w:right="339" w:bottom="1440" w:gutter="0" w:footer="0" w:header="0"/>
          <w:type w:val="continuous"/>
        </w:sectPr>
      </w:pPr>
    </w:p>
    <w:p>
      <w:pPr>
        <w:ind w:right="220"/>
        <w:spacing w:after="0" w:line="266" w:lineRule="auto"/>
        <w:rPr>
          <w:sz w:val="20"/>
          <w:szCs w:val="20"/>
          <w:color w:val="auto"/>
        </w:rPr>
      </w:pPr>
      <w:r>
        <w:rPr>
          <w:rFonts w:ascii="Arial" w:cs="Arial" w:eastAsia="Arial" w:hAnsi="Arial"/>
          <w:sz w:val="12"/>
          <w:szCs w:val="12"/>
          <w:i w:val="1"/>
          <w:iCs w:val="1"/>
          <w:color w:val="auto"/>
        </w:rPr>
        <w:t>This Proxy Statement, including the Compensation Discussion and Analysis, contains financial measures presented on a non-GAAP basis. Honeywell’s non-GAAP financial measures used in this document are as follows: segment profit, on an overall Honeywell basis; segment profit margin, on an overall Honeywell basis; organic sales growth; free cash flow; adjusted free cash flow; free cash flow margin; adjusted free cash flow margin; incremental margin; adjusted earnings per share and adjusted earnings per share excluding pension headwind; adjusted net income attributable to Honeywell; and return on invested capital, if and as noted in Appendix A. Other than references to reported earnings per share, all references to earnings per share in this document are so adjusted. Certain metrics presented on a non-GAAP basis represent the impact of adjusting items net of tax. The tax-effect for adjusting items is determined individually and on a case-by-case basis. The respective tax rates applied when adjusting earnings per share for these items are identified in the reconciliations presented in Appendix A. Management believes that, when considered together with reported amounts, these measures are useful to investors and management in understanding our ongoing operations and in the analysis of ongoing operating trends. These metrics should be considered in addition to, and not as replacements for, the most comparable GAAP measure. Other companies may define and calculate such measures differently, which may limit the usefulness of such measures for comparative purposes. Refer to Appendix A for reconciliations of non-GAAP financial measures to the most directly comparable GAAP measures.</w:t>
      </w:r>
    </w:p>
    <w:p>
      <w:pPr>
        <w:sectPr>
          <w:pgSz w:w="11900" w:h="16838" w:orient="portrait"/>
          <w:cols w:equalWidth="0" w:num="1">
            <w:col w:w="11240"/>
          </w:cols>
          <w:pgMar w:left="320" w:top="1293" w:right="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DEFINITIONS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Peer Median Reflects Compensation Peer Group Median</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Peer Median Net Income, EPS Reflect Adjusted (Non-GAAP) Results</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ROIC = Adjusted Net Income Before Interest ÷ Net Investment (2-Point Average)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ROE = Adjusted Net Income ÷ Total Shareowner Equity (2-Point Average)</w:t>
      </w:r>
    </w:p>
    <w:p>
      <w:pPr>
        <w:spacing w:after="0" w:line="67" w:lineRule="exact"/>
        <w:rPr>
          <w:sz w:val="20"/>
          <w:szCs w:val="20"/>
          <w:color w:val="auto"/>
        </w:rPr>
      </w:pPr>
    </w:p>
    <w:p>
      <w:pPr>
        <w:ind w:left="360" w:hanging="323"/>
        <w:spacing w:after="0" w:line="241" w:lineRule="auto"/>
        <w:rPr>
          <w:sz w:val="20"/>
          <w:szCs w:val="20"/>
          <w:color w:val="auto"/>
        </w:rPr>
      </w:pPr>
      <w:r>
        <w:rPr>
          <w:rFonts w:ascii="Arial" w:cs="Arial" w:eastAsia="Arial" w:hAnsi="Arial"/>
          <w:sz w:val="13"/>
          <w:szCs w:val="13"/>
          <w:i w:val="1"/>
          <w:iCs w:val="1"/>
          <w:color w:val="auto"/>
        </w:rPr>
        <w:t>ROI = Adjusted Net Income Before Interest</w:t>
      </w:r>
      <w:r>
        <w:rPr>
          <w:rFonts w:ascii="Arial" w:cs="Arial" w:eastAsia="Arial" w:hAnsi="Arial"/>
          <w:sz w:val="16"/>
          <w:szCs w:val="16"/>
          <w:i w:val="1"/>
          <w:iCs w:val="1"/>
          <w:color w:val="auto"/>
          <w:vertAlign w:val="superscript"/>
        </w:rPr>
        <w:t>(2)</w:t>
      </w:r>
      <w:r>
        <w:rPr>
          <w:rFonts w:ascii="Arial" w:cs="Arial" w:eastAsia="Arial" w:hAnsi="Arial"/>
          <w:sz w:val="13"/>
          <w:szCs w:val="13"/>
          <w:i w:val="1"/>
          <w:iCs w:val="1"/>
          <w:color w:val="auto"/>
        </w:rPr>
        <w:t xml:space="preserve"> ÷ (Total Shareowner Equity + Net Debt</w:t>
      </w:r>
      <w:r>
        <w:rPr>
          <w:rFonts w:ascii="Arial" w:cs="Arial" w:eastAsia="Arial" w:hAnsi="Arial"/>
          <w:sz w:val="16"/>
          <w:szCs w:val="16"/>
          <w:i w:val="1"/>
          <w:iCs w:val="1"/>
          <w:color w:val="auto"/>
          <w:vertAlign w:val="superscript"/>
        </w:rPr>
        <w:t>(3)</w:t>
      </w:r>
      <w:r>
        <w:rPr>
          <w:rFonts w:ascii="Arial" w:cs="Arial" w:eastAsia="Arial" w:hAnsi="Arial"/>
          <w:sz w:val="13"/>
          <w:szCs w:val="13"/>
          <w:i w:val="1"/>
          <w:iCs w:val="1"/>
          <w:color w:val="auto"/>
        </w:rPr>
        <w:t xml:space="preserve"> + Deferred Income Tax Assets - Deferred Income Tax Liabilities)</w:t>
      </w:r>
      <w:r>
        <w:rPr>
          <w:rFonts w:ascii="Arial" w:cs="Arial" w:eastAsia="Arial" w:hAnsi="Arial"/>
          <w:sz w:val="16"/>
          <w:szCs w:val="16"/>
          <w:i w:val="1"/>
          <w:iCs w:val="1"/>
          <w:color w:val="auto"/>
          <w:vertAlign w:val="superscript"/>
        </w:rPr>
        <w:t>(2)</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ROA = Adjusted Net Income ÷ Total Assets (2-Point Average)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right="2160"/>
        <w:spacing w:after="0" w:line="272" w:lineRule="auto"/>
        <w:rPr>
          <w:sz w:val="20"/>
          <w:szCs w:val="20"/>
          <w:color w:val="auto"/>
        </w:rPr>
      </w:pPr>
      <w:r>
        <w:rPr>
          <w:rFonts w:ascii="Arial" w:cs="Arial" w:eastAsia="Arial" w:hAnsi="Arial"/>
          <w:sz w:val="13"/>
          <w:szCs w:val="13"/>
          <w:i w:val="1"/>
          <w:iCs w:val="1"/>
          <w:color w:val="auto"/>
        </w:rPr>
        <w:t>Adjusted Net Income Before Interest = Adjusted Net Income + After-Tax Interest</w:t>
      </w:r>
      <w:r>
        <w:rPr>
          <w:rFonts w:ascii="Arial" w:cs="Arial" w:eastAsia="Arial" w:hAnsi="Arial"/>
          <w:sz w:val="16"/>
          <w:szCs w:val="16"/>
          <w:i w:val="1"/>
          <w:iCs w:val="1"/>
          <w:color w:val="auto"/>
          <w:vertAlign w:val="superscript"/>
        </w:rPr>
        <w:t>(1)</w:t>
      </w:r>
    </w:p>
    <w:p>
      <w:pPr>
        <w:spacing w:after="0"/>
        <w:rPr>
          <w:sz w:val="20"/>
          <w:szCs w:val="20"/>
          <w:color w:val="auto"/>
        </w:rPr>
      </w:pPr>
      <w:r>
        <w:rPr>
          <w:rFonts w:ascii="Arial" w:cs="Arial" w:eastAsia="Arial" w:hAnsi="Arial"/>
          <w:sz w:val="13"/>
          <w:szCs w:val="13"/>
          <w:i w:val="1"/>
          <w:iCs w:val="1"/>
          <w:color w:val="auto"/>
        </w:rPr>
        <w:t>Net Investment = Book Value of Equity + Total Debt</w:t>
      </w:r>
    </w:p>
    <w:p>
      <w:pPr>
        <w:spacing w:after="0" w:line="67" w:lineRule="exact"/>
        <w:rPr>
          <w:sz w:val="20"/>
          <w:szCs w:val="20"/>
          <w:color w:val="auto"/>
        </w:rPr>
      </w:pPr>
    </w:p>
    <w:p>
      <w:pPr>
        <w:ind w:left="340" w:right="140" w:hanging="323"/>
        <w:spacing w:after="0" w:line="261" w:lineRule="auto"/>
        <w:rPr>
          <w:sz w:val="20"/>
          <w:szCs w:val="20"/>
          <w:color w:val="auto"/>
        </w:rPr>
      </w:pPr>
      <w:r>
        <w:rPr>
          <w:rFonts w:ascii="Arial" w:cs="Arial" w:eastAsia="Arial" w:hAnsi="Arial"/>
          <w:sz w:val="13"/>
          <w:szCs w:val="13"/>
          <w:i w:val="1"/>
          <w:iCs w:val="1"/>
          <w:color w:val="auto"/>
        </w:rPr>
        <w:t>Net Debt = Commercial Paper and Other Short-term Borrowings + Current Maturities of Long-term Debt + Long-term Debt - Cash and Cash Equivalents - Short-term Investments</w:t>
      </w:r>
    </w:p>
    <w:p>
      <w:pPr>
        <w:spacing w:after="0" w:line="343" w:lineRule="exact"/>
        <w:rPr>
          <w:sz w:val="20"/>
          <w:szCs w:val="20"/>
          <w:color w:val="auto"/>
        </w:rPr>
      </w:pPr>
    </w:p>
    <w:p>
      <w:pPr>
        <w:ind w:left="200" w:hanging="192"/>
        <w:spacing w:after="0"/>
        <w:tabs>
          <w:tab w:leader="none" w:pos="200" w:val="left"/>
        </w:tabs>
        <w:numPr>
          <w:ilvl w:val="0"/>
          <w:numId w:val="1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Interest expense tax effected for effective tax rates.</w:t>
      </w:r>
    </w:p>
    <w:p>
      <w:pPr>
        <w:spacing w:after="0" w:line="35" w:lineRule="exact"/>
        <w:rPr>
          <w:rFonts w:ascii="Arial" w:cs="Arial" w:eastAsia="Arial" w:hAnsi="Arial"/>
          <w:sz w:val="16"/>
          <w:szCs w:val="16"/>
          <w:i w:val="1"/>
          <w:iCs w:val="1"/>
          <w:color w:val="auto"/>
          <w:vertAlign w:val="superscript"/>
        </w:rPr>
      </w:pPr>
    </w:p>
    <w:p>
      <w:pPr>
        <w:ind w:left="200" w:hanging="192"/>
        <w:spacing w:after="0" w:line="200" w:lineRule="auto"/>
        <w:tabs>
          <w:tab w:leader="none" w:pos="200" w:val="left"/>
        </w:tabs>
        <w:numPr>
          <w:ilvl w:val="0"/>
          <w:numId w:val="1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Excludes the impact of corporate transactions during the period and the impact of pensions.</w:t>
      </w:r>
    </w:p>
    <w:p>
      <w:pPr>
        <w:spacing w:after="0" w:line="35" w:lineRule="exact"/>
        <w:rPr>
          <w:rFonts w:ascii="Arial" w:cs="Arial" w:eastAsia="Arial" w:hAnsi="Arial"/>
          <w:sz w:val="16"/>
          <w:szCs w:val="16"/>
          <w:i w:val="1"/>
          <w:iCs w:val="1"/>
          <w:color w:val="auto"/>
          <w:vertAlign w:val="superscript"/>
        </w:rPr>
      </w:pPr>
    </w:p>
    <w:p>
      <w:pPr>
        <w:ind w:left="200" w:hanging="192"/>
        <w:spacing w:after="0" w:line="200" w:lineRule="auto"/>
        <w:tabs>
          <w:tab w:leader="none" w:pos="200" w:val="left"/>
        </w:tabs>
        <w:numPr>
          <w:ilvl w:val="0"/>
          <w:numId w:val="116"/>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Calculated on a 13-month rolling average.</w:t>
      </w:r>
    </w:p>
    <w:p>
      <w:pPr>
        <w:spacing w:after="0" w:line="200" w:lineRule="exact"/>
        <w:rPr>
          <w:sz w:val="20"/>
          <w:szCs w:val="20"/>
          <w:color w:val="auto"/>
        </w:rPr>
      </w:pPr>
    </w:p>
    <w:p>
      <w:pPr>
        <w:sectPr>
          <w:pgSz w:w="11900" w:h="16838" w:orient="portrait"/>
          <w:cols w:equalWidth="0" w:num="2">
            <w:col w:w="5440" w:space="180"/>
            <w:col w:w="5620"/>
          </w:cols>
          <w:pgMar w:left="320" w:top="1293"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OUR NAMED EXECUTIVE OFFICERS (NEOs)</w:t>
      </w:r>
      <w:r>
        <w:rPr>
          <w:rFonts w:ascii="Arial" w:cs="Arial" w:eastAsia="Arial" w:hAnsi="Arial"/>
          <w:sz w:val="39"/>
          <w:szCs w:val="39"/>
          <w:b w:val="1"/>
          <w:bCs w:val="1"/>
          <w:color w:val="D7282F"/>
          <w:vertAlign w:val="superscript"/>
        </w:rPr>
        <w:t>(1)</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707"/>
        </w:trPr>
        <w:tc>
          <w:tcPr>
            <w:tcW w:w="1740" w:type="dxa"/>
            <w:vAlign w:val="bottom"/>
            <w:tcBorders>
              <w:right w:val="single" w:sz="8" w:color="D7282F"/>
            </w:tcBorders>
          </w:tcPr>
          <w:p>
            <w:pPr>
              <w:spacing w:after="0"/>
              <w:rPr>
                <w:sz w:val="20"/>
                <w:szCs w:val="20"/>
                <w:color w:val="auto"/>
              </w:rPr>
            </w:pPr>
            <w:r>
              <w:rPr>
                <w:rFonts w:ascii="Arial" w:cs="Arial" w:eastAsia="Arial" w:hAnsi="Arial"/>
                <w:sz w:val="16"/>
                <w:szCs w:val="16"/>
                <w:b w:val="1"/>
                <w:bCs w:val="1"/>
                <w:color w:val="D7282F"/>
              </w:rPr>
              <w:t>VIMAL KAPUR</w:t>
            </w:r>
          </w:p>
        </w:tc>
        <w:tc>
          <w:tcPr>
            <w:tcW w:w="1900" w:type="dxa"/>
            <w:vAlign w:val="bottom"/>
            <w:tcBorders>
              <w:right w:val="single" w:sz="8" w:color="D7282F"/>
            </w:tcBorders>
          </w:tcPr>
          <w:p>
            <w:pPr>
              <w:ind w:left="120"/>
              <w:spacing w:after="0"/>
              <w:rPr>
                <w:sz w:val="20"/>
                <w:szCs w:val="20"/>
                <w:color w:val="auto"/>
              </w:rPr>
            </w:pPr>
            <w:r>
              <w:rPr>
                <w:rFonts w:ascii="Arial" w:cs="Arial" w:eastAsia="Arial" w:hAnsi="Arial"/>
                <w:sz w:val="16"/>
                <w:szCs w:val="16"/>
                <w:b w:val="1"/>
                <w:bCs w:val="1"/>
                <w:color w:val="D7282F"/>
              </w:rPr>
              <w:t>GREGORY P.</w:t>
            </w:r>
          </w:p>
        </w:tc>
        <w:tc>
          <w:tcPr>
            <w:tcW w:w="188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ANNE T.</w:t>
            </w: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b w:val="1"/>
                <w:bCs w:val="1"/>
                <w:color w:val="D7282F"/>
              </w:rPr>
              <w:t>LUCIAN</w:t>
            </w:r>
          </w:p>
        </w:tc>
        <w:tc>
          <w:tcPr>
            <w:tcW w:w="190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JAMES</w:t>
            </w:r>
          </w:p>
        </w:tc>
        <w:tc>
          <w:tcPr>
            <w:tcW w:w="1320" w:type="dxa"/>
            <w:vAlign w:val="bottom"/>
          </w:tcPr>
          <w:p>
            <w:pPr>
              <w:ind w:left="100"/>
              <w:spacing w:after="0"/>
              <w:rPr>
                <w:sz w:val="20"/>
                <w:szCs w:val="20"/>
                <w:color w:val="auto"/>
              </w:rPr>
            </w:pPr>
            <w:r>
              <w:rPr>
                <w:rFonts w:ascii="Arial" w:cs="Arial" w:eastAsia="Arial" w:hAnsi="Arial"/>
                <w:sz w:val="16"/>
                <w:szCs w:val="16"/>
                <w:b w:val="1"/>
                <w:bCs w:val="1"/>
                <w:color w:val="D7282F"/>
              </w:rPr>
              <w:t>DARIUS</w:t>
            </w:r>
          </w:p>
        </w:tc>
      </w:tr>
      <w:tr>
        <w:trPr>
          <w:trHeight w:val="223"/>
        </w:trPr>
        <w:tc>
          <w:tcPr>
            <w:tcW w:w="1740" w:type="dxa"/>
            <w:vAlign w:val="bottom"/>
            <w:tcBorders>
              <w:right w:val="single" w:sz="8" w:color="D7282F"/>
            </w:tcBorders>
          </w:tcPr>
          <w:p>
            <w:pPr>
              <w:spacing w:after="0"/>
              <w:rPr>
                <w:sz w:val="19"/>
                <w:szCs w:val="19"/>
                <w:color w:val="auto"/>
              </w:rPr>
            </w:pPr>
          </w:p>
        </w:tc>
        <w:tc>
          <w:tcPr>
            <w:tcW w:w="1900" w:type="dxa"/>
            <w:vAlign w:val="bottom"/>
            <w:tcBorders>
              <w:right w:val="single" w:sz="8" w:color="D7282F"/>
            </w:tcBorders>
          </w:tcPr>
          <w:p>
            <w:pPr>
              <w:ind w:left="120"/>
              <w:spacing w:after="0"/>
              <w:rPr>
                <w:sz w:val="20"/>
                <w:szCs w:val="20"/>
                <w:color w:val="auto"/>
              </w:rPr>
            </w:pPr>
            <w:r>
              <w:rPr>
                <w:rFonts w:ascii="Arial" w:cs="Arial" w:eastAsia="Arial" w:hAnsi="Arial"/>
                <w:sz w:val="16"/>
                <w:szCs w:val="16"/>
                <w:b w:val="1"/>
                <w:bCs w:val="1"/>
                <w:color w:val="D7282F"/>
              </w:rPr>
              <w:t>LEWIS</w:t>
            </w:r>
          </w:p>
        </w:tc>
        <w:tc>
          <w:tcPr>
            <w:tcW w:w="188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MADDEN</w:t>
            </w: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b w:val="1"/>
                <w:bCs w:val="1"/>
                <w:color w:val="D7282F"/>
              </w:rPr>
              <w:t>BOLDEA</w:t>
            </w:r>
          </w:p>
        </w:tc>
        <w:tc>
          <w:tcPr>
            <w:tcW w:w="1900" w:type="dxa"/>
            <w:vAlign w:val="bottom"/>
            <w:tcBorders>
              <w:right w:val="single" w:sz="8" w:color="D7282F"/>
            </w:tcBorders>
          </w:tcPr>
          <w:p>
            <w:pPr>
              <w:ind w:left="100"/>
              <w:spacing w:after="0"/>
              <w:rPr>
                <w:sz w:val="20"/>
                <w:szCs w:val="20"/>
                <w:color w:val="auto"/>
              </w:rPr>
            </w:pPr>
            <w:r>
              <w:rPr>
                <w:rFonts w:ascii="Arial" w:cs="Arial" w:eastAsia="Arial" w:hAnsi="Arial"/>
                <w:sz w:val="16"/>
                <w:szCs w:val="16"/>
                <w:b w:val="1"/>
                <w:bCs w:val="1"/>
                <w:color w:val="D7282F"/>
              </w:rPr>
              <w:t>CURRIER</w:t>
            </w:r>
          </w:p>
        </w:tc>
        <w:tc>
          <w:tcPr>
            <w:tcW w:w="1320" w:type="dxa"/>
            <w:vAlign w:val="bottom"/>
          </w:tcPr>
          <w:p>
            <w:pPr>
              <w:ind w:left="100"/>
              <w:spacing w:after="0"/>
              <w:rPr>
                <w:sz w:val="20"/>
                <w:szCs w:val="20"/>
                <w:color w:val="auto"/>
              </w:rPr>
            </w:pPr>
            <w:r>
              <w:rPr>
                <w:rFonts w:ascii="Arial" w:cs="Arial" w:eastAsia="Arial" w:hAnsi="Arial"/>
                <w:sz w:val="16"/>
                <w:szCs w:val="16"/>
                <w:b w:val="1"/>
                <w:bCs w:val="1"/>
                <w:color w:val="D7282F"/>
              </w:rPr>
              <w:t>ADAMCZYK</w:t>
            </w:r>
          </w:p>
        </w:tc>
      </w:tr>
      <w:tr>
        <w:trPr>
          <w:trHeight w:val="277"/>
        </w:trPr>
        <w:tc>
          <w:tcPr>
            <w:tcW w:w="174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Chief Executive</w:t>
            </w:r>
          </w:p>
        </w:tc>
        <w:tc>
          <w:tcPr>
            <w:tcW w:w="190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Senior Vice</w:t>
            </w:r>
          </w:p>
        </w:tc>
        <w:tc>
          <w:tcPr>
            <w:tcW w:w="188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Senior Vice</w:t>
            </w: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President</w:t>
            </w:r>
          </w:p>
        </w:tc>
        <w:tc>
          <w:tcPr>
            <w:tcW w:w="190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President and</w:t>
            </w:r>
          </w:p>
        </w:tc>
        <w:tc>
          <w:tcPr>
            <w:tcW w:w="1320" w:type="dxa"/>
            <w:vAlign w:val="bottom"/>
          </w:tcPr>
          <w:p>
            <w:pPr>
              <w:ind w:left="100"/>
              <w:spacing w:after="0"/>
              <w:rPr>
                <w:sz w:val="20"/>
                <w:szCs w:val="20"/>
                <w:color w:val="auto"/>
              </w:rPr>
            </w:pPr>
            <w:r>
              <w:rPr>
                <w:rFonts w:ascii="Arial" w:cs="Arial" w:eastAsia="Arial" w:hAnsi="Arial"/>
                <w:sz w:val="16"/>
                <w:szCs w:val="16"/>
                <w:color w:val="auto"/>
              </w:rPr>
              <w:t>Executive</w:t>
            </w:r>
          </w:p>
        </w:tc>
      </w:tr>
      <w:tr>
        <w:trPr>
          <w:trHeight w:val="189"/>
        </w:trPr>
        <w:tc>
          <w:tcPr>
            <w:tcW w:w="1740" w:type="dxa"/>
            <w:vAlign w:val="bottom"/>
            <w:tcBorders>
              <w:right w:val="single" w:sz="8" w:color="D7282F"/>
            </w:tcBorders>
          </w:tcPr>
          <w:p>
            <w:pPr>
              <w:spacing w:after="0"/>
              <w:rPr>
                <w:sz w:val="20"/>
                <w:szCs w:val="20"/>
                <w:color w:val="auto"/>
              </w:rPr>
            </w:pPr>
            <w:r>
              <w:rPr>
                <w:rFonts w:ascii="Arial" w:cs="Arial" w:eastAsia="Arial" w:hAnsi="Arial"/>
                <w:sz w:val="16"/>
                <w:szCs w:val="16"/>
                <w:color w:val="auto"/>
              </w:rPr>
              <w:t>Officer</w:t>
            </w:r>
          </w:p>
        </w:tc>
        <w:tc>
          <w:tcPr>
            <w:tcW w:w="190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President and</w:t>
            </w:r>
          </w:p>
        </w:tc>
        <w:tc>
          <w:tcPr>
            <w:tcW w:w="188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President and</w:t>
            </w: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and CEO,</w:t>
            </w:r>
          </w:p>
        </w:tc>
        <w:tc>
          <w:tcPr>
            <w:tcW w:w="190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CEO, Aerospace</w:t>
            </w:r>
          </w:p>
        </w:tc>
        <w:tc>
          <w:tcPr>
            <w:tcW w:w="1320" w:type="dxa"/>
            <w:vAlign w:val="bottom"/>
          </w:tcPr>
          <w:p>
            <w:pPr>
              <w:ind w:left="100"/>
              <w:spacing w:after="0"/>
              <w:rPr>
                <w:sz w:val="20"/>
                <w:szCs w:val="20"/>
                <w:color w:val="auto"/>
              </w:rPr>
            </w:pPr>
            <w:r>
              <w:rPr>
                <w:rFonts w:ascii="Arial" w:cs="Arial" w:eastAsia="Arial" w:hAnsi="Arial"/>
                <w:sz w:val="16"/>
                <w:szCs w:val="16"/>
                <w:color w:val="auto"/>
              </w:rPr>
              <w:t>Chairman,</w:t>
            </w:r>
          </w:p>
        </w:tc>
      </w:tr>
      <w:tr>
        <w:trPr>
          <w:trHeight w:val="189"/>
        </w:trPr>
        <w:tc>
          <w:tcPr>
            <w:tcW w:w="1740" w:type="dxa"/>
            <w:vAlign w:val="bottom"/>
            <w:tcBorders>
              <w:right w:val="single" w:sz="8" w:color="D7282F"/>
            </w:tcBorders>
          </w:tcPr>
          <w:p>
            <w:pPr>
              <w:spacing w:after="0"/>
              <w:rPr>
                <w:sz w:val="16"/>
                <w:szCs w:val="16"/>
                <w:color w:val="auto"/>
              </w:rPr>
            </w:pPr>
          </w:p>
        </w:tc>
        <w:tc>
          <w:tcPr>
            <w:tcW w:w="190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Chief Financial</w:t>
            </w:r>
          </w:p>
        </w:tc>
        <w:tc>
          <w:tcPr>
            <w:tcW w:w="188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General Counsel</w:t>
            </w: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Performance</w:t>
            </w:r>
          </w:p>
        </w:tc>
        <w:tc>
          <w:tcPr>
            <w:tcW w:w="190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(AERO)</w:t>
            </w:r>
          </w:p>
        </w:tc>
        <w:tc>
          <w:tcPr>
            <w:tcW w:w="1320" w:type="dxa"/>
            <w:vAlign w:val="bottom"/>
          </w:tcPr>
          <w:p>
            <w:pPr>
              <w:ind w:left="100"/>
              <w:spacing w:after="0"/>
              <w:rPr>
                <w:sz w:val="20"/>
                <w:szCs w:val="20"/>
                <w:color w:val="auto"/>
              </w:rPr>
            </w:pPr>
            <w:r>
              <w:rPr>
                <w:rFonts w:ascii="Arial" w:cs="Arial" w:eastAsia="Arial" w:hAnsi="Arial"/>
                <w:sz w:val="16"/>
                <w:szCs w:val="16"/>
                <w:color w:val="auto"/>
              </w:rPr>
              <w:t>Former Chief</w:t>
            </w:r>
          </w:p>
        </w:tc>
      </w:tr>
      <w:tr>
        <w:trPr>
          <w:trHeight w:val="203"/>
        </w:trPr>
        <w:tc>
          <w:tcPr>
            <w:tcW w:w="1740" w:type="dxa"/>
            <w:vAlign w:val="bottom"/>
            <w:tcBorders>
              <w:right w:val="single" w:sz="8" w:color="D7282F"/>
            </w:tcBorders>
          </w:tcPr>
          <w:p>
            <w:pPr>
              <w:spacing w:after="0"/>
              <w:rPr>
                <w:sz w:val="17"/>
                <w:szCs w:val="17"/>
                <w:color w:val="auto"/>
              </w:rPr>
            </w:pPr>
          </w:p>
        </w:tc>
        <w:tc>
          <w:tcPr>
            <w:tcW w:w="190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Officer</w:t>
            </w:r>
          </w:p>
        </w:tc>
        <w:tc>
          <w:tcPr>
            <w:tcW w:w="1880" w:type="dxa"/>
            <w:vAlign w:val="bottom"/>
            <w:tcBorders>
              <w:right w:val="single" w:sz="8" w:color="D7282F"/>
            </w:tcBorders>
          </w:tcPr>
          <w:p>
            <w:pPr>
              <w:spacing w:after="0"/>
              <w:rPr>
                <w:sz w:val="17"/>
                <w:szCs w:val="17"/>
                <w:color w:val="auto"/>
              </w:rPr>
            </w:pP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Materials and</w:t>
            </w:r>
          </w:p>
        </w:tc>
        <w:tc>
          <w:tcPr>
            <w:tcW w:w="1900" w:type="dxa"/>
            <w:vAlign w:val="bottom"/>
            <w:tcBorders>
              <w:right w:val="single" w:sz="8" w:color="D7282F"/>
            </w:tcBorders>
          </w:tcPr>
          <w:p>
            <w:pPr>
              <w:spacing w:after="0"/>
              <w:rPr>
                <w:sz w:val="17"/>
                <w:szCs w:val="17"/>
                <w:color w:val="auto"/>
              </w:rPr>
            </w:pPr>
          </w:p>
        </w:tc>
        <w:tc>
          <w:tcPr>
            <w:tcW w:w="1320" w:type="dxa"/>
            <w:vAlign w:val="bottom"/>
          </w:tcPr>
          <w:p>
            <w:pPr>
              <w:ind w:left="100"/>
              <w:spacing w:after="0"/>
              <w:rPr>
                <w:sz w:val="20"/>
                <w:szCs w:val="20"/>
                <w:color w:val="auto"/>
              </w:rPr>
            </w:pPr>
            <w:r>
              <w:rPr>
                <w:rFonts w:ascii="Arial" w:cs="Arial" w:eastAsia="Arial" w:hAnsi="Arial"/>
                <w:sz w:val="16"/>
                <w:szCs w:val="16"/>
                <w:color w:val="auto"/>
                <w:w w:val="99"/>
              </w:rPr>
              <w:t>Executive Officer</w:t>
            </w:r>
          </w:p>
        </w:tc>
      </w:tr>
      <w:tr>
        <w:trPr>
          <w:trHeight w:val="189"/>
        </w:trPr>
        <w:tc>
          <w:tcPr>
            <w:tcW w:w="1740" w:type="dxa"/>
            <w:vAlign w:val="bottom"/>
            <w:tcBorders>
              <w:right w:val="single" w:sz="8" w:color="D7282F"/>
            </w:tcBorders>
          </w:tcPr>
          <w:p>
            <w:pPr>
              <w:spacing w:after="0"/>
              <w:rPr>
                <w:sz w:val="16"/>
                <w:szCs w:val="16"/>
                <w:color w:val="auto"/>
              </w:rPr>
            </w:pPr>
          </w:p>
        </w:tc>
        <w:tc>
          <w:tcPr>
            <w:tcW w:w="1900" w:type="dxa"/>
            <w:vAlign w:val="bottom"/>
            <w:tcBorders>
              <w:right w:val="single" w:sz="8" w:color="D7282F"/>
            </w:tcBorders>
          </w:tcPr>
          <w:p>
            <w:pPr>
              <w:spacing w:after="0"/>
              <w:rPr>
                <w:sz w:val="16"/>
                <w:szCs w:val="16"/>
                <w:color w:val="auto"/>
              </w:rPr>
            </w:pPr>
          </w:p>
        </w:tc>
        <w:tc>
          <w:tcPr>
            <w:tcW w:w="1880" w:type="dxa"/>
            <w:vAlign w:val="bottom"/>
            <w:tcBorders>
              <w:right w:val="single" w:sz="8" w:color="D7282F"/>
            </w:tcBorders>
          </w:tcPr>
          <w:p>
            <w:pPr>
              <w:spacing w:after="0"/>
              <w:rPr>
                <w:sz w:val="16"/>
                <w:szCs w:val="16"/>
                <w:color w:val="auto"/>
              </w:rPr>
            </w:pP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Technologies</w:t>
            </w:r>
          </w:p>
        </w:tc>
        <w:tc>
          <w:tcPr>
            <w:tcW w:w="1900" w:type="dxa"/>
            <w:vAlign w:val="bottom"/>
            <w:tcBorders>
              <w:right w:val="single" w:sz="8" w:color="D7282F"/>
            </w:tcBorders>
          </w:tcPr>
          <w:p>
            <w:pPr>
              <w:spacing w:after="0"/>
              <w:rPr>
                <w:sz w:val="16"/>
                <w:szCs w:val="16"/>
                <w:color w:val="auto"/>
              </w:rPr>
            </w:pPr>
          </w:p>
        </w:tc>
        <w:tc>
          <w:tcPr>
            <w:tcW w:w="1320" w:type="dxa"/>
            <w:vAlign w:val="bottom"/>
          </w:tcPr>
          <w:p>
            <w:pPr>
              <w:spacing w:after="0"/>
              <w:rPr>
                <w:sz w:val="16"/>
                <w:szCs w:val="16"/>
                <w:color w:val="auto"/>
              </w:rPr>
            </w:pPr>
          </w:p>
        </w:tc>
      </w:tr>
      <w:tr>
        <w:trPr>
          <w:trHeight w:val="230"/>
        </w:trPr>
        <w:tc>
          <w:tcPr>
            <w:tcW w:w="1740" w:type="dxa"/>
            <w:vAlign w:val="bottom"/>
            <w:tcBorders>
              <w:right w:val="single" w:sz="8" w:color="D7282F"/>
            </w:tcBorders>
          </w:tcPr>
          <w:p>
            <w:pPr>
              <w:spacing w:after="0"/>
              <w:rPr>
                <w:sz w:val="20"/>
                <w:szCs w:val="20"/>
                <w:color w:val="auto"/>
              </w:rPr>
            </w:pPr>
          </w:p>
        </w:tc>
        <w:tc>
          <w:tcPr>
            <w:tcW w:w="1900" w:type="dxa"/>
            <w:vAlign w:val="bottom"/>
            <w:tcBorders>
              <w:right w:val="single" w:sz="8" w:color="D7282F"/>
            </w:tcBorders>
          </w:tcPr>
          <w:p>
            <w:pPr>
              <w:spacing w:after="0"/>
              <w:rPr>
                <w:sz w:val="20"/>
                <w:szCs w:val="20"/>
                <w:color w:val="auto"/>
              </w:rPr>
            </w:pPr>
          </w:p>
        </w:tc>
        <w:tc>
          <w:tcPr>
            <w:tcW w:w="1880" w:type="dxa"/>
            <w:vAlign w:val="bottom"/>
            <w:tcBorders>
              <w:right w:val="single" w:sz="8" w:color="D7282F"/>
            </w:tcBorders>
          </w:tcPr>
          <w:p>
            <w:pPr>
              <w:spacing w:after="0"/>
              <w:rPr>
                <w:sz w:val="20"/>
                <w:szCs w:val="20"/>
                <w:color w:val="auto"/>
              </w:rPr>
            </w:pPr>
          </w:p>
        </w:tc>
        <w:tc>
          <w:tcPr>
            <w:tcW w:w="1920" w:type="dxa"/>
            <w:vAlign w:val="bottom"/>
            <w:tcBorders>
              <w:right w:val="single" w:sz="8" w:color="D7282F"/>
            </w:tcBorders>
          </w:tcPr>
          <w:p>
            <w:pPr>
              <w:ind w:left="120"/>
              <w:spacing w:after="0"/>
              <w:rPr>
                <w:sz w:val="20"/>
                <w:szCs w:val="20"/>
                <w:color w:val="auto"/>
              </w:rPr>
            </w:pPr>
            <w:r>
              <w:rPr>
                <w:rFonts w:ascii="Arial" w:cs="Arial" w:eastAsia="Arial" w:hAnsi="Arial"/>
                <w:sz w:val="16"/>
                <w:szCs w:val="16"/>
                <w:color w:val="auto"/>
              </w:rPr>
              <w:t>(PMT)</w:t>
            </w:r>
          </w:p>
        </w:tc>
        <w:tc>
          <w:tcPr>
            <w:tcW w:w="1900" w:type="dxa"/>
            <w:vAlign w:val="bottom"/>
            <w:tcBorders>
              <w:right w:val="single" w:sz="8" w:color="D7282F"/>
            </w:tcBorders>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-2031365</wp:posOffset>
            </wp:positionV>
            <wp:extent cx="6814820" cy="8229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14820" cy="822960"/>
                    </a:xfrm>
                    <a:prstGeom prst="rect">
                      <a:avLst/>
                    </a:prstGeom>
                    <a:noFill/>
                  </pic:spPr>
                </pic:pic>
              </a:graphicData>
            </a:graphic>
          </wp:anchor>
        </w:drawing>
      </w:r>
    </w:p>
    <w:p>
      <w:pPr>
        <w:spacing w:after="0" w:line="124" w:lineRule="exact"/>
        <w:rPr>
          <w:sz w:val="20"/>
          <w:szCs w:val="20"/>
          <w:color w:val="auto"/>
        </w:rPr>
      </w:pPr>
    </w:p>
    <w:p>
      <w:pPr>
        <w:ind w:left="200" w:right="520" w:hanging="192"/>
        <w:spacing w:after="0" w:line="226" w:lineRule="auto"/>
        <w:tabs>
          <w:tab w:leader="none" w:pos="200" w:val="left"/>
        </w:tabs>
        <w:numPr>
          <w:ilvl w:val="0"/>
          <w:numId w:val="117"/>
        </w:numPr>
        <w:rPr>
          <w:rFonts w:ascii="Arial" w:cs="Arial" w:eastAsia="Arial" w:hAnsi="Arial"/>
          <w:sz w:val="16"/>
          <w:szCs w:val="16"/>
          <w:color w:val="auto"/>
          <w:vertAlign w:val="superscript"/>
        </w:rPr>
      </w:pPr>
      <w:r>
        <w:rPr>
          <w:rFonts w:ascii="Arial" w:cs="Arial" w:eastAsia="Arial" w:hAnsi="Arial"/>
          <w:sz w:val="13"/>
          <w:szCs w:val="13"/>
          <w:color w:val="auto"/>
        </w:rPr>
        <w:t>Throughout this CD&amp;A, references to “NEOs” include all NEOs, and references to “Other NEOs” include all NEOs except Mr. Kapur and Mr. Adamczyk. Effective January 1, 2024, Mr. Boldea transitioned to the role of President and CEO, Industrial Automation (IA).</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CEO TRANSITION</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retention and development of highly qualified leadership talent is critical to Honeywell’s continued performance and to successful succession planning. The Board routinely considers succession candidates for the CEO and other senior leadership positions under both near-term and long-term planning scenarios, taking into consideration demonstrated performance, leadership qualities, and potential to take on more complex responsibilities. The succession plan actions taken in 2023 demonstrate the success of this robust planning process.</w:t>
      </w:r>
    </w:p>
    <w:p>
      <w:pPr>
        <w:spacing w:after="0" w:line="6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March of 2023, Honeywell announced that Vimal Kapur (age 58) would succeed Darius Adamczyk as CEO effective June 1st, 2023 (the “CEO Succession Date”). Mr. Adamczyk, who has been CEO since 2017, remained in the position of Executive Chairman, to facilitate the CEO transition and provide longer-term strategic support. On February 1, 2024, the Company announced that Mr. Kapur will succeed Mr. Adamczyk as Chairman of the Board on June 7, 2024, subject to his election to the Board by shareowners at the 2024 Annual Meeting.</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the CEO compensation arrangement approved for Mr. Kapur in 2023 can be found on page 60.</w:t>
      </w:r>
    </w:p>
    <w:p>
      <w:pPr>
        <w:spacing w:after="0" w:line="304"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OUR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PHILOSOPHY AND APPROACH</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Honeywell’s executive compensation program creates long-term shareowner value through four key objectives:</w:t>
      </w:r>
    </w:p>
    <w:p>
      <w:pPr>
        <w:spacing w:after="0" w:line="113" w:lineRule="exact"/>
        <w:rPr>
          <w:sz w:val="20"/>
          <w:szCs w:val="20"/>
          <w:color w:val="auto"/>
        </w:rPr>
      </w:pPr>
    </w:p>
    <w:p>
      <w:pPr>
        <w:jc w:val="both"/>
        <w:ind w:left="200" w:right="80" w:hanging="192"/>
        <w:spacing w:after="0" w:line="275" w:lineRule="auto"/>
        <w:tabs>
          <w:tab w:leader="none" w:pos="19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Attract and Retain World-Class Leadership Talent </w:t>
      </w:r>
      <w:r>
        <w:rPr>
          <w:rFonts w:ascii="Arial" w:cs="Arial" w:eastAsia="Arial" w:hAnsi="Arial"/>
          <w:sz w:val="16"/>
          <w:szCs w:val="16"/>
          <w:color w:val="auto"/>
        </w:rPr>
        <w:t>with the skills and experience necessary to develop and execute business strategies, drive superior</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and nimbly adapt and react to constantly evolving end-market conditions in an enterprise with the Company’s scale, breadth, complexity, and global footprint.</w:t>
      </w:r>
    </w:p>
    <w:p>
      <w:pPr>
        <w:spacing w:after="0" w:line="29" w:lineRule="exact"/>
        <w:rPr>
          <w:rFonts w:ascii="Arial" w:cs="Arial" w:eastAsia="Arial" w:hAnsi="Arial"/>
          <w:sz w:val="16"/>
          <w:szCs w:val="16"/>
          <w:b w:val="1"/>
          <w:bCs w:val="1"/>
          <w:color w:val="D7282F"/>
        </w:rPr>
      </w:pPr>
    </w:p>
    <w:p>
      <w:pPr>
        <w:ind w:left="200" w:right="300" w:hanging="192"/>
        <w:spacing w:after="0" w:line="286" w:lineRule="auto"/>
        <w:tabs>
          <w:tab w:leader="none" w:pos="19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Emphasize Variable, At-Risk Compensation </w:t>
      </w:r>
      <w:r>
        <w:rPr>
          <w:rFonts w:ascii="Arial" w:cs="Arial" w:eastAsia="Arial" w:hAnsi="Arial"/>
          <w:sz w:val="16"/>
          <w:szCs w:val="16"/>
          <w:color w:val="auto"/>
        </w:rPr>
        <w:t>with an appropriate balance of near-term and long-term objectives that align executive and shareowner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w:t>
      </w:r>
    </w:p>
    <w:p>
      <w:pPr>
        <w:spacing w:after="0" w:line="20" w:lineRule="exact"/>
        <w:rPr>
          <w:rFonts w:ascii="Arial" w:cs="Arial" w:eastAsia="Arial" w:hAnsi="Arial"/>
          <w:sz w:val="16"/>
          <w:szCs w:val="16"/>
          <w:b w:val="1"/>
          <w:bCs w:val="1"/>
          <w:color w:val="D7282F"/>
        </w:rPr>
      </w:pPr>
    </w:p>
    <w:p>
      <w:pPr>
        <w:ind w:left="200" w:right="660" w:hanging="192"/>
        <w:spacing w:after="0" w:line="286" w:lineRule="auto"/>
        <w:tabs>
          <w:tab w:leader="none" w:pos="19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Pay for Superior Results and Sustainable Growth </w:t>
      </w:r>
      <w:r>
        <w:rPr>
          <w:rFonts w:ascii="Arial" w:cs="Arial" w:eastAsia="Arial" w:hAnsi="Arial"/>
          <w:sz w:val="16"/>
          <w:szCs w:val="16"/>
          <w:color w:val="auto"/>
        </w:rPr>
        <w:t>by rewarding and differentiating among executives based on the achievement of enterprise,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unit, and individual objectives as well as efforts to advance Honeywell’s long-term growth initiatives.</w:t>
      </w:r>
    </w:p>
    <w:p>
      <w:pPr>
        <w:spacing w:after="0" w:line="20" w:lineRule="exact"/>
        <w:rPr>
          <w:rFonts w:ascii="Arial" w:cs="Arial" w:eastAsia="Arial" w:hAnsi="Arial"/>
          <w:sz w:val="16"/>
          <w:szCs w:val="16"/>
          <w:b w:val="1"/>
          <w:bCs w:val="1"/>
          <w:color w:val="D7282F"/>
        </w:rPr>
      </w:pPr>
    </w:p>
    <w:p>
      <w:pPr>
        <w:ind w:left="200" w:right="80" w:hanging="192"/>
        <w:spacing w:after="0" w:line="286" w:lineRule="auto"/>
        <w:tabs>
          <w:tab w:leader="none" w:pos="197" w:val="left"/>
        </w:tabs>
        <w:numPr>
          <w:ilvl w:val="0"/>
          <w:numId w:val="118"/>
        </w:numPr>
        <w:rPr>
          <w:rFonts w:ascii="Arial" w:cs="Arial" w:eastAsia="Arial" w:hAnsi="Arial"/>
          <w:sz w:val="16"/>
          <w:szCs w:val="16"/>
          <w:b w:val="1"/>
          <w:bCs w:val="1"/>
          <w:color w:val="D7282F"/>
        </w:rPr>
      </w:pPr>
      <w:r>
        <w:rPr>
          <w:rFonts w:ascii="Arial" w:cs="Arial" w:eastAsia="Arial" w:hAnsi="Arial"/>
          <w:sz w:val="16"/>
          <w:szCs w:val="16"/>
          <w:b w:val="1"/>
          <w:bCs w:val="1"/>
          <w:color w:val="auto"/>
        </w:rPr>
        <w:t xml:space="preserve">Manage Risk Through Oversight and Compensation Program Design Features and Practices </w:t>
      </w:r>
      <w:r>
        <w:rPr>
          <w:rFonts w:ascii="Arial" w:cs="Arial" w:eastAsia="Arial" w:hAnsi="Arial"/>
          <w:sz w:val="16"/>
          <w:szCs w:val="16"/>
          <w:color w:val="auto"/>
        </w:rPr>
        <w:t>that balance short-term and long-term incentives,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overly leveraged, and cap maximum payments.</w:t>
      </w:r>
    </w:p>
    <w:p>
      <w:pPr>
        <w:spacing w:after="0" w:line="6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Decision-making over executive compensation rests with the MDCC, which holds five regularly scheduled meetings each year (five meetings held in 2023). Specific topics may be covered in a separate meeting from time to time. Each meeting includes an executive session composed solely of independent directors, and those meetings are attended by the MDCC’s independent compensation consultant. Meeting agendas contain items proposed by either management or the MDCC members.</w:t>
      </w:r>
    </w:p>
    <w:p>
      <w:pPr>
        <w:spacing w:after="0" w:line="21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sz w:val="1"/>
          <w:szCs w:val="1"/>
          <w:color w:val="auto"/>
        </w:rPr>
        <w:drawing>
          <wp:inline distT="0" distB="0" distL="0" distR="0">
            <wp:extent cx="548640" cy="10287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In carrying out its responsibilities, the MDCC balances a number of important considerations, including:</w:t>
      </w:r>
    </w:p>
    <w:p>
      <w:pPr>
        <w:spacing w:after="0" w:line="113" w:lineRule="exact"/>
        <w:rPr>
          <w:sz w:val="20"/>
          <w:szCs w:val="20"/>
          <w:color w:val="auto"/>
        </w:rPr>
      </w:pPr>
    </w:p>
    <w:p>
      <w:pPr>
        <w:ind w:left="200" w:hanging="192"/>
        <w:spacing w:after="0"/>
        <w:tabs>
          <w:tab w:leader="none" w:pos="200"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The importance of aligning pay with Company and individual performance.</w:t>
      </w:r>
    </w:p>
    <w:p>
      <w:pPr>
        <w:spacing w:after="0" w:line="86" w:lineRule="exact"/>
        <w:rPr>
          <w:rFonts w:ascii="Arial" w:cs="Arial" w:eastAsia="Arial" w:hAnsi="Arial"/>
          <w:sz w:val="16"/>
          <w:szCs w:val="16"/>
          <w:b w:val="1"/>
          <w:bCs w:val="1"/>
          <w:color w:val="D7282F"/>
        </w:rPr>
      </w:pPr>
    </w:p>
    <w:p>
      <w:pPr>
        <w:ind w:left="200" w:right="340" w:hanging="192"/>
        <w:spacing w:after="0" w:line="299" w:lineRule="auto"/>
        <w:tabs>
          <w:tab w:leader="none" w:pos="197"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The need to attract, retain, and reward executives with a proven track record of delivering consistent financial and operating results and driving “seed-planting” initiatives that will create sustainable long-term shareowner value.</w:t>
      </w:r>
    </w:p>
    <w:p>
      <w:pPr>
        <w:ind w:left="200" w:hanging="192"/>
        <w:spacing w:after="0"/>
        <w:tabs>
          <w:tab w:leader="none" w:pos="200"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The complex multi-industry and global nature of Honeywell’s businesses and the importance of growth outside of the United States for future success.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19"/>
        </w:numPr>
        <w:rPr>
          <w:rFonts w:ascii="Arial" w:cs="Arial" w:eastAsia="Arial" w:hAnsi="Arial"/>
          <w:sz w:val="16"/>
          <w:szCs w:val="16"/>
          <w:b w:val="1"/>
          <w:bCs w:val="1"/>
          <w:color w:val="D7282F"/>
        </w:rPr>
      </w:pPr>
      <w:r>
        <w:rPr>
          <w:rFonts w:ascii="Arial" w:cs="Arial" w:eastAsia="Arial" w:hAnsi="Arial"/>
          <w:sz w:val="16"/>
          <w:szCs w:val="16"/>
          <w:color w:val="auto"/>
        </w:rPr>
        <w:t>The importance of maintaining and executing on a thorough and rigorous succession planning process.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Key factors that shape the MDCC’s overall assessment of performance and appropriate levels of compensation include:</w:t>
      </w:r>
    </w:p>
    <w:p>
      <w:pPr>
        <w:spacing w:after="0" w:line="127" w:lineRule="exact"/>
        <w:rPr>
          <w:sz w:val="20"/>
          <w:szCs w:val="20"/>
          <w:color w:val="auto"/>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Operational and financial performance for the entire Company and the relevant business units.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Aggressiveness of each executive’s financial and operating goals and targets.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EE2724"/>
        </w:rPr>
      </w:pPr>
      <w:r>
        <w:rPr>
          <w:rFonts w:ascii="Arial" w:cs="Arial" w:eastAsia="Arial" w:hAnsi="Arial"/>
          <w:sz w:val="16"/>
          <w:szCs w:val="16"/>
          <w:color w:val="auto"/>
        </w:rPr>
        <w:t>Business/macroeconomic conditions impacting the industries in which Honeywell’s businesses operate.</w:t>
      </w:r>
    </w:p>
    <w:p>
      <w:pPr>
        <w:spacing w:after="0" w:line="86" w:lineRule="exact"/>
        <w:rPr>
          <w:rFonts w:ascii="Arial" w:cs="Arial" w:eastAsia="Arial" w:hAnsi="Arial"/>
          <w:sz w:val="16"/>
          <w:szCs w:val="16"/>
          <w:b w:val="1"/>
          <w:bCs w:val="1"/>
          <w:color w:val="EE2724"/>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Execution against strategic initiatives and the impact of investments that will benefit financial performance in future years.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Each executive’s long-term leadership potential and associated retention risk.</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The senior executive development and succession plan.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Total shareowner return (TSR).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Trends and best practices in executive compensation.</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0"/>
        </w:numPr>
        <w:rPr>
          <w:rFonts w:ascii="Arial" w:cs="Arial" w:eastAsia="Arial" w:hAnsi="Arial"/>
          <w:sz w:val="16"/>
          <w:szCs w:val="16"/>
          <w:b w:val="1"/>
          <w:bCs w:val="1"/>
          <w:color w:val="D7282F"/>
        </w:rPr>
      </w:pPr>
      <w:r>
        <w:rPr>
          <w:rFonts w:ascii="Arial" w:cs="Arial" w:eastAsia="Arial" w:hAnsi="Arial"/>
          <w:sz w:val="16"/>
          <w:szCs w:val="16"/>
          <w:color w:val="auto"/>
        </w:rPr>
        <w:t>Peer group comparisons, including performance, pay levels, and related practices.</w:t>
      </w:r>
    </w:p>
    <w:p>
      <w:pPr>
        <w:spacing w:after="0" w:line="127"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MDCC reviews these factors over various time periods to ensure a strong linkage between pay and performance. At each of its meetings, the MDCC reviews four-year NEO compensation history for each element of total annual direct compensation, as well as projected payments under Honeywell’s retirement and deferred compensation plans, to provide historical context and an understanding of how current compensation decisions may affect future wealth accumulation and executive retention.</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On an annual basis, the MDCC reviews information provided by its independent compensation consultant regarding compensation paid to similarly situated executive officers at Compensation Peer Group companies as a point of reference. Similarly, third-party survey data or published reports may be utilized as a general indicator of relevant market conditions. The MDCC does not target a specific competitive position relative to the market in making its compensation determinations.</w:t>
      </w:r>
    </w:p>
    <w:p>
      <w:pPr>
        <w:spacing w:after="0" w:line="60"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auto"/>
        </w:rPr>
        <w:t>Honeywell is proud to be broadly recognized for training and developing leaders whose skills are recognized, respected, and valued across the sectors in which we compete. Our senior executives are industry leaders with backgrounds, depth of experience, and management skills that are highly attractive to competitors. The MDCC prefers to address critical retention and succession risks through the existing compensation program whenever possible.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ENGAGEMENT WITH SHAREOWNERS ON COMPENSATION</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engages with its shareowners to better understand their views on Honeywell's governance and compensation practices. The Company's Lead Director, MDCC Chair, and CGRC Chair regularly participate in these engagements. In 2023, the Company's engagement with shareowners was as follows: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2023 SPRING ENGAGEMENT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3380" w:type="dxa"/>
            <w:vAlign w:val="bottom"/>
            <w:tcBorders>
              <w:top w:val="single" w:sz="8" w:color="D7282F"/>
              <w:right w:val="single" w:sz="8" w:color="D7282F"/>
            </w:tcBorders>
          </w:tcPr>
          <w:p>
            <w:pPr>
              <w:ind w:left="20"/>
              <w:spacing w:after="0"/>
              <w:rPr>
                <w:sz w:val="20"/>
                <w:szCs w:val="20"/>
                <w:color w:val="auto"/>
              </w:rPr>
            </w:pPr>
            <w:r>
              <w:rPr>
                <w:rFonts w:ascii="Arial" w:cs="Arial" w:eastAsia="Arial" w:hAnsi="Arial"/>
                <w:sz w:val="14"/>
                <w:szCs w:val="14"/>
                <w:b w:val="1"/>
                <w:bCs w:val="1"/>
                <w:color w:val="auto"/>
              </w:rPr>
              <w:t>TOTAL CONTACTED</w:t>
            </w:r>
          </w:p>
        </w:tc>
        <w:tc>
          <w:tcPr>
            <w:tcW w:w="3840" w:type="dxa"/>
            <w:vAlign w:val="bottom"/>
            <w:tcBorders>
              <w:top w:val="single" w:sz="8" w:color="D7282F"/>
              <w:right w:val="single" w:sz="8" w:color="D7282F"/>
            </w:tcBorders>
          </w:tcPr>
          <w:p>
            <w:pPr>
              <w:ind w:left="100"/>
              <w:spacing w:after="0"/>
              <w:rPr>
                <w:sz w:val="20"/>
                <w:szCs w:val="20"/>
                <w:color w:val="auto"/>
              </w:rPr>
            </w:pPr>
            <w:r>
              <w:rPr>
                <w:rFonts w:ascii="Arial" w:cs="Arial" w:eastAsia="Arial" w:hAnsi="Arial"/>
                <w:sz w:val="14"/>
                <w:szCs w:val="14"/>
                <w:b w:val="1"/>
                <w:bCs w:val="1"/>
                <w:color w:val="auto"/>
              </w:rPr>
              <w:t>TOTAL ENGAGED</w:t>
            </w:r>
          </w:p>
        </w:tc>
        <w:tc>
          <w:tcPr>
            <w:tcW w:w="4000" w:type="dxa"/>
            <w:vAlign w:val="bottom"/>
            <w:tcBorders>
              <w:top w:val="single" w:sz="8" w:color="D7282F"/>
            </w:tcBorders>
          </w:tcPr>
          <w:p>
            <w:pPr>
              <w:ind w:left="100"/>
              <w:spacing w:after="0"/>
              <w:rPr>
                <w:sz w:val="20"/>
                <w:szCs w:val="20"/>
                <w:color w:val="auto"/>
              </w:rPr>
            </w:pPr>
            <w:r>
              <w:rPr>
                <w:rFonts w:ascii="Arial" w:cs="Arial" w:eastAsia="Arial" w:hAnsi="Arial"/>
                <w:sz w:val="14"/>
                <w:szCs w:val="14"/>
                <w:b w:val="1"/>
                <w:bCs w:val="1"/>
                <w:color w:val="auto"/>
              </w:rPr>
              <w:t>DIRECTOR ENGAGED</w:t>
            </w:r>
          </w:p>
        </w:tc>
      </w:tr>
      <w:tr>
        <w:trPr>
          <w:trHeight w:val="488"/>
        </w:trPr>
        <w:tc>
          <w:tcPr>
            <w:tcW w:w="3380" w:type="dxa"/>
            <w:vAlign w:val="bottom"/>
            <w:tcBorders>
              <w:right w:val="single" w:sz="8" w:color="D7282F"/>
            </w:tcBorders>
          </w:tcPr>
          <w:p>
            <w:pPr>
              <w:ind w:left="20"/>
              <w:spacing w:after="0" w:line="489" w:lineRule="exact"/>
              <w:rPr>
                <w:sz w:val="20"/>
                <w:szCs w:val="20"/>
                <w:color w:val="auto"/>
              </w:rPr>
            </w:pPr>
            <w:r>
              <w:rPr>
                <w:rFonts w:ascii="Arial" w:cs="Arial" w:eastAsia="Arial" w:hAnsi="Arial"/>
                <w:sz w:val="16"/>
                <w:szCs w:val="16"/>
                <w:color w:val="auto"/>
              </w:rPr>
              <w:t xml:space="preserve">Top </w:t>
            </w:r>
            <w:r>
              <w:rPr>
                <w:rFonts w:ascii="Arial" w:cs="Arial" w:eastAsia="Arial" w:hAnsi="Arial"/>
                <w:sz w:val="43"/>
                <w:szCs w:val="43"/>
                <w:b w:val="1"/>
                <w:bCs w:val="1"/>
                <w:color w:val="auto"/>
              </w:rPr>
              <w:t>100</w:t>
            </w:r>
            <w:r>
              <w:rPr>
                <w:rFonts w:ascii="Arial" w:cs="Arial" w:eastAsia="Arial" w:hAnsi="Arial"/>
                <w:sz w:val="16"/>
                <w:szCs w:val="16"/>
                <w:color w:val="auto"/>
              </w:rPr>
              <w:t xml:space="preserve"> shareowners representing</w:t>
            </w:r>
          </w:p>
        </w:tc>
        <w:tc>
          <w:tcPr>
            <w:tcW w:w="3840" w:type="dxa"/>
            <w:vAlign w:val="bottom"/>
            <w:tcBorders>
              <w:right w:val="single" w:sz="8" w:color="D7282F"/>
            </w:tcBorders>
          </w:tcPr>
          <w:p>
            <w:pPr>
              <w:ind w:left="100"/>
              <w:spacing w:after="0" w:line="489" w:lineRule="exact"/>
              <w:rPr>
                <w:sz w:val="20"/>
                <w:szCs w:val="20"/>
                <w:color w:val="auto"/>
              </w:rPr>
            </w:pPr>
            <w:r>
              <w:rPr>
                <w:rFonts w:ascii="Arial" w:cs="Arial" w:eastAsia="Arial" w:hAnsi="Arial"/>
                <w:sz w:val="43"/>
                <w:szCs w:val="43"/>
                <w:b w:val="1"/>
                <w:bCs w:val="1"/>
                <w:color w:val="auto"/>
              </w:rPr>
              <w:t>28%</w:t>
            </w:r>
          </w:p>
        </w:tc>
        <w:tc>
          <w:tcPr>
            <w:tcW w:w="4000" w:type="dxa"/>
            <w:vAlign w:val="bottom"/>
          </w:tcPr>
          <w:p>
            <w:pPr>
              <w:ind w:left="100"/>
              <w:spacing w:after="0" w:line="489" w:lineRule="exact"/>
              <w:rPr>
                <w:sz w:val="20"/>
                <w:szCs w:val="20"/>
                <w:color w:val="auto"/>
              </w:rPr>
            </w:pPr>
            <w:r>
              <w:rPr>
                <w:rFonts w:ascii="Arial" w:cs="Arial" w:eastAsia="Arial" w:hAnsi="Arial"/>
                <w:sz w:val="43"/>
                <w:szCs w:val="43"/>
                <w:b w:val="1"/>
                <w:bCs w:val="1"/>
                <w:color w:val="auto"/>
              </w:rPr>
              <w:t>25%</w:t>
            </w:r>
          </w:p>
        </w:tc>
      </w:tr>
      <w:tr>
        <w:trPr>
          <w:trHeight w:val="203"/>
        </w:trPr>
        <w:tc>
          <w:tcPr>
            <w:tcW w:w="3380" w:type="dxa"/>
            <w:vAlign w:val="bottom"/>
            <w:tcBorders>
              <w:right w:val="single" w:sz="8" w:color="D7282F"/>
            </w:tcBorders>
          </w:tcPr>
          <w:p>
            <w:pPr>
              <w:ind w:left="20"/>
              <w:spacing w:after="0"/>
              <w:rPr>
                <w:sz w:val="20"/>
                <w:szCs w:val="20"/>
                <w:color w:val="auto"/>
              </w:rPr>
            </w:pPr>
            <w:r>
              <w:rPr>
                <w:rFonts w:ascii="Arial" w:cs="Arial" w:eastAsia="Arial" w:hAnsi="Arial"/>
                <w:sz w:val="16"/>
                <w:szCs w:val="16"/>
                <w:color w:val="auto"/>
              </w:rPr>
              <w:t>58% of shares outstanding</w:t>
            </w: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of shares outstanding, held by 18 of our largest</w:t>
            </w:r>
          </w:p>
        </w:tc>
        <w:tc>
          <w:tcPr>
            <w:tcW w:w="4000" w:type="dxa"/>
            <w:vAlign w:val="bottom"/>
          </w:tcPr>
          <w:p>
            <w:pPr>
              <w:ind w:left="100"/>
              <w:spacing w:after="0"/>
              <w:rPr>
                <w:sz w:val="20"/>
                <w:szCs w:val="20"/>
                <w:color w:val="auto"/>
              </w:rPr>
            </w:pPr>
            <w:r>
              <w:rPr>
                <w:rFonts w:ascii="Arial" w:cs="Arial" w:eastAsia="Arial" w:hAnsi="Arial"/>
                <w:sz w:val="16"/>
                <w:szCs w:val="16"/>
                <w:color w:val="auto"/>
              </w:rPr>
              <w:t>of shares outstanding engaged by independent Lead</w:t>
            </w:r>
          </w:p>
        </w:tc>
      </w:tr>
      <w:tr>
        <w:trPr>
          <w:trHeight w:val="230"/>
        </w:trPr>
        <w:tc>
          <w:tcPr>
            <w:tcW w:w="3380" w:type="dxa"/>
            <w:vAlign w:val="bottom"/>
            <w:tcBorders>
              <w:right w:val="single" w:sz="8" w:color="D7282F"/>
            </w:tcBorders>
          </w:tcPr>
          <w:p>
            <w:pPr>
              <w:spacing w:after="0"/>
              <w:rPr>
                <w:sz w:val="20"/>
                <w:szCs w:val="20"/>
                <w:color w:val="auto"/>
              </w:rPr>
            </w:pP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shareowners</w:t>
            </w:r>
          </w:p>
        </w:tc>
        <w:tc>
          <w:tcPr>
            <w:tcW w:w="4000" w:type="dxa"/>
            <w:vAlign w:val="bottom"/>
          </w:tcPr>
          <w:p>
            <w:pPr>
              <w:ind w:left="100"/>
              <w:spacing w:after="0"/>
              <w:rPr>
                <w:sz w:val="20"/>
                <w:szCs w:val="20"/>
                <w:color w:val="auto"/>
              </w:rPr>
            </w:pPr>
            <w:r>
              <w:rPr>
                <w:rFonts w:ascii="Arial" w:cs="Arial" w:eastAsia="Arial" w:hAnsi="Arial"/>
                <w:sz w:val="16"/>
                <w:szCs w:val="16"/>
                <w:color w:val="auto"/>
              </w:rPr>
              <w:t>Director, MDCC Chair, or CGRC Chair</w:t>
            </w:r>
          </w:p>
        </w:tc>
      </w:tr>
      <w:tr>
        <w:trPr>
          <w:trHeight w:val="674"/>
        </w:trPr>
        <w:tc>
          <w:tcPr>
            <w:tcW w:w="3380" w:type="dxa"/>
            <w:vAlign w:val="bottom"/>
          </w:tcPr>
          <w:p>
            <w:pPr>
              <w:spacing w:after="0"/>
              <w:rPr>
                <w:sz w:val="20"/>
                <w:szCs w:val="20"/>
                <w:color w:val="auto"/>
              </w:rPr>
            </w:pPr>
            <w:r>
              <w:rPr>
                <w:rFonts w:ascii="Arial" w:cs="Arial" w:eastAsia="Arial" w:hAnsi="Arial"/>
                <w:sz w:val="25"/>
                <w:szCs w:val="25"/>
                <w:b w:val="1"/>
                <w:bCs w:val="1"/>
                <w:color w:val="auto"/>
              </w:rPr>
              <w:t>2023 FALL ENGAGEMENT</w:t>
            </w:r>
          </w:p>
        </w:tc>
        <w:tc>
          <w:tcPr>
            <w:tcW w:w="38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08"/>
        </w:trPr>
        <w:tc>
          <w:tcPr>
            <w:tcW w:w="3380" w:type="dxa"/>
            <w:vAlign w:val="bottom"/>
            <w:tcBorders>
              <w:bottom w:val="single" w:sz="8" w:color="D7282F"/>
            </w:tcBorders>
          </w:tcPr>
          <w:p>
            <w:pPr>
              <w:spacing w:after="0"/>
              <w:rPr>
                <w:sz w:val="9"/>
                <w:szCs w:val="9"/>
                <w:color w:val="auto"/>
              </w:rPr>
            </w:pPr>
          </w:p>
        </w:tc>
        <w:tc>
          <w:tcPr>
            <w:tcW w:w="3840" w:type="dxa"/>
            <w:vAlign w:val="bottom"/>
            <w:tcBorders>
              <w:bottom w:val="single" w:sz="8" w:color="D7282F"/>
            </w:tcBorders>
          </w:tcPr>
          <w:p>
            <w:pPr>
              <w:spacing w:after="0"/>
              <w:rPr>
                <w:sz w:val="9"/>
                <w:szCs w:val="9"/>
                <w:color w:val="auto"/>
              </w:rPr>
            </w:pPr>
          </w:p>
        </w:tc>
        <w:tc>
          <w:tcPr>
            <w:tcW w:w="4000" w:type="dxa"/>
            <w:vAlign w:val="bottom"/>
            <w:tcBorders>
              <w:bottom w:val="single" w:sz="8" w:color="D7282F"/>
            </w:tcBorders>
          </w:tcPr>
          <w:p>
            <w:pPr>
              <w:spacing w:after="0"/>
              <w:rPr>
                <w:sz w:val="9"/>
                <w:szCs w:val="9"/>
                <w:color w:val="auto"/>
              </w:rPr>
            </w:pPr>
          </w:p>
        </w:tc>
      </w:tr>
      <w:tr>
        <w:trPr>
          <w:trHeight w:val="274"/>
        </w:trPr>
        <w:tc>
          <w:tcPr>
            <w:tcW w:w="3380" w:type="dxa"/>
            <w:vAlign w:val="bottom"/>
            <w:tcBorders>
              <w:right w:val="single" w:sz="8" w:color="D7282F"/>
            </w:tcBorders>
          </w:tcPr>
          <w:p>
            <w:pPr>
              <w:ind w:left="20"/>
              <w:spacing w:after="0"/>
              <w:rPr>
                <w:sz w:val="20"/>
                <w:szCs w:val="20"/>
                <w:color w:val="auto"/>
              </w:rPr>
            </w:pPr>
            <w:r>
              <w:rPr>
                <w:rFonts w:ascii="Arial" w:cs="Arial" w:eastAsia="Arial" w:hAnsi="Arial"/>
                <w:sz w:val="14"/>
                <w:szCs w:val="14"/>
                <w:b w:val="1"/>
                <w:bCs w:val="1"/>
                <w:color w:val="auto"/>
              </w:rPr>
              <w:t>TOTAL CONTACTED</w:t>
            </w: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4"/>
                <w:szCs w:val="14"/>
                <w:b w:val="1"/>
                <w:bCs w:val="1"/>
                <w:color w:val="auto"/>
              </w:rPr>
              <w:t>TOTAL ENGAGED</w:t>
            </w:r>
          </w:p>
        </w:tc>
        <w:tc>
          <w:tcPr>
            <w:tcW w:w="4000" w:type="dxa"/>
            <w:vAlign w:val="bottom"/>
          </w:tcPr>
          <w:p>
            <w:pPr>
              <w:ind w:left="100"/>
              <w:spacing w:after="0"/>
              <w:rPr>
                <w:sz w:val="20"/>
                <w:szCs w:val="20"/>
                <w:color w:val="auto"/>
              </w:rPr>
            </w:pPr>
            <w:r>
              <w:rPr>
                <w:rFonts w:ascii="Arial" w:cs="Arial" w:eastAsia="Arial" w:hAnsi="Arial"/>
                <w:sz w:val="14"/>
                <w:szCs w:val="14"/>
                <w:b w:val="1"/>
                <w:bCs w:val="1"/>
                <w:color w:val="auto"/>
              </w:rPr>
              <w:t>DIRECTOR ENGAGED</w:t>
            </w:r>
          </w:p>
        </w:tc>
      </w:tr>
      <w:tr>
        <w:trPr>
          <w:trHeight w:val="488"/>
        </w:trPr>
        <w:tc>
          <w:tcPr>
            <w:tcW w:w="3380" w:type="dxa"/>
            <w:vAlign w:val="bottom"/>
            <w:tcBorders>
              <w:right w:val="single" w:sz="8" w:color="D7282F"/>
            </w:tcBorders>
          </w:tcPr>
          <w:p>
            <w:pPr>
              <w:ind w:left="20"/>
              <w:spacing w:after="0" w:line="489" w:lineRule="exact"/>
              <w:rPr>
                <w:sz w:val="20"/>
                <w:szCs w:val="20"/>
                <w:color w:val="auto"/>
              </w:rPr>
            </w:pPr>
            <w:r>
              <w:rPr>
                <w:rFonts w:ascii="Arial" w:cs="Arial" w:eastAsia="Arial" w:hAnsi="Arial"/>
                <w:sz w:val="16"/>
                <w:szCs w:val="16"/>
                <w:color w:val="auto"/>
              </w:rPr>
              <w:t xml:space="preserve">Top </w:t>
            </w:r>
            <w:r>
              <w:rPr>
                <w:rFonts w:ascii="Arial" w:cs="Arial" w:eastAsia="Arial" w:hAnsi="Arial"/>
                <w:sz w:val="43"/>
                <w:szCs w:val="43"/>
                <w:b w:val="1"/>
                <w:bCs w:val="1"/>
                <w:color w:val="auto"/>
              </w:rPr>
              <w:t>50</w:t>
            </w:r>
            <w:r>
              <w:rPr>
                <w:rFonts w:ascii="Arial" w:cs="Arial" w:eastAsia="Arial" w:hAnsi="Arial"/>
                <w:sz w:val="16"/>
                <w:szCs w:val="16"/>
                <w:color w:val="auto"/>
              </w:rPr>
              <w:t xml:space="preserve"> shareowners representing 52%</w:t>
            </w:r>
          </w:p>
        </w:tc>
        <w:tc>
          <w:tcPr>
            <w:tcW w:w="3840" w:type="dxa"/>
            <w:vAlign w:val="bottom"/>
            <w:tcBorders>
              <w:right w:val="single" w:sz="8" w:color="D7282F"/>
            </w:tcBorders>
          </w:tcPr>
          <w:p>
            <w:pPr>
              <w:ind w:left="100"/>
              <w:spacing w:after="0" w:line="489" w:lineRule="exact"/>
              <w:rPr>
                <w:sz w:val="20"/>
                <w:szCs w:val="20"/>
                <w:color w:val="auto"/>
              </w:rPr>
            </w:pPr>
            <w:r>
              <w:rPr>
                <w:rFonts w:ascii="Arial" w:cs="Arial" w:eastAsia="Arial" w:hAnsi="Arial"/>
                <w:sz w:val="43"/>
                <w:szCs w:val="43"/>
                <w:b w:val="1"/>
                <w:bCs w:val="1"/>
                <w:color w:val="auto"/>
              </w:rPr>
              <w:t>21%</w:t>
            </w:r>
          </w:p>
        </w:tc>
        <w:tc>
          <w:tcPr>
            <w:tcW w:w="4000" w:type="dxa"/>
            <w:vAlign w:val="bottom"/>
          </w:tcPr>
          <w:p>
            <w:pPr>
              <w:ind w:left="100"/>
              <w:spacing w:after="0" w:line="489" w:lineRule="exact"/>
              <w:rPr>
                <w:sz w:val="20"/>
                <w:szCs w:val="20"/>
                <w:color w:val="auto"/>
              </w:rPr>
            </w:pPr>
            <w:r>
              <w:rPr>
                <w:rFonts w:ascii="Arial" w:cs="Arial" w:eastAsia="Arial" w:hAnsi="Arial"/>
                <w:sz w:val="43"/>
                <w:szCs w:val="43"/>
                <w:b w:val="1"/>
                <w:bCs w:val="1"/>
                <w:color w:val="auto"/>
              </w:rPr>
              <w:t>20%</w:t>
            </w:r>
          </w:p>
        </w:tc>
      </w:tr>
      <w:tr>
        <w:trPr>
          <w:trHeight w:val="189"/>
        </w:trPr>
        <w:tc>
          <w:tcPr>
            <w:tcW w:w="3380" w:type="dxa"/>
            <w:vAlign w:val="bottom"/>
            <w:tcBorders>
              <w:right w:val="single" w:sz="8" w:color="D7282F"/>
            </w:tcBorders>
          </w:tcPr>
          <w:p>
            <w:pPr>
              <w:ind w:left="20"/>
              <w:spacing w:after="0"/>
              <w:rPr>
                <w:sz w:val="20"/>
                <w:szCs w:val="20"/>
                <w:color w:val="auto"/>
              </w:rPr>
            </w:pPr>
            <w:r>
              <w:rPr>
                <w:rFonts w:ascii="Arial" w:cs="Arial" w:eastAsia="Arial" w:hAnsi="Arial"/>
                <w:sz w:val="16"/>
                <w:szCs w:val="16"/>
                <w:color w:val="auto"/>
              </w:rPr>
              <w:t>of shares outstanding</w:t>
            </w: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of shares outstanding, held by 18 of our largest</w:t>
            </w:r>
          </w:p>
        </w:tc>
        <w:tc>
          <w:tcPr>
            <w:tcW w:w="4000" w:type="dxa"/>
            <w:vAlign w:val="bottom"/>
          </w:tcPr>
          <w:p>
            <w:pPr>
              <w:ind w:left="100"/>
              <w:spacing w:after="0"/>
              <w:rPr>
                <w:sz w:val="20"/>
                <w:szCs w:val="20"/>
                <w:color w:val="auto"/>
              </w:rPr>
            </w:pPr>
            <w:r>
              <w:rPr>
                <w:rFonts w:ascii="Arial" w:cs="Arial" w:eastAsia="Arial" w:hAnsi="Arial"/>
                <w:sz w:val="16"/>
                <w:szCs w:val="16"/>
                <w:color w:val="auto"/>
              </w:rPr>
              <w:t>of shares outstanding engaged by independent Lead</w:t>
            </w:r>
          </w:p>
        </w:tc>
      </w:tr>
      <w:tr>
        <w:trPr>
          <w:trHeight w:val="215"/>
        </w:trPr>
        <w:tc>
          <w:tcPr>
            <w:tcW w:w="3380" w:type="dxa"/>
            <w:vAlign w:val="bottom"/>
            <w:tcBorders>
              <w:right w:val="single" w:sz="8" w:color="D7282F"/>
            </w:tcBorders>
          </w:tcPr>
          <w:p>
            <w:pPr>
              <w:spacing w:after="0"/>
              <w:rPr>
                <w:sz w:val="18"/>
                <w:szCs w:val="18"/>
                <w:color w:val="auto"/>
              </w:rPr>
            </w:pPr>
          </w:p>
        </w:tc>
        <w:tc>
          <w:tcPr>
            <w:tcW w:w="3840" w:type="dxa"/>
            <w:vAlign w:val="bottom"/>
            <w:tcBorders>
              <w:right w:val="single" w:sz="8" w:color="D7282F"/>
            </w:tcBorders>
          </w:tcPr>
          <w:p>
            <w:pPr>
              <w:ind w:left="100"/>
              <w:spacing w:after="0"/>
              <w:rPr>
                <w:sz w:val="20"/>
                <w:szCs w:val="20"/>
                <w:color w:val="auto"/>
              </w:rPr>
            </w:pPr>
            <w:r>
              <w:rPr>
                <w:rFonts w:ascii="Arial" w:cs="Arial" w:eastAsia="Arial" w:hAnsi="Arial"/>
                <w:sz w:val="16"/>
                <w:szCs w:val="16"/>
                <w:color w:val="auto"/>
              </w:rPr>
              <w:t>shareowners</w:t>
            </w:r>
          </w:p>
        </w:tc>
        <w:tc>
          <w:tcPr>
            <w:tcW w:w="4000" w:type="dxa"/>
            <w:vAlign w:val="bottom"/>
          </w:tcPr>
          <w:p>
            <w:pPr>
              <w:ind w:left="100"/>
              <w:spacing w:after="0"/>
              <w:rPr>
                <w:sz w:val="20"/>
                <w:szCs w:val="20"/>
                <w:color w:val="auto"/>
              </w:rPr>
            </w:pPr>
            <w:r>
              <w:rPr>
                <w:rFonts w:ascii="Arial" w:cs="Arial" w:eastAsia="Arial" w:hAnsi="Arial"/>
                <w:sz w:val="16"/>
                <w:szCs w:val="16"/>
                <w:color w:val="auto"/>
              </w:rPr>
              <w:t>Director, MDCC Chair, or CGRC Chair</w:t>
            </w:r>
          </w:p>
        </w:tc>
      </w:tr>
      <w:tr>
        <w:trPr>
          <w:trHeight w:val="29"/>
        </w:trPr>
        <w:tc>
          <w:tcPr>
            <w:tcW w:w="3380" w:type="dxa"/>
            <w:vAlign w:val="bottom"/>
            <w:tcBorders>
              <w:right w:val="single" w:sz="8" w:color="D7282F"/>
            </w:tcBorders>
          </w:tcPr>
          <w:p>
            <w:pPr>
              <w:spacing w:after="0"/>
              <w:rPr>
                <w:sz w:val="2"/>
                <w:szCs w:val="2"/>
                <w:color w:val="auto"/>
              </w:rPr>
            </w:pPr>
          </w:p>
        </w:tc>
        <w:tc>
          <w:tcPr>
            <w:tcW w:w="3840" w:type="dxa"/>
            <w:vAlign w:val="bottom"/>
            <w:tcBorders>
              <w:right w:val="single" w:sz="8" w:color="D7282F"/>
            </w:tcBorders>
          </w:tcPr>
          <w:p>
            <w:pPr>
              <w:spacing w:after="0"/>
              <w:rPr>
                <w:sz w:val="2"/>
                <w:szCs w:val="2"/>
                <w:color w:val="auto"/>
              </w:rPr>
            </w:pPr>
          </w:p>
        </w:tc>
        <w:tc>
          <w:tcPr>
            <w:tcW w:w="4000" w:type="dxa"/>
            <w:vAlign w:val="bottom"/>
          </w:tcPr>
          <w:p>
            <w:pPr>
              <w:spacing w:after="0"/>
              <w:rPr>
                <w:sz w:val="2"/>
                <w:szCs w:val="2"/>
                <w:color w:val="auto"/>
              </w:rPr>
            </w:pPr>
          </w:p>
        </w:tc>
      </w:tr>
    </w:tbl>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shd w:val="clear" w:color="auto" w:fill="D7282F"/>
          </w:tcPr>
          <w:p>
            <w:pPr>
              <w:spacing w:after="0"/>
              <w:rPr>
                <w:sz w:val="24"/>
                <w:szCs w:val="24"/>
                <w:color w:val="auto"/>
              </w:rPr>
            </w:pPr>
          </w:p>
        </w:tc>
        <w:tc>
          <w:tcPr>
            <w:tcW w:w="1600" w:type="dxa"/>
            <w:vAlign w:val="bottom"/>
            <w:shd w:val="clear" w:color="auto" w:fill="D7282F"/>
          </w:tcPr>
          <w:p>
            <w:pPr>
              <w:spacing w:after="0"/>
              <w:rPr>
                <w:sz w:val="20"/>
                <w:szCs w:val="20"/>
                <w:color w:val="auto"/>
              </w:rPr>
            </w:pPr>
            <w:r>
              <w:rPr>
                <w:rFonts w:ascii="Arial" w:cs="Arial" w:eastAsia="Arial" w:hAnsi="Arial"/>
                <w:sz w:val="16"/>
                <w:szCs w:val="16"/>
                <w:b w:val="1"/>
                <w:bCs w:val="1"/>
                <w:color w:val="FFFFFF"/>
              </w:rPr>
              <w:t>INVESTOR TOPIC</w:t>
            </w:r>
          </w:p>
        </w:tc>
        <w:tc>
          <w:tcPr>
            <w:tcW w:w="1020" w:type="dxa"/>
            <w:vAlign w:val="bottom"/>
            <w:shd w:val="clear" w:color="auto" w:fill="D7282F"/>
          </w:tcPr>
          <w:p>
            <w:pPr>
              <w:spacing w:after="0"/>
              <w:rPr>
                <w:sz w:val="24"/>
                <w:szCs w:val="24"/>
                <w:color w:val="auto"/>
              </w:rPr>
            </w:pPr>
          </w:p>
        </w:tc>
        <w:tc>
          <w:tcPr>
            <w:tcW w:w="4180" w:type="dxa"/>
            <w:vAlign w:val="bottom"/>
            <w:shd w:val="clear" w:color="auto" w:fill="D7282F"/>
          </w:tcPr>
          <w:p>
            <w:pPr>
              <w:ind w:left="20"/>
              <w:spacing w:after="0"/>
              <w:rPr>
                <w:sz w:val="20"/>
                <w:szCs w:val="20"/>
                <w:color w:val="auto"/>
              </w:rPr>
            </w:pPr>
            <w:r>
              <w:rPr>
                <w:rFonts w:ascii="Arial" w:cs="Arial" w:eastAsia="Arial" w:hAnsi="Arial"/>
                <w:sz w:val="16"/>
                <w:szCs w:val="16"/>
                <w:b w:val="1"/>
                <w:bCs w:val="1"/>
                <w:color w:val="FFFFFF"/>
              </w:rPr>
              <w:t>FEEDBACK RECEIVED</w:t>
            </w:r>
          </w:p>
        </w:tc>
        <w:tc>
          <w:tcPr>
            <w:tcW w:w="4400" w:type="dxa"/>
            <w:vAlign w:val="bottom"/>
            <w:shd w:val="clear" w:color="auto" w:fill="D7282F"/>
          </w:tcPr>
          <w:p>
            <w:pPr>
              <w:ind w:left="20"/>
              <w:spacing w:after="0"/>
              <w:rPr>
                <w:sz w:val="20"/>
                <w:szCs w:val="20"/>
                <w:color w:val="auto"/>
              </w:rPr>
            </w:pPr>
            <w:r>
              <w:rPr>
                <w:rFonts w:ascii="Arial" w:cs="Arial" w:eastAsia="Arial" w:hAnsi="Arial"/>
                <w:sz w:val="16"/>
                <w:szCs w:val="16"/>
                <w:b w:val="1"/>
                <w:bCs w:val="1"/>
                <w:color w:val="FFFFFF"/>
              </w:rPr>
              <w:t>ACTION TAKEN</w:t>
            </w:r>
          </w:p>
        </w:tc>
        <w:tc>
          <w:tcPr>
            <w:tcW w:w="20" w:type="dxa"/>
            <w:vAlign w:val="bottom"/>
          </w:tcPr>
          <w:p>
            <w:pPr>
              <w:spacing w:after="0"/>
              <w:rPr>
                <w:sz w:val="24"/>
                <w:szCs w:val="24"/>
                <w:color w:val="auto"/>
              </w:rPr>
            </w:pPr>
          </w:p>
        </w:tc>
      </w:tr>
      <w:tr>
        <w:trPr>
          <w:trHeight w:val="62"/>
        </w:trPr>
        <w:tc>
          <w:tcPr>
            <w:tcW w:w="20" w:type="dxa"/>
            <w:vAlign w:val="bottom"/>
            <w:shd w:val="clear" w:color="auto" w:fill="D7282F"/>
          </w:tcPr>
          <w:p>
            <w:pPr>
              <w:spacing w:after="0"/>
              <w:rPr>
                <w:sz w:val="5"/>
                <w:szCs w:val="5"/>
                <w:color w:val="auto"/>
              </w:rPr>
            </w:pPr>
          </w:p>
        </w:tc>
        <w:tc>
          <w:tcPr>
            <w:tcW w:w="2620" w:type="dxa"/>
            <w:vAlign w:val="bottom"/>
            <w:gridSpan w:val="2"/>
            <w:shd w:val="clear" w:color="auto" w:fill="D7282F"/>
          </w:tcPr>
          <w:p>
            <w:pPr>
              <w:spacing w:after="0"/>
              <w:rPr>
                <w:sz w:val="5"/>
                <w:szCs w:val="5"/>
                <w:color w:val="auto"/>
              </w:rPr>
            </w:pPr>
          </w:p>
        </w:tc>
        <w:tc>
          <w:tcPr>
            <w:tcW w:w="4180" w:type="dxa"/>
            <w:vAlign w:val="bottom"/>
            <w:shd w:val="clear" w:color="auto" w:fill="D7282F"/>
          </w:tcPr>
          <w:p>
            <w:pPr>
              <w:spacing w:after="0"/>
              <w:rPr>
                <w:sz w:val="5"/>
                <w:szCs w:val="5"/>
                <w:color w:val="auto"/>
              </w:rPr>
            </w:pPr>
          </w:p>
        </w:tc>
        <w:tc>
          <w:tcPr>
            <w:tcW w:w="4400" w:type="dxa"/>
            <w:vAlign w:val="bottom"/>
            <w:shd w:val="clear" w:color="auto" w:fill="D7282F"/>
          </w:tcPr>
          <w:p>
            <w:pPr>
              <w:spacing w:after="0"/>
              <w:rPr>
                <w:sz w:val="5"/>
                <w:szCs w:val="5"/>
                <w:color w:val="auto"/>
              </w:rPr>
            </w:pPr>
          </w:p>
        </w:tc>
        <w:tc>
          <w:tcPr>
            <w:tcW w:w="20" w:type="dxa"/>
            <w:vAlign w:val="bottom"/>
          </w:tcPr>
          <w:p>
            <w:pPr>
              <w:spacing w:after="0"/>
              <w:rPr>
                <w:sz w:val="5"/>
                <w:szCs w:val="5"/>
                <w:color w:val="auto"/>
              </w:rPr>
            </w:pPr>
          </w:p>
        </w:tc>
      </w:tr>
      <w:tr>
        <w:trPr>
          <w:trHeight w:val="256"/>
        </w:trPr>
        <w:tc>
          <w:tcPr>
            <w:tcW w:w="20" w:type="dxa"/>
            <w:vAlign w:val="bottom"/>
          </w:tcPr>
          <w:p>
            <w:pPr>
              <w:spacing w:after="0"/>
              <w:rPr>
                <w:sz w:val="22"/>
                <w:szCs w:val="22"/>
                <w:color w:val="auto"/>
              </w:rPr>
            </w:pPr>
          </w:p>
        </w:tc>
        <w:tc>
          <w:tcPr>
            <w:tcW w:w="2620" w:type="dxa"/>
            <w:vAlign w:val="bottom"/>
            <w:gridSpan w:val="2"/>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Continued assessment</w:t>
            </w:r>
          </w:p>
        </w:tc>
        <w:tc>
          <w:tcPr>
            <w:tcW w:w="418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Peer group should be evaluated annually to ensure</w:t>
            </w:r>
          </w:p>
        </w:tc>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In 2023, we added Cisco Systems, Inc. and Medtronic plc</w:t>
            </w:r>
          </w:p>
        </w:tc>
      </w:tr>
      <w:tr>
        <w:trPr>
          <w:trHeight w:val="189"/>
        </w:trPr>
        <w:tc>
          <w:tcPr>
            <w:tcW w:w="20" w:type="dxa"/>
            <w:vAlign w:val="bottom"/>
          </w:tcPr>
          <w:p>
            <w:pPr>
              <w:spacing w:after="0"/>
              <w:rPr>
                <w:sz w:val="16"/>
                <w:szCs w:val="16"/>
                <w:color w:val="auto"/>
              </w:rPr>
            </w:pPr>
          </w:p>
        </w:tc>
        <w:tc>
          <w:tcPr>
            <w:tcW w:w="1600" w:type="dxa"/>
            <w:vAlign w:val="bottom"/>
          </w:tcPr>
          <w:p>
            <w:pPr>
              <w:ind w:left="200"/>
              <w:spacing w:after="0"/>
              <w:rPr>
                <w:sz w:val="20"/>
                <w:szCs w:val="20"/>
                <w:color w:val="auto"/>
              </w:rPr>
            </w:pPr>
            <w:r>
              <w:rPr>
                <w:rFonts w:ascii="Arial" w:cs="Arial" w:eastAsia="Arial" w:hAnsi="Arial"/>
                <w:sz w:val="16"/>
                <w:szCs w:val="16"/>
                <w:color w:val="auto"/>
              </w:rPr>
              <w:t>of appropriate peer</w:t>
            </w:r>
          </w:p>
        </w:tc>
        <w:tc>
          <w:tcPr>
            <w:tcW w:w="1020" w:type="dxa"/>
            <w:vAlign w:val="bottom"/>
          </w:tcPr>
          <w:p>
            <w:pPr>
              <w:spacing w:after="0"/>
              <w:rPr>
                <w:sz w:val="16"/>
                <w:szCs w:val="16"/>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that it continues to represent Honeywell's diverse</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to the Compensation Peer Group. A discussion of our</w:t>
            </w:r>
          </w:p>
        </w:tc>
      </w:tr>
      <w:tr>
        <w:trPr>
          <w:trHeight w:val="203"/>
        </w:trPr>
        <w:tc>
          <w:tcPr>
            <w:tcW w:w="20" w:type="dxa"/>
            <w:vAlign w:val="bottom"/>
          </w:tcPr>
          <w:p>
            <w:pPr>
              <w:spacing w:after="0"/>
              <w:rPr>
                <w:sz w:val="17"/>
                <w:szCs w:val="17"/>
                <w:color w:val="auto"/>
              </w:rPr>
            </w:pPr>
          </w:p>
        </w:tc>
        <w:tc>
          <w:tcPr>
            <w:tcW w:w="1600" w:type="dxa"/>
            <w:vAlign w:val="bottom"/>
          </w:tcPr>
          <w:p>
            <w:pPr>
              <w:ind w:left="200"/>
              <w:spacing w:after="0"/>
              <w:rPr>
                <w:sz w:val="20"/>
                <w:szCs w:val="20"/>
                <w:color w:val="auto"/>
              </w:rPr>
            </w:pPr>
            <w:r>
              <w:rPr>
                <w:rFonts w:ascii="Arial" w:cs="Arial" w:eastAsia="Arial" w:hAnsi="Arial"/>
                <w:sz w:val="16"/>
                <w:szCs w:val="16"/>
                <w:color w:val="auto"/>
              </w:rPr>
              <w:t>group selection.</w:t>
            </w:r>
          </w:p>
        </w:tc>
        <w:tc>
          <w:tcPr>
            <w:tcW w:w="102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industries, complexity, and financial profile, utilizing a</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consistent approach and framework can be found in</w:t>
            </w: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consistent approach and framework, with most</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the “Compensation Peer Group” on page 55.</w:t>
            </w: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acknowledging the limitations associated with the</w:t>
            </w: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current Compensation Peer Group; most agreed with</w:t>
            </w:r>
          </w:p>
        </w:tc>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a peer set shift over time, with clear disclosure of the</w:t>
            </w:r>
          </w:p>
        </w:tc>
        <w:tc>
          <w:tcPr>
            <w:tcW w:w="44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MDCC’s rationale for the change.</w:t>
            </w:r>
          </w:p>
        </w:tc>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3"/>
        </w:trPr>
        <w:tc>
          <w:tcPr>
            <w:tcW w:w="20" w:type="dxa"/>
            <w:vAlign w:val="bottom"/>
          </w:tcPr>
          <w:p>
            <w:pPr>
              <w:spacing w:after="0"/>
              <w:rPr>
                <w:sz w:val="7"/>
                <w:szCs w:val="7"/>
                <w:color w:val="auto"/>
              </w:rPr>
            </w:pPr>
          </w:p>
        </w:tc>
        <w:tc>
          <w:tcPr>
            <w:tcW w:w="2620" w:type="dxa"/>
            <w:vAlign w:val="bottom"/>
            <w:tcBorders>
              <w:bottom w:val="single" w:sz="8" w:color="939598"/>
            </w:tcBorders>
            <w:gridSpan w:val="2"/>
          </w:tcPr>
          <w:p>
            <w:pPr>
              <w:spacing w:after="0"/>
              <w:rPr>
                <w:sz w:val="7"/>
                <w:szCs w:val="7"/>
                <w:color w:val="auto"/>
              </w:rPr>
            </w:pPr>
          </w:p>
        </w:tc>
        <w:tc>
          <w:tcPr>
            <w:tcW w:w="4180" w:type="dxa"/>
            <w:vAlign w:val="bottom"/>
            <w:tcBorders>
              <w:bottom w:val="single" w:sz="8" w:color="939598"/>
            </w:tcBorders>
          </w:tcPr>
          <w:p>
            <w:pPr>
              <w:spacing w:after="0"/>
              <w:rPr>
                <w:sz w:val="7"/>
                <w:szCs w:val="7"/>
                <w:color w:val="auto"/>
              </w:rPr>
            </w:pPr>
          </w:p>
        </w:tc>
        <w:tc>
          <w:tcPr>
            <w:tcW w:w="4420" w:type="dxa"/>
            <w:vAlign w:val="bottom"/>
            <w:tcBorders>
              <w:bottom w:val="single" w:sz="8" w:color="939598"/>
            </w:tcBorders>
            <w:gridSpan w:val="2"/>
          </w:tcPr>
          <w:p>
            <w:pPr>
              <w:spacing w:after="0"/>
              <w:rPr>
                <w:sz w:val="7"/>
                <w:szCs w:val="7"/>
                <w:color w:val="auto"/>
              </w:rPr>
            </w:pPr>
          </w:p>
        </w:tc>
      </w:tr>
      <w:tr>
        <w:trPr>
          <w:trHeight w:val="236"/>
        </w:trPr>
        <w:tc>
          <w:tcPr>
            <w:tcW w:w="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Impact of ESG results</w:t>
            </w:r>
          </w:p>
        </w:tc>
        <w:tc>
          <w:tcPr>
            <w:tcW w:w="418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Enhanced disclosure demonstrating how ESG</w:t>
            </w:r>
          </w:p>
        </w:tc>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Starting in 2023, 5% of each NEO's target ICP award was</w:t>
            </w:r>
          </w:p>
        </w:tc>
      </w:tr>
      <w:tr>
        <w:trPr>
          <w:trHeight w:val="189"/>
        </w:trPr>
        <w:tc>
          <w:tcPr>
            <w:tcW w:w="20" w:type="dxa"/>
            <w:vAlign w:val="bottom"/>
          </w:tcPr>
          <w:p>
            <w:pPr>
              <w:spacing w:after="0"/>
              <w:rPr>
                <w:sz w:val="16"/>
                <w:szCs w:val="16"/>
                <w:color w:val="auto"/>
              </w:rPr>
            </w:pPr>
          </w:p>
        </w:tc>
        <w:tc>
          <w:tcPr>
            <w:tcW w:w="2620" w:type="dxa"/>
            <w:vAlign w:val="bottom"/>
            <w:gridSpan w:val="2"/>
          </w:tcPr>
          <w:p>
            <w:pPr>
              <w:ind w:left="200"/>
              <w:spacing w:after="0"/>
              <w:rPr>
                <w:sz w:val="20"/>
                <w:szCs w:val="20"/>
                <w:color w:val="auto"/>
              </w:rPr>
            </w:pPr>
            <w:r>
              <w:rPr>
                <w:rFonts w:ascii="Arial" w:cs="Arial" w:eastAsia="Arial" w:hAnsi="Arial"/>
                <w:sz w:val="16"/>
                <w:szCs w:val="16"/>
                <w:color w:val="auto"/>
              </w:rPr>
              <w:t>in compensation decisions.</w:t>
            </w:r>
          </w:p>
        </w:tc>
        <w:tc>
          <w:tcPr>
            <w:tcW w:w="4180" w:type="dxa"/>
            <w:vAlign w:val="bottom"/>
          </w:tcPr>
          <w:p>
            <w:pPr>
              <w:ind w:left="220"/>
              <w:spacing w:after="0"/>
              <w:rPr>
                <w:sz w:val="20"/>
                <w:szCs w:val="20"/>
                <w:color w:val="auto"/>
              </w:rPr>
            </w:pPr>
            <w:r>
              <w:rPr>
                <w:rFonts w:ascii="Arial" w:cs="Arial" w:eastAsia="Arial" w:hAnsi="Arial"/>
                <w:sz w:val="16"/>
                <w:szCs w:val="16"/>
                <w:color w:val="auto"/>
              </w:rPr>
              <w:t>performance is measured is beneficial when</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determined based on performance against an ESG</w:t>
            </w: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evaluating pay decisions.</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scorecard that includes specific goals for each ESG area</w:t>
            </w: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 Environmental, Social, and Governance; concurrent</w:t>
            </w: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with this change, the individual performance qualitative</w:t>
            </w: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assessment portion of ICP was decreased from 20% to</w:t>
            </w:r>
          </w:p>
        </w:tc>
      </w:tr>
      <w:tr>
        <w:trPr>
          <w:trHeight w:val="215"/>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400" w:type="dxa"/>
            <w:vAlign w:val="bottom"/>
          </w:tcPr>
          <w:p>
            <w:pPr>
              <w:ind w:left="220"/>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r>
      <w:tr>
        <w:trPr>
          <w:trHeight w:val="83"/>
        </w:trPr>
        <w:tc>
          <w:tcPr>
            <w:tcW w:w="20" w:type="dxa"/>
            <w:vAlign w:val="bottom"/>
            <w:tcBorders>
              <w:bottom w:val="single" w:sz="8" w:color="939598"/>
            </w:tcBorders>
          </w:tcPr>
          <w:p>
            <w:pPr>
              <w:spacing w:after="0"/>
              <w:rPr>
                <w:sz w:val="7"/>
                <w:szCs w:val="7"/>
                <w:color w:val="auto"/>
              </w:rPr>
            </w:pPr>
          </w:p>
        </w:tc>
        <w:tc>
          <w:tcPr>
            <w:tcW w:w="2620" w:type="dxa"/>
            <w:vAlign w:val="bottom"/>
            <w:tcBorders>
              <w:bottom w:val="single" w:sz="8" w:color="939598"/>
            </w:tcBorders>
            <w:gridSpan w:val="2"/>
          </w:tcPr>
          <w:p>
            <w:pPr>
              <w:spacing w:after="0"/>
              <w:rPr>
                <w:sz w:val="7"/>
                <w:szCs w:val="7"/>
                <w:color w:val="auto"/>
              </w:rPr>
            </w:pPr>
          </w:p>
        </w:tc>
        <w:tc>
          <w:tcPr>
            <w:tcW w:w="4180" w:type="dxa"/>
            <w:vAlign w:val="bottom"/>
            <w:tcBorders>
              <w:bottom w:val="single" w:sz="8" w:color="939598"/>
            </w:tcBorders>
          </w:tcPr>
          <w:p>
            <w:pPr>
              <w:spacing w:after="0"/>
              <w:rPr>
                <w:sz w:val="7"/>
                <w:szCs w:val="7"/>
                <w:color w:val="auto"/>
              </w:rPr>
            </w:pPr>
          </w:p>
        </w:tc>
        <w:tc>
          <w:tcPr>
            <w:tcW w:w="4400" w:type="dxa"/>
            <w:vAlign w:val="bottom"/>
            <w:tcBorders>
              <w:bottom w:val="single" w:sz="8" w:color="939598"/>
            </w:tcBorders>
          </w:tcPr>
          <w:p>
            <w:pPr>
              <w:spacing w:after="0"/>
              <w:rPr>
                <w:sz w:val="7"/>
                <w:szCs w:val="7"/>
                <w:color w:val="auto"/>
              </w:rPr>
            </w:pPr>
          </w:p>
        </w:tc>
        <w:tc>
          <w:tcPr>
            <w:tcW w:w="20" w:type="dxa"/>
            <w:vAlign w:val="bottom"/>
          </w:tcPr>
          <w:p>
            <w:pPr>
              <w:spacing w:after="0"/>
              <w:rPr>
                <w:sz w:val="7"/>
                <w:szCs w:val="7"/>
                <w:color w:val="auto"/>
              </w:rPr>
            </w:pPr>
          </w:p>
        </w:tc>
      </w:tr>
      <w:tr>
        <w:trPr>
          <w:trHeight w:val="236"/>
        </w:trPr>
        <w:tc>
          <w:tcPr>
            <w:tcW w:w="20" w:type="dxa"/>
            <w:vAlign w:val="bottom"/>
          </w:tcPr>
          <w:p>
            <w:pPr>
              <w:spacing w:after="0"/>
              <w:rPr>
                <w:sz w:val="20"/>
                <w:szCs w:val="20"/>
                <w:color w:val="auto"/>
              </w:rPr>
            </w:pPr>
          </w:p>
        </w:tc>
        <w:tc>
          <w:tcPr>
            <w:tcW w:w="2620" w:type="dxa"/>
            <w:vAlign w:val="bottom"/>
            <w:gridSpan w:val="2"/>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Overall plan design including</w:t>
            </w:r>
          </w:p>
        </w:tc>
        <w:tc>
          <w:tcPr>
            <w:tcW w:w="418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Shareowners generally support Honeywell's</w:t>
            </w:r>
          </w:p>
        </w:tc>
        <w:tc>
          <w:tcPr>
            <w:tcW w:w="4420" w:type="dxa"/>
            <w:vAlign w:val="bottom"/>
            <w:gridSpan w:val="2"/>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MDCC updated the mix of equity, keeping</w:t>
            </w:r>
          </w:p>
        </w:tc>
      </w:tr>
      <w:tr>
        <w:trPr>
          <w:trHeight w:val="189"/>
        </w:trPr>
        <w:tc>
          <w:tcPr>
            <w:tcW w:w="20" w:type="dxa"/>
            <w:vAlign w:val="bottom"/>
          </w:tcPr>
          <w:p>
            <w:pPr>
              <w:spacing w:after="0"/>
              <w:rPr>
                <w:sz w:val="16"/>
                <w:szCs w:val="16"/>
                <w:color w:val="auto"/>
              </w:rPr>
            </w:pPr>
          </w:p>
        </w:tc>
        <w:tc>
          <w:tcPr>
            <w:tcW w:w="2620" w:type="dxa"/>
            <w:vAlign w:val="bottom"/>
            <w:gridSpan w:val="2"/>
          </w:tcPr>
          <w:p>
            <w:pPr>
              <w:ind w:left="220"/>
              <w:spacing w:after="0"/>
              <w:rPr>
                <w:sz w:val="20"/>
                <w:szCs w:val="20"/>
                <w:color w:val="auto"/>
              </w:rPr>
            </w:pPr>
            <w:r>
              <w:rPr>
                <w:rFonts w:ascii="Arial" w:cs="Arial" w:eastAsia="Arial" w:hAnsi="Arial"/>
                <w:sz w:val="16"/>
                <w:szCs w:val="16"/>
                <w:color w:val="auto"/>
              </w:rPr>
              <w:t>equity mix and metrics.</w:t>
            </w:r>
          </w:p>
        </w:tc>
        <w:tc>
          <w:tcPr>
            <w:tcW w:w="4180" w:type="dxa"/>
            <w:vAlign w:val="bottom"/>
          </w:tcPr>
          <w:p>
            <w:pPr>
              <w:ind w:left="220"/>
              <w:spacing w:after="0"/>
              <w:rPr>
                <w:sz w:val="20"/>
                <w:szCs w:val="20"/>
                <w:color w:val="auto"/>
              </w:rPr>
            </w:pPr>
            <w:r>
              <w:rPr>
                <w:rFonts w:ascii="Arial" w:cs="Arial" w:eastAsia="Arial" w:hAnsi="Arial"/>
                <w:sz w:val="16"/>
                <w:szCs w:val="16"/>
                <w:color w:val="auto"/>
              </w:rPr>
              <w:t>compensation program design and the MDCC's</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Performance Stock Units at 50% while increasing RSUs</w:t>
            </w: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180" w:type="dxa"/>
            <w:vAlign w:val="bottom"/>
          </w:tcPr>
          <w:p>
            <w:pPr>
              <w:ind w:left="220"/>
              <w:spacing w:after="0"/>
              <w:rPr>
                <w:sz w:val="20"/>
                <w:szCs w:val="20"/>
                <w:color w:val="auto"/>
              </w:rPr>
            </w:pPr>
            <w:r>
              <w:rPr>
                <w:rFonts w:ascii="Arial" w:cs="Arial" w:eastAsia="Arial" w:hAnsi="Arial"/>
                <w:sz w:val="16"/>
                <w:szCs w:val="16"/>
                <w:color w:val="auto"/>
              </w:rPr>
              <w:t>administration of the plan.</w:t>
            </w: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to 25% (from 15%) and decreasing stock options to 25%</w:t>
            </w:r>
          </w:p>
        </w:tc>
      </w:tr>
      <w:tr>
        <w:trPr>
          <w:trHeight w:val="215"/>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420" w:type="dxa"/>
            <w:vAlign w:val="bottom"/>
            <w:gridSpan w:val="2"/>
          </w:tcPr>
          <w:p>
            <w:pPr>
              <w:ind w:left="220"/>
              <w:spacing w:after="0"/>
              <w:rPr>
                <w:sz w:val="20"/>
                <w:szCs w:val="20"/>
                <w:color w:val="auto"/>
              </w:rPr>
            </w:pPr>
            <w:r>
              <w:rPr>
                <w:rFonts w:ascii="Arial" w:cs="Arial" w:eastAsia="Arial" w:hAnsi="Arial"/>
                <w:sz w:val="16"/>
                <w:szCs w:val="16"/>
                <w:color w:val="auto"/>
              </w:rPr>
              <w:t>(from 35%).</w:t>
            </w:r>
          </w:p>
        </w:tc>
      </w:tr>
      <w:tr>
        <w:trPr>
          <w:trHeight w:val="83"/>
        </w:trPr>
        <w:tc>
          <w:tcPr>
            <w:tcW w:w="20" w:type="dxa"/>
            <w:vAlign w:val="bottom"/>
            <w:tcBorders>
              <w:bottom w:val="single" w:sz="8" w:color="D7282F"/>
            </w:tcBorders>
          </w:tcPr>
          <w:p>
            <w:pPr>
              <w:spacing w:after="0"/>
              <w:rPr>
                <w:sz w:val="7"/>
                <w:szCs w:val="7"/>
                <w:color w:val="auto"/>
              </w:rPr>
            </w:pPr>
          </w:p>
        </w:tc>
        <w:tc>
          <w:tcPr>
            <w:tcW w:w="1600" w:type="dxa"/>
            <w:vAlign w:val="bottom"/>
            <w:tcBorders>
              <w:bottom w:val="single" w:sz="8" w:color="D7282F"/>
            </w:tcBorders>
          </w:tcPr>
          <w:p>
            <w:pPr>
              <w:spacing w:after="0"/>
              <w:rPr>
                <w:sz w:val="7"/>
                <w:szCs w:val="7"/>
                <w:color w:val="auto"/>
              </w:rPr>
            </w:pPr>
          </w:p>
        </w:tc>
        <w:tc>
          <w:tcPr>
            <w:tcW w:w="5200" w:type="dxa"/>
            <w:vAlign w:val="bottom"/>
            <w:tcBorders>
              <w:bottom w:val="single" w:sz="8" w:color="D7282F"/>
            </w:tcBorders>
            <w:gridSpan w:val="2"/>
          </w:tcPr>
          <w:p>
            <w:pPr>
              <w:spacing w:after="0"/>
              <w:rPr>
                <w:sz w:val="7"/>
                <w:szCs w:val="7"/>
                <w:color w:val="auto"/>
              </w:rPr>
            </w:pPr>
          </w:p>
        </w:tc>
        <w:tc>
          <w:tcPr>
            <w:tcW w:w="4400" w:type="dxa"/>
            <w:vAlign w:val="bottom"/>
            <w:tcBorders>
              <w:bottom w:val="single" w:sz="8" w:color="D7282F"/>
            </w:tcBorders>
          </w:tcPr>
          <w:p>
            <w:pPr>
              <w:spacing w:after="0"/>
              <w:rPr>
                <w:sz w:val="7"/>
                <w:szCs w:val="7"/>
                <w:color w:val="auto"/>
              </w:rPr>
            </w:pPr>
          </w:p>
        </w:tc>
        <w:tc>
          <w:tcPr>
            <w:tcW w:w="20" w:type="dxa"/>
            <w:vAlign w:val="bottom"/>
          </w:tcPr>
          <w:p>
            <w:pPr>
              <w:spacing w:after="0"/>
              <w:rPr>
                <w:sz w:val="7"/>
                <w:szCs w:val="7"/>
                <w:color w:val="auto"/>
              </w:rPr>
            </w:pPr>
          </w:p>
        </w:tc>
      </w:tr>
      <w:tr>
        <w:trPr>
          <w:trHeight w:val="586"/>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52</w:t>
            </w:r>
          </w:p>
        </w:tc>
        <w:tc>
          <w:tcPr>
            <w:tcW w:w="5200" w:type="dxa"/>
            <w:vAlign w:val="bottom"/>
            <w:gridSpan w:val="2"/>
          </w:tcPr>
          <w:p>
            <w:pPr>
              <w:ind w:left="20"/>
              <w:spacing w:after="0"/>
              <w:rPr>
                <w:sz w:val="20"/>
                <w:szCs w:val="20"/>
                <w:color w:val="auto"/>
              </w:rPr>
            </w:pPr>
            <w:r>
              <w:rPr>
                <w:rFonts w:ascii="Arial" w:cs="Arial" w:eastAsia="Arial" w:hAnsi="Arial"/>
                <w:sz w:val="13"/>
                <w:szCs w:val="13"/>
                <w:b w:val="1"/>
                <w:bCs w:val="1"/>
                <w:color w:val="6D6E71"/>
              </w:rPr>
              <w:t>|   2024 NOTICE AND PROXY STATEMENT</w:t>
            </w: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-2228215</wp:posOffset>
            </wp:positionV>
            <wp:extent cx="8255" cy="4318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-2228215</wp:posOffset>
            </wp:positionV>
            <wp:extent cx="8890" cy="431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4318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548640" cy="1028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57" w:name="page58"/>
    <w:bookmarkEnd w:id="57"/>
    <w:p>
      <w:pPr>
        <w:ind w:left="8440"/>
        <w:spacing w:after="0"/>
        <w:rPr>
          <w:sz w:val="20"/>
          <w:szCs w:val="20"/>
          <w:color w:val="auto"/>
        </w:rPr>
      </w:pPr>
      <w:r>
        <w:rPr>
          <w:rFonts w:ascii="Arial" w:cs="Arial" w:eastAsia="Arial" w:hAnsi="Arial"/>
          <w:sz w:val="12"/>
          <w:szCs w:val="12"/>
          <w:b w:val="1"/>
          <w:bCs w:val="1"/>
          <w:color w:val="6D6E71"/>
        </w:rPr>
        <w:t>COMPENSATION DISCUSSION AND ANALYSIS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566160" cy="2311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566160" cy="231140"/>
                    </a:xfrm>
                    <a:prstGeom prst="rect">
                      <a:avLst/>
                    </a:prstGeom>
                    <a:noFill/>
                  </pic:spPr>
                </pic:pic>
              </a:graphicData>
            </a:graphic>
          </wp:anchor>
        </w:drawing>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FFFFFF"/>
        </w:rPr>
        <w:t>WHAT WE DO</w:t>
      </w:r>
    </w:p>
    <w:p>
      <w:pPr>
        <w:spacing w:after="0" w:line="218" w:lineRule="exact"/>
        <w:rPr>
          <w:sz w:val="20"/>
          <w:szCs w:val="20"/>
          <w:color w:val="auto"/>
        </w:rPr>
      </w:pPr>
    </w:p>
    <w:p>
      <w:pPr>
        <w:ind w:left="360" w:hanging="193"/>
        <w:spacing w:after="0"/>
        <w:rPr>
          <w:sz w:val="20"/>
          <w:szCs w:val="20"/>
          <w:color w:val="auto"/>
        </w:rPr>
      </w:pPr>
      <w:r>
        <w:rPr>
          <w:sz w:val="1"/>
          <w:szCs w:val="1"/>
          <w:color w:val="auto"/>
        </w:rPr>
        <w:drawing>
          <wp:inline distT="0" distB="0" distL="0" distR="0">
            <wp:extent cx="68580" cy="5969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Pay for Performance. </w:t>
      </w:r>
      <w:r>
        <w:rPr>
          <w:rFonts w:ascii="Arial" w:cs="Arial" w:eastAsia="Arial" w:hAnsi="Arial"/>
          <w:sz w:val="16"/>
          <w:szCs w:val="16"/>
          <w:color w:val="auto"/>
        </w:rPr>
        <w:t>We closely align pay and performance,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portion of target total direct compensation at-risk. The MDCC validates this alignment annually and ensures that performance-based compensation represents a significant portion of executive compensation.</w:t>
      </w:r>
    </w:p>
    <w:p>
      <w:pPr>
        <w:spacing w:after="0" w:line="55" w:lineRule="exact"/>
        <w:rPr>
          <w:sz w:val="20"/>
          <w:szCs w:val="20"/>
          <w:color w:val="auto"/>
        </w:rPr>
      </w:pPr>
    </w:p>
    <w:p>
      <w:pPr>
        <w:ind w:left="360" w:right="60" w:hanging="193"/>
        <w:spacing w:after="0"/>
        <w:rPr>
          <w:sz w:val="20"/>
          <w:szCs w:val="20"/>
          <w:color w:val="auto"/>
        </w:rPr>
      </w:pPr>
      <w:r>
        <w:rPr>
          <w:sz w:val="1"/>
          <w:szCs w:val="1"/>
          <w:color w:val="auto"/>
        </w:rPr>
        <w:drawing>
          <wp:inline distT="0" distB="0" distL="0" distR="0">
            <wp:extent cx="68580" cy="60325"/>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Robust Performance Goals. </w:t>
      </w:r>
      <w:r>
        <w:rPr>
          <w:rFonts w:ascii="Arial" w:cs="Arial" w:eastAsia="Arial" w:hAnsi="Arial"/>
          <w:sz w:val="16"/>
          <w:szCs w:val="16"/>
          <w:color w:val="auto"/>
        </w:rPr>
        <w:t>We establish clear and measurable</w:t>
      </w:r>
      <w:r>
        <w:rPr>
          <w:rFonts w:ascii="Arial" w:cs="Arial" w:eastAsia="Arial" w:hAnsi="Arial"/>
          <w:sz w:val="16"/>
          <w:szCs w:val="16"/>
          <w:b w:val="1"/>
          <w:bCs w:val="1"/>
          <w:color w:val="auto"/>
        </w:rPr>
        <w:t xml:space="preserve"> </w:t>
      </w:r>
      <w:r>
        <w:rPr>
          <w:rFonts w:ascii="Arial" w:cs="Arial" w:eastAsia="Arial" w:hAnsi="Arial"/>
          <w:sz w:val="16"/>
          <w:szCs w:val="16"/>
          <w:color w:val="auto"/>
        </w:rPr>
        <w:t>goals and targets and hold our executives accountable for achieving specified levels to earn a payout under our incentive plans. We use a varied set of operational metrics for the annual incentive compensation plan (ICP) and performance-based long-term incentives (LTI) to drive top- and bottom-line growth over multiple time frames, aligned with sustained long-term performance.</w:t>
      </w:r>
    </w:p>
    <w:p>
      <w:pPr>
        <w:spacing w:after="0" w:line="55" w:lineRule="exact"/>
        <w:rPr>
          <w:sz w:val="20"/>
          <w:szCs w:val="20"/>
          <w:color w:val="auto"/>
        </w:rPr>
      </w:pPr>
    </w:p>
    <w:p>
      <w:pPr>
        <w:ind w:left="360" w:hanging="193"/>
        <w:spacing w:after="0"/>
        <w:rPr>
          <w:sz w:val="20"/>
          <w:szCs w:val="20"/>
          <w:color w:val="auto"/>
        </w:rPr>
      </w:pPr>
      <w:r>
        <w:rPr>
          <w:sz w:val="1"/>
          <w:szCs w:val="1"/>
          <w:color w:val="auto"/>
        </w:rPr>
        <w:drawing>
          <wp:inline distT="0" distB="0" distL="0" distR="0">
            <wp:extent cx="68580" cy="60325"/>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Clawback Policy. </w:t>
      </w:r>
      <w:r>
        <w:rPr>
          <w:rFonts w:ascii="Arial" w:cs="Arial" w:eastAsia="Arial" w:hAnsi="Arial"/>
          <w:sz w:val="16"/>
          <w:szCs w:val="16"/>
          <w:color w:val="auto"/>
        </w:rPr>
        <w:t>We maintain clawback policies that meet, and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certain areas are broader than, SEC and Nasdaq standards. The policies allow for the recoupment of incentive compensation in the event of a restatement of financial results. </w:t>
      </w:r>
      <w:r>
        <w:rPr>
          <w:rFonts w:ascii="Arial" w:cs="Arial" w:eastAsia="Arial" w:hAnsi="Arial"/>
          <w:sz w:val="16"/>
          <w:szCs w:val="16"/>
          <w:b w:val="1"/>
          <w:bCs w:val="1"/>
          <w:color w:val="D7282F"/>
        </w:rPr>
        <w:t>In 2023, our Board</w:t>
      </w:r>
      <w:r>
        <w:rPr>
          <w:rFonts w:ascii="Arial" w:cs="Arial" w:eastAsia="Arial" w:hAnsi="Arial"/>
          <w:sz w:val="16"/>
          <w:szCs w:val="16"/>
          <w:color w:val="auto"/>
        </w:rPr>
        <w:t xml:space="preserve"> </w:t>
      </w:r>
      <w:r>
        <w:rPr>
          <w:rFonts w:ascii="Arial" w:cs="Arial" w:eastAsia="Arial" w:hAnsi="Arial"/>
          <w:sz w:val="16"/>
          <w:szCs w:val="16"/>
          <w:b w:val="1"/>
          <w:bCs w:val="1"/>
          <w:color w:val="D7282F"/>
        </w:rPr>
        <w:t>adopted a standalone Clawback Policy that is consistent with Rule</w:t>
      </w:r>
    </w:p>
    <w:p>
      <w:pPr>
        <w:ind w:left="360" w:right="440"/>
        <w:spacing w:after="0" w:line="261" w:lineRule="auto"/>
        <w:rPr>
          <w:sz w:val="20"/>
          <w:szCs w:val="20"/>
          <w:color w:val="auto"/>
        </w:rPr>
      </w:pPr>
      <w:r>
        <w:rPr>
          <w:rFonts w:ascii="Arial" w:cs="Arial" w:eastAsia="Arial" w:hAnsi="Arial"/>
          <w:sz w:val="16"/>
          <w:szCs w:val="16"/>
          <w:b w:val="1"/>
          <w:bCs w:val="1"/>
          <w:color w:val="D7282F"/>
        </w:rPr>
        <w:t>10D-1 of the Exchange Act and the Nasdaq listing rules while maintaining our existing policy as a secondary recoupment mechanism.</w:t>
      </w:r>
    </w:p>
    <w:p>
      <w:pPr>
        <w:spacing w:after="0" w:line="32"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5969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Double Trigger in the Event of a Change in Control (CIC). </w:t>
      </w:r>
      <w:r>
        <w:rPr>
          <w:rFonts w:ascii="Arial" w:cs="Arial" w:eastAsia="Arial" w:hAnsi="Arial"/>
          <w:sz w:val="16"/>
          <w:szCs w:val="16"/>
          <w:color w:val="auto"/>
        </w:rPr>
        <w:t>We have</w:t>
      </w:r>
    </w:p>
    <w:p>
      <w:pPr>
        <w:spacing w:after="0" w:line="35" w:lineRule="exact"/>
        <w:rPr>
          <w:sz w:val="20"/>
          <w:szCs w:val="20"/>
          <w:color w:val="auto"/>
        </w:rPr>
      </w:pPr>
    </w:p>
    <w:p>
      <w:pPr>
        <w:ind w:left="360" w:right="80"/>
        <w:spacing w:after="0" w:line="256" w:lineRule="auto"/>
        <w:rPr>
          <w:sz w:val="20"/>
          <w:szCs w:val="20"/>
          <w:color w:val="auto"/>
        </w:rPr>
      </w:pPr>
      <w:r>
        <w:rPr>
          <w:rFonts w:ascii="Arial" w:cs="Arial" w:eastAsia="Arial" w:hAnsi="Arial"/>
          <w:sz w:val="16"/>
          <w:szCs w:val="16"/>
          <w:color w:val="auto"/>
        </w:rPr>
        <w:t>double-trigger vesting on equity and severance for CIC; executives will not receive cash severance nor will equity vest in the event of a CIC unless accompanied by qualifying termination of employment.</w:t>
      </w:r>
    </w:p>
    <w:p>
      <w:pPr>
        <w:spacing w:after="0" w:line="43" w:lineRule="exact"/>
        <w:rPr>
          <w:sz w:val="20"/>
          <w:szCs w:val="20"/>
          <w:color w:val="auto"/>
        </w:rPr>
      </w:pPr>
    </w:p>
    <w:p>
      <w:pPr>
        <w:ind w:left="360" w:right="220" w:hanging="193"/>
        <w:spacing w:after="0"/>
        <w:rPr>
          <w:sz w:val="20"/>
          <w:szCs w:val="20"/>
          <w:color w:val="auto"/>
        </w:rPr>
      </w:pPr>
      <w:r>
        <w:rPr>
          <w:sz w:val="1"/>
          <w:szCs w:val="1"/>
          <w:color w:val="auto"/>
        </w:rPr>
        <w:drawing>
          <wp:inline distT="0" distB="0" distL="0" distR="0">
            <wp:extent cx="68580" cy="60325"/>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Maximum Payout Caps for Incentive Plans. </w:t>
      </w:r>
      <w:r>
        <w:rPr>
          <w:rFonts w:ascii="Arial" w:cs="Arial" w:eastAsia="Arial" w:hAnsi="Arial"/>
          <w:sz w:val="16"/>
          <w:szCs w:val="16"/>
          <w:color w:val="auto"/>
        </w:rPr>
        <w:t>ICP and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Plan payouts are capped.</w:t>
      </w:r>
    </w:p>
    <w:p>
      <w:pPr>
        <w:spacing w:after="0" w:line="55"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60325"/>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Robust Stock Ownership Requirements. </w:t>
      </w:r>
      <w:r>
        <w:rPr>
          <w:rFonts w:ascii="Arial" w:cs="Arial" w:eastAsia="Arial" w:hAnsi="Arial"/>
          <w:sz w:val="16"/>
          <w:szCs w:val="16"/>
          <w:color w:val="auto"/>
        </w:rPr>
        <w:t>We require executive</w:t>
      </w:r>
    </w:p>
    <w:p>
      <w:pPr>
        <w:spacing w:after="0" w:line="35" w:lineRule="exact"/>
        <w:rPr>
          <w:sz w:val="20"/>
          <w:szCs w:val="20"/>
          <w:color w:val="auto"/>
        </w:rPr>
      </w:pPr>
    </w:p>
    <w:p>
      <w:pPr>
        <w:ind w:left="360" w:right="100"/>
        <w:spacing w:after="0" w:line="252" w:lineRule="auto"/>
        <w:rPr>
          <w:sz w:val="20"/>
          <w:szCs w:val="20"/>
          <w:color w:val="auto"/>
        </w:rPr>
      </w:pPr>
      <w:r>
        <w:rPr>
          <w:rFonts w:ascii="Arial" w:cs="Arial" w:eastAsia="Arial" w:hAnsi="Arial"/>
          <w:sz w:val="16"/>
          <w:szCs w:val="16"/>
          <w:color w:val="auto"/>
        </w:rPr>
        <w:t xml:space="preserve">officers to hold meaningful amounts of stock and to hold net shares for one year from exercise or vesting. </w:t>
      </w:r>
      <w:r>
        <w:rPr>
          <w:rFonts w:ascii="Arial" w:cs="Arial" w:eastAsia="Arial" w:hAnsi="Arial"/>
          <w:sz w:val="16"/>
          <w:szCs w:val="16"/>
          <w:b w:val="1"/>
          <w:bCs w:val="1"/>
          <w:color w:val="D7282F"/>
        </w:rPr>
        <w:t>Beginning in 2023, unvested</w:t>
      </w:r>
      <w:r>
        <w:rPr>
          <w:rFonts w:ascii="Arial" w:cs="Arial" w:eastAsia="Arial" w:hAnsi="Arial"/>
          <w:sz w:val="16"/>
          <w:szCs w:val="16"/>
          <w:color w:val="auto"/>
        </w:rPr>
        <w:t xml:space="preserve"> </w:t>
      </w:r>
      <w:r>
        <w:rPr>
          <w:rFonts w:ascii="Arial" w:cs="Arial" w:eastAsia="Arial" w:hAnsi="Arial"/>
          <w:sz w:val="16"/>
          <w:szCs w:val="16"/>
          <w:b w:val="1"/>
          <w:bCs w:val="1"/>
          <w:color w:val="D7282F"/>
        </w:rPr>
        <w:t>performance stock units no longer count toward the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D7282F"/>
        </w:rPr>
        <w:t>ownership requirement.</w:t>
      </w:r>
    </w:p>
    <w:p>
      <w:pPr>
        <w:spacing w:after="0" w:line="57" w:lineRule="exact"/>
        <w:rPr>
          <w:sz w:val="20"/>
          <w:szCs w:val="20"/>
          <w:color w:val="auto"/>
        </w:rPr>
      </w:pPr>
    </w:p>
    <w:p>
      <w:pPr>
        <w:ind w:left="160"/>
        <w:spacing w:after="0"/>
        <w:rPr>
          <w:sz w:val="20"/>
          <w:szCs w:val="20"/>
          <w:color w:val="auto"/>
        </w:rPr>
      </w:pPr>
      <w:r>
        <w:rPr>
          <w:sz w:val="1"/>
          <w:szCs w:val="1"/>
          <w:color w:val="auto"/>
        </w:rPr>
        <w:drawing>
          <wp:inline distT="0" distB="0" distL="0" distR="0">
            <wp:extent cx="68580" cy="5969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59690"/>
                    </a:xfrm>
                    <a:prstGeom prst="rect">
                      <a:avLst/>
                    </a:prstGeom>
                    <a:noFill/>
                    <a:ln>
                      <a:noFill/>
                    </a:ln>
                  </pic:spPr>
                </pic:pic>
              </a:graphicData>
            </a:graphic>
          </wp:inline>
        </w:drawing>
      </w:r>
      <w:r>
        <w:rPr>
          <w:rFonts w:ascii="Arial" w:cs="Arial" w:eastAsia="Arial" w:hAnsi="Arial"/>
          <w:sz w:val="16"/>
          <w:szCs w:val="16"/>
          <w:b w:val="1"/>
          <w:bCs w:val="1"/>
          <w:color w:val="auto"/>
        </w:rPr>
        <w:t xml:space="preserve"> Options Granted at Fair Market Value (FMV). </w:t>
      </w:r>
      <w:r>
        <w:rPr>
          <w:rFonts w:ascii="Arial" w:cs="Arial" w:eastAsia="Arial" w:hAnsi="Arial"/>
          <w:sz w:val="16"/>
          <w:szCs w:val="16"/>
          <w:color w:val="auto"/>
        </w:rPr>
        <w:t>Annual stock options</w:t>
      </w:r>
    </w:p>
    <w:p>
      <w:pPr>
        <w:spacing w:after="0" w:line="35" w:lineRule="exact"/>
        <w:rPr>
          <w:sz w:val="20"/>
          <w:szCs w:val="20"/>
          <w:color w:val="auto"/>
        </w:rPr>
      </w:pPr>
    </w:p>
    <w:p>
      <w:pPr>
        <w:ind w:left="360" w:right="60"/>
        <w:spacing w:after="0" w:line="265" w:lineRule="auto"/>
        <w:rPr>
          <w:sz w:val="20"/>
          <w:szCs w:val="20"/>
          <w:color w:val="auto"/>
        </w:rPr>
      </w:pPr>
      <w:r>
        <w:rPr>
          <w:rFonts w:ascii="Arial" w:cs="Arial" w:eastAsia="Arial" w:hAnsi="Arial"/>
          <w:sz w:val="16"/>
          <w:szCs w:val="16"/>
          <w:color w:val="auto"/>
        </w:rPr>
        <w:t>are approved by the MDCC, with an exercise price no less than the fair market value of Honeywell's common stock on the date of grant.</w:t>
      </w:r>
    </w:p>
    <w:p>
      <w:pPr>
        <w:spacing w:after="0" w:line="37" w:lineRule="exact"/>
        <w:rPr>
          <w:sz w:val="20"/>
          <w:szCs w:val="20"/>
          <w:color w:val="auto"/>
        </w:rPr>
      </w:pPr>
    </w:p>
    <w:p>
      <w:pPr>
        <w:ind w:left="360" w:right="320" w:hanging="193"/>
        <w:spacing w:after="0"/>
        <w:rPr>
          <w:sz w:val="20"/>
          <w:szCs w:val="20"/>
          <w:color w:val="auto"/>
        </w:rPr>
      </w:pPr>
      <w:r>
        <w:rPr>
          <w:sz w:val="1"/>
          <w:szCs w:val="1"/>
          <w:color w:val="auto"/>
        </w:rPr>
        <w:drawing>
          <wp:inline distT="0" distB="0" distL="0" distR="0">
            <wp:extent cx="68580" cy="6032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60325"/>
                    </a:xfrm>
                    <a:prstGeom prst="rect">
                      <a:avLst/>
                    </a:prstGeom>
                    <a:noFill/>
                    <a:ln>
                      <a:noFill/>
                    </a:ln>
                  </pic:spPr>
                </pic:pic>
              </a:graphicData>
            </a:graphic>
          </wp:inline>
        </w:drawing>
      </w:r>
      <w:r>
        <w:rPr>
          <w:rFonts w:ascii="Arial" w:cs="Arial" w:eastAsia="Arial" w:hAnsi="Arial"/>
          <w:sz w:val="16"/>
          <w:szCs w:val="16"/>
          <w:b w:val="1"/>
          <w:bCs w:val="1"/>
          <w:color w:val="auto"/>
        </w:rPr>
        <w:t xml:space="preserve"> Independent Compensation Consultant. </w:t>
      </w:r>
      <w:r>
        <w:rPr>
          <w:rFonts w:ascii="Arial" w:cs="Arial" w:eastAsia="Arial" w:hAnsi="Arial"/>
          <w:sz w:val="16"/>
          <w:szCs w:val="16"/>
          <w:color w:val="auto"/>
        </w:rPr>
        <w:t>The MDCC retains an</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compensation consultant. The independent consultant</w:t>
      </w:r>
    </w:p>
    <w:p>
      <w:pPr>
        <w:ind w:left="360" w:right="180"/>
        <w:spacing w:after="0" w:line="272" w:lineRule="auto"/>
        <w:rPr>
          <w:sz w:val="20"/>
          <w:szCs w:val="20"/>
          <w:color w:val="auto"/>
        </w:rPr>
      </w:pPr>
      <w:r>
        <w:rPr>
          <w:rFonts w:ascii="Arial" w:cs="Arial" w:eastAsia="Arial" w:hAnsi="Arial"/>
          <w:sz w:val="16"/>
          <w:szCs w:val="16"/>
          <w:color w:val="auto"/>
        </w:rPr>
        <w:t xml:space="preserve">attends all MDCC meetings. </w:t>
      </w:r>
      <w:r>
        <w:rPr>
          <w:rFonts w:ascii="Arial" w:cs="Arial" w:eastAsia="Arial" w:hAnsi="Arial"/>
          <w:sz w:val="16"/>
          <w:szCs w:val="16"/>
          <w:b w:val="1"/>
          <w:bCs w:val="1"/>
          <w:color w:val="D7282F"/>
        </w:rPr>
        <w:t>In 2023, the MDCC retained a new</w:t>
      </w:r>
      <w:r>
        <w:rPr>
          <w:rFonts w:ascii="Arial" w:cs="Arial" w:eastAsia="Arial" w:hAnsi="Arial"/>
          <w:sz w:val="16"/>
          <w:szCs w:val="16"/>
          <w:color w:val="auto"/>
        </w:rPr>
        <w:t xml:space="preserve"> </w:t>
      </w:r>
      <w:r>
        <w:rPr>
          <w:rFonts w:ascii="Arial" w:cs="Arial" w:eastAsia="Arial" w:hAnsi="Arial"/>
          <w:sz w:val="16"/>
          <w:szCs w:val="16"/>
          <w:b w:val="1"/>
          <w:bCs w:val="1"/>
          <w:color w:val="D7282F"/>
        </w:rPr>
        <w:t>independent consultant to ensure that the overall compensation program remains externally competitive.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-160655</wp:posOffset>
            </wp:positionV>
            <wp:extent cx="3557270" cy="5503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557270" cy="5503545"/>
                    </a:xfrm>
                    <a:prstGeom prst="rect">
                      <a:avLst/>
                    </a:prstGeom>
                    <a:noFill/>
                  </pic:spPr>
                </pic:pic>
              </a:graphicData>
            </a:graphic>
          </wp:anchor>
        </w:drawing>
      </w:r>
    </w:p>
    <w:p>
      <w:pPr>
        <w:spacing w:after="0" w:line="198" w:lineRule="exact"/>
        <w:rPr>
          <w:sz w:val="20"/>
          <w:szCs w:val="20"/>
          <w:color w:val="auto"/>
        </w:rPr>
      </w:pPr>
    </w:p>
    <w:p>
      <w:pPr>
        <w:ind w:left="200" w:right="340" w:hanging="6"/>
        <w:spacing w:after="0" w:line="271" w:lineRule="auto"/>
        <w:rPr>
          <w:sz w:val="20"/>
          <w:szCs w:val="20"/>
          <w:color w:val="auto"/>
        </w:rPr>
      </w:pPr>
      <w:r>
        <w:rPr>
          <w:rFonts w:ascii="Arial" w:cs="Arial" w:eastAsia="Arial" w:hAnsi="Arial"/>
          <w:sz w:val="16"/>
          <w:szCs w:val="16"/>
          <w:b w:val="1"/>
          <w:bCs w:val="1"/>
          <w:color w:val="auto"/>
        </w:rPr>
        <w:t xml:space="preserve">No Excessive Perks. </w:t>
      </w:r>
      <w:r>
        <w:rPr>
          <w:rFonts w:ascii="Arial" w:cs="Arial" w:eastAsia="Arial" w:hAnsi="Arial"/>
          <w:sz w:val="16"/>
          <w:szCs w:val="16"/>
          <w:color w:val="auto"/>
        </w:rPr>
        <w:t>We do not provide perquisites except in cases</w:t>
      </w:r>
      <w:r>
        <w:rPr>
          <w:rFonts w:ascii="Arial" w:cs="Arial" w:eastAsia="Arial" w:hAnsi="Arial"/>
          <w:sz w:val="16"/>
          <w:szCs w:val="16"/>
          <w:b w:val="1"/>
          <w:bCs w:val="1"/>
          <w:color w:val="auto"/>
        </w:rPr>
        <w:t xml:space="preserve"> </w:t>
      </w:r>
      <w:r>
        <w:rPr>
          <w:rFonts w:ascii="Arial" w:cs="Arial" w:eastAsia="Arial" w:hAnsi="Arial"/>
          <w:sz w:val="16"/>
          <w:szCs w:val="16"/>
          <w:color w:val="auto"/>
        </w:rPr>
        <w:t>where there is a compelling business or security reason, nor do we provide tax gross-ups for officers, other than in connection with a Company-required relocation.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-501015</wp:posOffset>
            </wp:positionV>
            <wp:extent cx="51435" cy="514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-501015</wp:posOffset>
            </wp:positionV>
            <wp:extent cx="51435" cy="514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b w:val="1"/>
          <w:bCs w:val="1"/>
          <w:color w:val="auto"/>
        </w:rPr>
        <w:t xml:space="preserve">No Guaranteed Annual Salary Increases or Bonuses. </w:t>
      </w:r>
      <w:r>
        <w:rPr>
          <w:rFonts w:ascii="Arial" w:cs="Arial" w:eastAsia="Arial" w:hAnsi="Arial"/>
          <w:sz w:val="16"/>
          <w:szCs w:val="16"/>
          <w:color w:val="auto"/>
        </w:rPr>
        <w:t>Annual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51435" cy="514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-90170</wp:posOffset>
            </wp:positionV>
            <wp:extent cx="51435" cy="514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5" w:lineRule="exact"/>
        <w:rPr>
          <w:sz w:val="20"/>
          <w:szCs w:val="20"/>
          <w:color w:val="auto"/>
        </w:rPr>
      </w:pPr>
    </w:p>
    <w:p>
      <w:pPr>
        <w:ind w:left="200" w:right="280"/>
        <w:spacing w:after="0" w:line="256" w:lineRule="auto"/>
        <w:rPr>
          <w:sz w:val="20"/>
          <w:szCs w:val="20"/>
          <w:color w:val="auto"/>
        </w:rPr>
      </w:pPr>
      <w:r>
        <w:rPr>
          <w:rFonts w:ascii="Arial" w:cs="Arial" w:eastAsia="Arial" w:hAnsi="Arial"/>
          <w:sz w:val="16"/>
          <w:szCs w:val="16"/>
          <w:color w:val="auto"/>
        </w:rPr>
        <w:t>increases are based on evaluations of individual performance and the competitive market. In addition, we do not provide guarantees on bonus payouts.</w:t>
      </w:r>
    </w:p>
    <w:p>
      <w:pPr>
        <w:spacing w:after="0" w:line="43" w:lineRule="exact"/>
        <w:rPr>
          <w:sz w:val="20"/>
          <w:szCs w:val="20"/>
          <w:color w:val="auto"/>
        </w:rPr>
      </w:pPr>
    </w:p>
    <w:p>
      <w:pPr>
        <w:ind w:left="200" w:right="240" w:firstLine="9"/>
        <w:spacing w:after="0" w:line="299" w:lineRule="auto"/>
        <w:rPr>
          <w:sz w:val="20"/>
          <w:szCs w:val="20"/>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We do not allow hedging or pledging of our</w:t>
      </w:r>
      <w:r>
        <w:rPr>
          <w:rFonts w:ascii="Arial" w:cs="Arial" w:eastAsia="Arial" w:hAnsi="Arial"/>
          <w:sz w:val="16"/>
          <w:szCs w:val="16"/>
          <w:b w:val="1"/>
          <w:bCs w:val="1"/>
          <w:color w:val="auto"/>
        </w:rPr>
        <w:t xml:space="preserve"> </w:t>
      </w:r>
      <w:r>
        <w:rPr>
          <w:rFonts w:ascii="Arial" w:cs="Arial" w:eastAsia="Arial" w:hAnsi="Arial"/>
          <w:sz w:val="16"/>
          <w:szCs w:val="16"/>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-264160</wp:posOffset>
            </wp:positionV>
            <wp:extent cx="51435" cy="514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-264160</wp:posOffset>
            </wp:positionV>
            <wp:extent cx="51435" cy="514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ind w:left="200" w:right="220" w:firstLine="9"/>
        <w:spacing w:after="0" w:line="265" w:lineRule="auto"/>
        <w:rPr>
          <w:sz w:val="20"/>
          <w:szCs w:val="20"/>
          <w:color w:val="auto"/>
        </w:rPr>
      </w:pPr>
      <w:r>
        <w:rPr>
          <w:rFonts w:ascii="Arial" w:cs="Arial" w:eastAsia="Arial" w:hAnsi="Arial"/>
          <w:sz w:val="16"/>
          <w:szCs w:val="16"/>
          <w:b w:val="1"/>
          <w:bCs w:val="1"/>
          <w:color w:val="auto"/>
        </w:rPr>
        <w:t xml:space="preserve">No Excise Tax Gross-Ups and No Accelerated Bonus Payments Upon a CIC. </w:t>
      </w:r>
      <w:r>
        <w:rPr>
          <w:rFonts w:ascii="Arial" w:cs="Arial" w:eastAsia="Arial" w:hAnsi="Arial"/>
          <w:sz w:val="16"/>
          <w:szCs w:val="16"/>
          <w:color w:val="auto"/>
        </w:rPr>
        <w:t>Excise tax gross-ups have been eliminated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Plans provide that ICP awards earned in the year of a CIC would be paid at the time they would typically be paid based on business performance rather than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-618490</wp:posOffset>
            </wp:positionV>
            <wp:extent cx="51435" cy="514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-618490</wp:posOffset>
            </wp:positionV>
            <wp:extent cx="51435" cy="514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7" w:lineRule="exact"/>
        <w:rPr>
          <w:sz w:val="20"/>
          <w:szCs w:val="20"/>
          <w:color w:val="auto"/>
        </w:rPr>
      </w:pPr>
    </w:p>
    <w:p>
      <w:pPr>
        <w:ind w:left="200" w:right="300" w:firstLine="9"/>
        <w:spacing w:after="0" w:line="266" w:lineRule="auto"/>
        <w:rPr>
          <w:sz w:val="20"/>
          <w:szCs w:val="20"/>
          <w:color w:val="auto"/>
        </w:rPr>
      </w:pPr>
      <w:r>
        <w:rPr>
          <w:rFonts w:ascii="Arial" w:cs="Arial" w:eastAsia="Arial" w:hAnsi="Arial"/>
          <w:sz w:val="16"/>
          <w:szCs w:val="16"/>
          <w:b w:val="1"/>
          <w:bCs w:val="1"/>
          <w:color w:val="auto"/>
        </w:rPr>
        <w:t xml:space="preserve">No Incentivizing of Short-Term Results to the Detriment of Long-Term Goals and Results. </w:t>
      </w:r>
      <w:r>
        <w:rPr>
          <w:rFonts w:ascii="Arial" w:cs="Arial" w:eastAsia="Arial" w:hAnsi="Arial"/>
          <w:sz w:val="16"/>
          <w:szCs w:val="16"/>
          <w:color w:val="auto"/>
        </w:rPr>
        <w:t>Pay mix is heavily weighted toward long-term incentives aligned with the interests of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-370205</wp:posOffset>
            </wp:positionV>
            <wp:extent cx="51435" cy="514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-370205</wp:posOffset>
            </wp:positionV>
            <wp:extent cx="51435" cy="514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6" w:lineRule="exact"/>
        <w:rPr>
          <w:sz w:val="20"/>
          <w:szCs w:val="20"/>
          <w:color w:val="auto"/>
        </w:rPr>
      </w:pPr>
    </w:p>
    <w:p>
      <w:pPr>
        <w:ind w:left="200" w:right="340" w:firstLine="9"/>
        <w:spacing w:after="0" w:line="275" w:lineRule="auto"/>
        <w:rPr>
          <w:sz w:val="20"/>
          <w:szCs w:val="20"/>
          <w:color w:val="auto"/>
        </w:rPr>
      </w:pPr>
      <w:r>
        <w:rPr>
          <w:rFonts w:ascii="Arial" w:cs="Arial" w:eastAsia="Arial" w:hAnsi="Arial"/>
          <w:sz w:val="16"/>
          <w:szCs w:val="16"/>
          <w:b w:val="1"/>
          <w:bCs w:val="1"/>
          <w:color w:val="auto"/>
        </w:rPr>
        <w:t xml:space="preserve">No Excessive Risks. </w:t>
      </w:r>
      <w:r>
        <w:rPr>
          <w:rFonts w:ascii="Arial" w:cs="Arial" w:eastAsia="Arial" w:hAnsi="Arial"/>
          <w:sz w:val="16"/>
          <w:szCs w:val="16"/>
          <w:color w:val="auto"/>
        </w:rPr>
        <w:t>Compensation practices are appropriately</w:t>
      </w:r>
      <w:r>
        <w:rPr>
          <w:rFonts w:ascii="Arial" w:cs="Arial" w:eastAsia="Arial" w:hAnsi="Arial"/>
          <w:sz w:val="16"/>
          <w:szCs w:val="16"/>
          <w:b w:val="1"/>
          <w:bCs w:val="1"/>
          <w:color w:val="auto"/>
        </w:rPr>
        <w:t xml:space="preserve"> </w:t>
      </w:r>
      <w:r>
        <w:rPr>
          <w:rFonts w:ascii="Arial" w:cs="Arial" w:eastAsia="Arial" w:hAnsi="Arial"/>
          <w:sz w:val="16"/>
          <w:szCs w:val="16"/>
          <w:color w:val="auto"/>
        </w:rPr>
        <w:t>structured and avoid incentivizing employees to engage in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-383540</wp:posOffset>
            </wp:positionV>
            <wp:extent cx="51435" cy="514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-383540</wp:posOffset>
            </wp:positionV>
            <wp:extent cx="51435" cy="514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9" w:lineRule="exact"/>
        <w:rPr>
          <w:sz w:val="20"/>
          <w:szCs w:val="20"/>
          <w:color w:val="auto"/>
        </w:rPr>
      </w:pPr>
    </w:p>
    <w:p>
      <w:pPr>
        <w:ind w:left="200" w:right="180" w:firstLine="9"/>
        <w:spacing w:after="0" w:line="266" w:lineRule="auto"/>
        <w:rPr>
          <w:sz w:val="20"/>
          <w:szCs w:val="20"/>
          <w:color w:val="auto"/>
        </w:rPr>
      </w:pPr>
      <w:r>
        <w:rPr>
          <w:rFonts w:ascii="Arial" w:cs="Arial" w:eastAsia="Arial" w:hAnsi="Arial"/>
          <w:sz w:val="16"/>
          <w:szCs w:val="16"/>
          <w:b w:val="1"/>
          <w:bCs w:val="1"/>
          <w:color w:val="auto"/>
        </w:rPr>
        <w:t xml:space="preserve">No Options Repricing. </w:t>
      </w:r>
      <w:r>
        <w:rPr>
          <w:rFonts w:ascii="Arial" w:cs="Arial" w:eastAsia="Arial" w:hAnsi="Arial"/>
          <w:sz w:val="16"/>
          <w:szCs w:val="16"/>
          <w:color w:val="auto"/>
        </w:rPr>
        <w:t>We prohibit repricing (reduction in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or exchange for cash or other consideration) or reloading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-370205</wp:posOffset>
            </wp:positionV>
            <wp:extent cx="51435" cy="514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-370205</wp:posOffset>
            </wp:positionV>
            <wp:extent cx="51435" cy="514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16" w:lineRule="exact"/>
        <w:rPr>
          <w:sz w:val="20"/>
          <w:szCs w:val="20"/>
          <w:color w:val="auto"/>
        </w:rPr>
      </w:pPr>
    </w:p>
    <w:p>
      <w:pPr>
        <w:ind w:left="200" w:right="340" w:firstLine="9"/>
        <w:spacing w:after="0" w:line="265" w:lineRule="auto"/>
        <w:rPr>
          <w:sz w:val="20"/>
          <w:szCs w:val="20"/>
          <w:color w:val="auto"/>
        </w:rPr>
      </w:pPr>
      <w:r>
        <w:rPr>
          <w:rFonts w:ascii="Arial" w:cs="Arial" w:eastAsia="Arial" w:hAnsi="Arial"/>
          <w:sz w:val="16"/>
          <w:szCs w:val="16"/>
          <w:b w:val="1"/>
          <w:bCs w:val="1"/>
          <w:color w:val="auto"/>
        </w:rPr>
        <w:t xml:space="preserve">No Consultant Conflicts. </w:t>
      </w:r>
      <w:r>
        <w:rPr>
          <w:rFonts w:ascii="Arial" w:cs="Arial" w:eastAsia="Arial" w:hAnsi="Arial"/>
          <w:sz w:val="16"/>
          <w:szCs w:val="16"/>
          <w:color w:val="auto"/>
        </w:rPr>
        <w:t>Under the MDCC’s established policy,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consultant cannot provide any other services to Honeywell without the MDCC’s approval. Regular independence reviews are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-497840</wp:posOffset>
            </wp:positionV>
            <wp:extent cx="51435" cy="514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clrChange>
                        <a:clrFrom>
                          <a:srgbClr val="000000"/>
                        </a:clrFrom>
                        <a:clrTo>
                          <a:srgbClr val="000000">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-497840</wp:posOffset>
            </wp:positionV>
            <wp:extent cx="51435" cy="514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5143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060" w:type="dxa"/>
        <w:tblCellMar>
          <w:top w:w="0" w:type="dxa"/>
          <w:left w:w="0" w:type="dxa"/>
          <w:bottom w:w="0" w:type="dxa"/>
          <w:right w:w="0" w:type="dxa"/>
        </w:tblCellMar>
      </w:tblPr>
      <w:tr>
        <w:trPr>
          <w:trHeight w:val="247"/>
        </w:trPr>
        <w:tc>
          <w:tcPr>
            <w:tcW w:w="3460" w:type="dxa"/>
            <w:vAlign w:val="bottom"/>
          </w:tcPr>
          <w:p>
            <w:pPr>
              <w:spacing w:after="0"/>
              <w:rPr>
                <w:sz w:val="20"/>
                <w:szCs w:val="20"/>
                <w:color w:val="auto"/>
              </w:rPr>
            </w:pPr>
            <w:r>
              <w:rPr>
                <w:rFonts w:ascii="Arial" w:cs="Arial" w:eastAsia="Arial" w:hAnsi="Arial"/>
                <w:sz w:val="13"/>
                <w:szCs w:val="13"/>
                <w:b w:val="1"/>
                <w:bCs w:val="1"/>
                <w:color w:val="6D6E71"/>
              </w:rPr>
              <w:t>2024 NOTICE AND PROXY STATEMENT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2600960</wp:posOffset>
            </wp:positionH>
            <wp:positionV relativeFrom="paragraph">
              <wp:posOffset>-127000</wp:posOffset>
            </wp:positionV>
            <wp:extent cx="548640" cy="1028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2">
            <w:col w:w="5480" w:space="300"/>
            <w:col w:w="5460"/>
          </w:cols>
          <w:pgMar w:left="320" w:top="23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PROGRAM DESIGN AND LINK TO BUSINESS STRATEGY AND PERFORMANCE</w:t>
      </w:r>
    </w:p>
    <w:p>
      <w:pPr>
        <w:spacing w:after="0" w:line="128"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following table provides an overview of Honeywell’s executive compensation program and describes the link between each of our regular direct compensation elements and our business strategy and performance: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700" w:type="dxa"/>
            <w:vAlign w:val="bottom"/>
            <w:tcBorders>
              <w:bottom w:val="single" w:sz="8" w:color="D7282F"/>
            </w:tcBorders>
            <w:gridSpan w:val="2"/>
          </w:tcPr>
          <w:p>
            <w:pPr>
              <w:ind w:left="460"/>
              <w:spacing w:after="0"/>
              <w:rPr>
                <w:sz w:val="20"/>
                <w:szCs w:val="20"/>
                <w:color w:val="auto"/>
              </w:rPr>
            </w:pPr>
            <w:r>
              <w:rPr>
                <w:rFonts w:ascii="Arial" w:cs="Arial" w:eastAsia="Arial" w:hAnsi="Arial"/>
                <w:sz w:val="14"/>
                <w:szCs w:val="14"/>
                <w:b w:val="1"/>
                <w:bCs w:val="1"/>
                <w:color w:val="auto"/>
              </w:rPr>
              <w:t>Target Compensation Mix</w:t>
            </w:r>
          </w:p>
        </w:tc>
      </w:tr>
      <w:tr>
        <w:trPr>
          <w:trHeight w:val="229"/>
        </w:trPr>
        <w:tc>
          <w:tcPr>
            <w:tcW w:w="460" w:type="dxa"/>
            <w:vAlign w:val="bottom"/>
            <w:tcBorders>
              <w:bottom w:val="single" w:sz="8" w:color="ABABAB"/>
            </w:tcBorders>
          </w:tcPr>
          <w:p>
            <w:pPr>
              <w:spacing w:after="0"/>
              <w:rPr>
                <w:sz w:val="19"/>
                <w:szCs w:val="19"/>
                <w:color w:val="auto"/>
              </w:rPr>
            </w:pPr>
          </w:p>
        </w:tc>
        <w:tc>
          <w:tcPr>
            <w:tcW w:w="1880" w:type="dxa"/>
            <w:vAlign w:val="bottom"/>
            <w:tcBorders>
              <w:bottom w:val="single" w:sz="8" w:color="D7282F"/>
            </w:tcBorders>
          </w:tcPr>
          <w:p>
            <w:pPr>
              <w:ind w:left="520"/>
              <w:spacing w:after="0"/>
              <w:rPr>
                <w:sz w:val="20"/>
                <w:szCs w:val="20"/>
                <w:color w:val="auto"/>
              </w:rPr>
            </w:pPr>
            <w:r>
              <w:rPr>
                <w:rFonts w:ascii="Arial" w:cs="Arial" w:eastAsia="Arial" w:hAnsi="Arial"/>
                <w:sz w:val="14"/>
                <w:szCs w:val="14"/>
                <w:b w:val="1"/>
                <w:bCs w:val="1"/>
                <w:color w:val="auto"/>
              </w:rPr>
              <w:t>Element</w:t>
            </w:r>
          </w:p>
        </w:tc>
        <w:tc>
          <w:tcPr>
            <w:tcW w:w="2980" w:type="dxa"/>
            <w:vAlign w:val="bottom"/>
            <w:tcBorders>
              <w:bottom w:val="single" w:sz="8" w:color="D7282F"/>
            </w:tcBorders>
          </w:tcPr>
          <w:p>
            <w:pPr>
              <w:ind w:left="340"/>
              <w:spacing w:after="0"/>
              <w:rPr>
                <w:sz w:val="20"/>
                <w:szCs w:val="20"/>
                <w:color w:val="auto"/>
              </w:rPr>
            </w:pPr>
            <w:r>
              <w:rPr>
                <w:rFonts w:ascii="Arial" w:cs="Arial" w:eastAsia="Arial" w:hAnsi="Arial"/>
                <w:sz w:val="14"/>
                <w:szCs w:val="14"/>
                <w:b w:val="1"/>
                <w:bCs w:val="1"/>
                <w:color w:val="auto"/>
              </w:rPr>
              <w:t>Description</w:t>
            </w:r>
          </w:p>
        </w:tc>
        <w:tc>
          <w:tcPr>
            <w:tcW w:w="320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Link to Strategy and Performance</w:t>
            </w:r>
          </w:p>
        </w:tc>
        <w:tc>
          <w:tcPr>
            <w:tcW w:w="124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CEO</w:t>
            </w:r>
            <w:r>
              <w:rPr>
                <w:rFonts w:ascii="Arial" w:cs="Arial" w:eastAsia="Arial" w:hAnsi="Arial"/>
                <w:sz w:val="18"/>
                <w:szCs w:val="18"/>
                <w:b w:val="1"/>
                <w:bCs w:val="1"/>
                <w:color w:val="auto"/>
                <w:vertAlign w:val="superscript"/>
              </w:rPr>
              <w:t>(1)</w:t>
            </w:r>
          </w:p>
        </w:tc>
        <w:tc>
          <w:tcPr>
            <w:tcW w:w="1460" w:type="dxa"/>
            <w:vAlign w:val="bottom"/>
            <w:tcBorders>
              <w:bottom w:val="single" w:sz="8" w:color="D7282F"/>
            </w:tcBorders>
          </w:tcPr>
          <w:p>
            <w:pPr>
              <w:ind w:left="380"/>
              <w:spacing w:after="0"/>
              <w:rPr>
                <w:sz w:val="20"/>
                <w:szCs w:val="20"/>
                <w:color w:val="auto"/>
              </w:rPr>
            </w:pPr>
            <w:r>
              <w:rPr>
                <w:rFonts w:ascii="Arial" w:cs="Arial" w:eastAsia="Arial" w:hAnsi="Arial"/>
                <w:sz w:val="14"/>
                <w:szCs w:val="14"/>
                <w:b w:val="1"/>
                <w:bCs w:val="1"/>
                <w:color w:val="auto"/>
              </w:rPr>
              <w:t>Other NEOs</w:t>
            </w:r>
          </w:p>
        </w:tc>
      </w:tr>
      <w:tr>
        <w:trPr>
          <w:trHeight w:val="227"/>
        </w:trPr>
        <w:tc>
          <w:tcPr>
            <w:tcW w:w="460" w:type="dxa"/>
            <w:vAlign w:val="bottom"/>
            <w:shd w:val="clear" w:color="auto" w:fill="ABABAB"/>
          </w:tcPr>
          <w:p>
            <w:pPr>
              <w:spacing w:after="0"/>
              <w:rPr>
                <w:sz w:val="19"/>
                <w:szCs w:val="19"/>
                <w:color w:val="auto"/>
              </w:rPr>
            </w:pPr>
          </w:p>
        </w:tc>
        <w:tc>
          <w:tcPr>
            <w:tcW w:w="1880" w:type="dxa"/>
            <w:vAlign w:val="bottom"/>
          </w:tcPr>
          <w:p>
            <w:pPr>
              <w:ind w:left="540"/>
              <w:spacing w:after="0"/>
              <w:rPr>
                <w:sz w:val="20"/>
                <w:szCs w:val="20"/>
                <w:color w:val="auto"/>
              </w:rPr>
            </w:pPr>
            <w:r>
              <w:rPr>
                <w:rFonts w:ascii="Arial" w:cs="Arial" w:eastAsia="Arial" w:hAnsi="Arial"/>
                <w:sz w:val="14"/>
                <w:szCs w:val="14"/>
                <w:b w:val="1"/>
                <w:bCs w:val="1"/>
                <w:color w:val="D7282F"/>
              </w:rPr>
              <w:t>BASE SALARY</w:t>
            </w:r>
          </w:p>
        </w:tc>
        <w:tc>
          <w:tcPr>
            <w:tcW w:w="2980" w:type="dxa"/>
            <w:vAlign w:val="bottom"/>
          </w:tcPr>
          <w:p>
            <w:pPr>
              <w:ind w:left="34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Base salaries are determined based</w:t>
            </w:r>
          </w:p>
        </w:tc>
        <w:tc>
          <w:tcPr>
            <w:tcW w:w="3200" w:type="dxa"/>
            <w:vAlign w:val="bottom"/>
          </w:tcPr>
          <w:p>
            <w:pPr>
              <w:ind w:left="1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To attract and compensate high-performing</w:t>
            </w: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76"/>
        </w:trPr>
        <w:tc>
          <w:tcPr>
            <w:tcW w:w="460" w:type="dxa"/>
            <w:vAlign w:val="bottom"/>
            <w:shd w:val="clear" w:color="auto" w:fill="ABABAB"/>
          </w:tcPr>
          <w:p>
            <w:pPr>
              <w:spacing w:after="0"/>
              <w:rPr>
                <w:sz w:val="15"/>
                <w:szCs w:val="15"/>
                <w:color w:val="auto"/>
              </w:rPr>
            </w:pPr>
          </w:p>
        </w:tc>
        <w:tc>
          <w:tcPr>
            <w:tcW w:w="1880" w:type="dxa"/>
            <w:vAlign w:val="bottom"/>
          </w:tcPr>
          <w:p>
            <w:pPr>
              <w:spacing w:after="0"/>
              <w:rPr>
                <w:sz w:val="15"/>
                <w:szCs w:val="15"/>
                <w:color w:val="auto"/>
              </w:rPr>
            </w:pPr>
          </w:p>
        </w:tc>
        <w:tc>
          <w:tcPr>
            <w:tcW w:w="2980" w:type="dxa"/>
            <w:vAlign w:val="bottom"/>
          </w:tcPr>
          <w:p>
            <w:pPr>
              <w:ind w:left="520"/>
              <w:spacing w:after="0"/>
              <w:rPr>
                <w:sz w:val="20"/>
                <w:szCs w:val="20"/>
                <w:color w:val="auto"/>
              </w:rPr>
            </w:pPr>
            <w:r>
              <w:rPr>
                <w:rFonts w:ascii="Arial" w:cs="Arial" w:eastAsia="Arial" w:hAnsi="Arial"/>
                <w:sz w:val="14"/>
                <w:szCs w:val="14"/>
                <w:color w:val="auto"/>
              </w:rPr>
              <w:t>on scope of responsibility, years of</w:t>
            </w:r>
          </w:p>
        </w:tc>
        <w:tc>
          <w:tcPr>
            <w:tcW w:w="3200" w:type="dxa"/>
            <w:vAlign w:val="bottom"/>
          </w:tcPr>
          <w:p>
            <w:pPr>
              <w:ind w:left="360"/>
              <w:spacing w:after="0"/>
              <w:rPr>
                <w:sz w:val="20"/>
                <w:szCs w:val="20"/>
                <w:color w:val="auto"/>
              </w:rPr>
            </w:pPr>
            <w:r>
              <w:rPr>
                <w:rFonts w:ascii="Arial" w:cs="Arial" w:eastAsia="Arial" w:hAnsi="Arial"/>
                <w:sz w:val="14"/>
                <w:szCs w:val="14"/>
                <w:color w:val="auto"/>
              </w:rPr>
              <w:t>and experienced leaders at a competitive</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60" w:type="dxa"/>
            <w:vAlign w:val="bottom"/>
            <w:shd w:val="clear" w:color="auto" w:fill="ABABAB"/>
          </w:tcPr>
          <w:p>
            <w:pPr>
              <w:spacing w:after="0"/>
              <w:rPr>
                <w:sz w:val="15"/>
                <w:szCs w:val="15"/>
                <w:color w:val="auto"/>
              </w:rPr>
            </w:pPr>
          </w:p>
        </w:tc>
        <w:tc>
          <w:tcPr>
            <w:tcW w:w="1880" w:type="dxa"/>
            <w:vAlign w:val="bottom"/>
          </w:tcPr>
          <w:p>
            <w:pPr>
              <w:spacing w:after="0"/>
              <w:rPr>
                <w:sz w:val="15"/>
                <w:szCs w:val="15"/>
                <w:color w:val="auto"/>
              </w:rPr>
            </w:pPr>
          </w:p>
        </w:tc>
        <w:tc>
          <w:tcPr>
            <w:tcW w:w="2980" w:type="dxa"/>
            <w:vAlign w:val="bottom"/>
          </w:tcPr>
          <w:p>
            <w:pPr>
              <w:ind w:left="520"/>
              <w:spacing w:after="0"/>
              <w:rPr>
                <w:sz w:val="20"/>
                <w:szCs w:val="20"/>
                <w:color w:val="auto"/>
              </w:rPr>
            </w:pPr>
            <w:r>
              <w:rPr>
                <w:rFonts w:ascii="Arial" w:cs="Arial" w:eastAsia="Arial" w:hAnsi="Arial"/>
                <w:sz w:val="14"/>
                <w:szCs w:val="14"/>
                <w:color w:val="auto"/>
              </w:rPr>
              <w:t>experience, and individual</w:t>
            </w:r>
          </w:p>
        </w:tc>
        <w:tc>
          <w:tcPr>
            <w:tcW w:w="3200" w:type="dxa"/>
            <w:vAlign w:val="bottom"/>
          </w:tcPr>
          <w:p>
            <w:pPr>
              <w:ind w:left="360"/>
              <w:spacing w:after="0"/>
              <w:rPr>
                <w:sz w:val="20"/>
                <w:szCs w:val="20"/>
                <w:color w:val="auto"/>
              </w:rPr>
            </w:pPr>
            <w:r>
              <w:rPr>
                <w:rFonts w:ascii="Arial" w:cs="Arial" w:eastAsia="Arial" w:hAnsi="Arial"/>
                <w:sz w:val="14"/>
                <w:szCs w:val="14"/>
                <w:color w:val="auto"/>
              </w:rPr>
              <w:t>level of cash compensation.</w:t>
            </w:r>
          </w:p>
        </w:tc>
        <w:tc>
          <w:tcPr>
            <w:tcW w:w="1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90"/>
        </w:trPr>
        <w:tc>
          <w:tcPr>
            <w:tcW w:w="460" w:type="dxa"/>
            <w:vAlign w:val="bottom"/>
            <w:shd w:val="clear" w:color="auto" w:fill="ABABAB"/>
          </w:tcPr>
          <w:p>
            <w:pPr>
              <w:spacing w:after="0"/>
              <w:rPr>
                <w:sz w:val="16"/>
                <w:szCs w:val="16"/>
                <w:color w:val="auto"/>
              </w:rPr>
            </w:pPr>
          </w:p>
        </w:tc>
        <w:tc>
          <w:tcPr>
            <w:tcW w:w="1880" w:type="dxa"/>
            <w:vAlign w:val="bottom"/>
          </w:tcPr>
          <w:p>
            <w:pPr>
              <w:spacing w:after="0"/>
              <w:rPr>
                <w:sz w:val="16"/>
                <w:szCs w:val="16"/>
                <w:color w:val="auto"/>
              </w:rPr>
            </w:pPr>
          </w:p>
        </w:tc>
        <w:tc>
          <w:tcPr>
            <w:tcW w:w="2980" w:type="dxa"/>
            <w:vAlign w:val="bottom"/>
          </w:tcPr>
          <w:p>
            <w:pPr>
              <w:ind w:left="520"/>
              <w:spacing w:after="0"/>
              <w:rPr>
                <w:sz w:val="20"/>
                <w:szCs w:val="20"/>
                <w:color w:val="auto"/>
              </w:rPr>
            </w:pPr>
            <w:r>
              <w:rPr>
                <w:rFonts w:ascii="Arial" w:cs="Arial" w:eastAsia="Arial" w:hAnsi="Arial"/>
                <w:sz w:val="14"/>
                <w:szCs w:val="14"/>
                <w:color w:val="auto"/>
              </w:rPr>
              <w:t>performance.</w:t>
            </w:r>
          </w:p>
        </w:tc>
        <w:tc>
          <w:tcPr>
            <w:tcW w:w="3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481"/>
        </w:trPr>
        <w:tc>
          <w:tcPr>
            <w:tcW w:w="460" w:type="dxa"/>
            <w:vAlign w:val="bottom"/>
            <w:shd w:val="clear" w:color="auto" w:fill="ABABAB"/>
          </w:tcPr>
          <w:p>
            <w:pPr>
              <w:spacing w:after="0"/>
              <w:rPr>
                <w:sz w:val="24"/>
                <w:szCs w:val="24"/>
                <w:color w:val="auto"/>
              </w:rPr>
            </w:pPr>
          </w:p>
        </w:tc>
        <w:tc>
          <w:tcPr>
            <w:tcW w:w="18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15175" cy="63176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15175" cy="631761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7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ANNUAL</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INCENTIVE</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COMPENSATION</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PLAN (ICP)</w:t>
      </w:r>
    </w:p>
    <w:p>
      <w:pPr>
        <w:spacing w:after="0" w:line="325" w:lineRule="exact"/>
        <w:rPr>
          <w:sz w:val="20"/>
          <w:szCs w:val="20"/>
          <w:color w:val="auto"/>
        </w:rPr>
      </w:pPr>
    </w:p>
    <w:p>
      <w:pPr>
        <w:ind w:left="2860" w:hanging="188"/>
        <w:spacing w:after="0" w:line="264" w:lineRule="auto"/>
        <w:tabs>
          <w:tab w:leader="none" w:pos="2857" w:val="left"/>
        </w:tabs>
        <w:numPr>
          <w:ilvl w:val="0"/>
          <w:numId w:val="121"/>
        </w:numPr>
        <w:rPr>
          <w:rFonts w:ascii="Arial" w:cs="Arial" w:eastAsia="Arial" w:hAnsi="Arial"/>
          <w:sz w:val="16"/>
          <w:szCs w:val="16"/>
          <w:b w:val="1"/>
          <w:bCs w:val="1"/>
          <w:color w:val="D7282F"/>
        </w:rPr>
      </w:pPr>
      <w:r>
        <w:rPr>
          <w:rFonts w:ascii="Arial" w:cs="Arial" w:eastAsia="Arial" w:hAnsi="Arial"/>
          <w:sz w:val="14"/>
          <w:szCs w:val="14"/>
          <w:color w:val="auto"/>
        </w:rPr>
        <w:t>80% based on formulaic determination against pre-established financial metrics.</w:t>
      </w: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200" w:lineRule="exact"/>
        <w:rPr>
          <w:rFonts w:ascii="Arial" w:cs="Arial" w:eastAsia="Arial" w:hAnsi="Arial"/>
          <w:sz w:val="16"/>
          <w:szCs w:val="16"/>
          <w:b w:val="1"/>
          <w:bCs w:val="1"/>
          <w:color w:val="D7282F"/>
        </w:rPr>
      </w:pPr>
    </w:p>
    <w:p>
      <w:pPr>
        <w:spacing w:after="0" w:line="368" w:lineRule="exact"/>
        <w:rPr>
          <w:rFonts w:ascii="Arial" w:cs="Arial" w:eastAsia="Arial" w:hAnsi="Arial"/>
          <w:sz w:val="16"/>
          <w:szCs w:val="16"/>
          <w:b w:val="1"/>
          <w:bCs w:val="1"/>
          <w:color w:val="D7282F"/>
        </w:rPr>
      </w:pPr>
    </w:p>
    <w:p>
      <w:pPr>
        <w:ind w:left="2860" w:right="580" w:hanging="188"/>
        <w:spacing w:after="0" w:line="305" w:lineRule="auto"/>
        <w:tabs>
          <w:tab w:leader="none" w:pos="2851" w:val="left"/>
        </w:tabs>
        <w:numPr>
          <w:ilvl w:val="0"/>
          <w:numId w:val="121"/>
        </w:numPr>
        <w:rPr>
          <w:rFonts w:ascii="Arial" w:cs="Arial" w:eastAsia="Arial" w:hAnsi="Arial"/>
          <w:sz w:val="14"/>
          <w:szCs w:val="14"/>
          <w:b w:val="1"/>
          <w:bCs w:val="1"/>
          <w:color w:val="D7282F"/>
        </w:rPr>
      </w:pPr>
      <w:r>
        <w:rPr>
          <w:rFonts w:ascii="Arial" w:cs="Arial" w:eastAsia="Arial" w:hAnsi="Arial"/>
          <w:sz w:val="14"/>
          <w:szCs w:val="14"/>
          <w:color w:val="auto"/>
        </w:rPr>
        <w:t>15% based on assessment of individual performance.</w:t>
      </w: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200" w:lineRule="exact"/>
        <w:rPr>
          <w:rFonts w:ascii="Arial" w:cs="Arial" w:eastAsia="Arial" w:hAnsi="Arial"/>
          <w:sz w:val="14"/>
          <w:szCs w:val="14"/>
          <w:b w:val="1"/>
          <w:bCs w:val="1"/>
          <w:color w:val="D7282F"/>
        </w:rPr>
      </w:pPr>
    </w:p>
    <w:p>
      <w:pPr>
        <w:spacing w:after="0" w:line="354" w:lineRule="exact"/>
        <w:rPr>
          <w:rFonts w:ascii="Arial" w:cs="Arial" w:eastAsia="Arial" w:hAnsi="Arial"/>
          <w:sz w:val="14"/>
          <w:szCs w:val="14"/>
          <w:b w:val="1"/>
          <w:bCs w:val="1"/>
          <w:color w:val="D7282F"/>
        </w:rPr>
      </w:pPr>
    </w:p>
    <w:p>
      <w:pPr>
        <w:ind w:left="2860" w:hanging="188"/>
        <w:spacing w:after="0"/>
        <w:tabs>
          <w:tab w:leader="none" w:pos="2860" w:val="left"/>
        </w:tabs>
        <w:numPr>
          <w:ilvl w:val="0"/>
          <w:numId w:val="121"/>
        </w:numPr>
        <w:rPr>
          <w:rFonts w:ascii="Arial" w:cs="Arial" w:eastAsia="Arial" w:hAnsi="Arial"/>
          <w:sz w:val="14"/>
          <w:szCs w:val="14"/>
          <w:b w:val="1"/>
          <w:bCs w:val="1"/>
          <w:color w:val="D7282F"/>
        </w:rPr>
      </w:pPr>
      <w:r>
        <w:rPr>
          <w:rFonts w:ascii="Arial" w:cs="Arial" w:eastAsia="Arial" w:hAnsi="Arial"/>
          <w:sz w:val="14"/>
          <w:szCs w:val="14"/>
          <w:color w:val="auto"/>
        </w:rPr>
        <w:t>5% based on ESG metrics.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00" w:right="2860" w:hanging="200"/>
        <w:spacing w:after="0" w:line="276" w:lineRule="auto"/>
        <w:tabs>
          <w:tab w:leader="none" w:pos="191" w:val="left"/>
        </w:tabs>
        <w:numPr>
          <w:ilvl w:val="0"/>
          <w:numId w:val="122"/>
        </w:numPr>
        <w:rPr>
          <w:rFonts w:ascii="Arial" w:cs="Arial" w:eastAsia="Arial" w:hAnsi="Arial"/>
          <w:sz w:val="14"/>
          <w:szCs w:val="14"/>
          <w:b w:val="1"/>
          <w:bCs w:val="1"/>
          <w:color w:val="D7282F"/>
        </w:rPr>
      </w:pPr>
      <w:r>
        <w:rPr>
          <w:rFonts w:ascii="Arial" w:cs="Arial" w:eastAsia="Arial" w:hAnsi="Arial"/>
          <w:sz w:val="14"/>
          <w:szCs w:val="14"/>
          <w:color w:val="auto"/>
        </w:rPr>
        <w:t>To motivate and reward executives for achieving annual corporate, business unit, ESG, and functional goals in key areas of financial and operational performance.</w:t>
      </w:r>
    </w:p>
    <w:p>
      <w:pPr>
        <w:spacing w:after="0" w:line="3535" w:lineRule="exact"/>
        <w:rPr>
          <w:sz w:val="20"/>
          <w:szCs w:val="20"/>
          <w:color w:val="auto"/>
        </w:rPr>
      </w:pPr>
    </w:p>
    <w:p>
      <w:pPr>
        <w:sectPr>
          <w:pgSz w:w="11900" w:h="16838" w:orient="portrait"/>
          <w:cols w:equalWidth="0" w:num="2">
            <w:col w:w="5320" w:space="160"/>
            <w:col w:w="5740"/>
          </w:cols>
          <w:pgMar w:left="320" w:top="230" w:right="359" w:bottom="1440" w:gutter="0" w:footer="0" w:header="0"/>
          <w:type w:val="continuous"/>
        </w:sectPr>
      </w:pPr>
    </w:p>
    <w:p>
      <w:pPr>
        <w:spacing w:after="0" w:line="206"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PERFORMANCE</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STOCK UNITS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(PSUs)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D7282F"/>
        </w:rPr>
        <w:t>(2023–2025)</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88" w:hanging="188"/>
        <w:spacing w:after="0"/>
        <w:tabs>
          <w:tab w:leader="none" w:pos="188" w:val="left"/>
        </w:tabs>
        <w:numPr>
          <w:ilvl w:val="0"/>
          <w:numId w:val="123"/>
        </w:numPr>
        <w:rPr>
          <w:rFonts w:ascii="Arial" w:cs="Arial" w:eastAsia="Arial" w:hAnsi="Arial"/>
          <w:sz w:val="14"/>
          <w:szCs w:val="14"/>
          <w:b w:val="1"/>
          <w:bCs w:val="1"/>
          <w:color w:val="D7282F"/>
        </w:rPr>
      </w:pPr>
      <w:r>
        <w:rPr>
          <w:rFonts w:ascii="Arial" w:cs="Arial" w:eastAsia="Arial" w:hAnsi="Arial"/>
          <w:sz w:val="14"/>
          <w:szCs w:val="14"/>
          <w:color w:val="auto"/>
        </w:rPr>
        <w:t>Executive Officers: 50% of annual LTI.</w:t>
      </w:r>
    </w:p>
    <w:p>
      <w:pPr>
        <w:spacing w:after="0" w:line="82" w:lineRule="exact"/>
        <w:rPr>
          <w:rFonts w:ascii="Arial" w:cs="Arial" w:eastAsia="Arial" w:hAnsi="Arial"/>
          <w:sz w:val="14"/>
          <w:szCs w:val="14"/>
          <w:b w:val="1"/>
          <w:bCs w:val="1"/>
          <w:color w:val="D7282F"/>
        </w:rPr>
      </w:pPr>
    </w:p>
    <w:p>
      <w:pPr>
        <w:ind w:left="188" w:hanging="188"/>
        <w:spacing w:after="0"/>
        <w:tabs>
          <w:tab w:leader="none" w:pos="188" w:val="left"/>
        </w:tabs>
        <w:numPr>
          <w:ilvl w:val="0"/>
          <w:numId w:val="123"/>
        </w:numPr>
        <w:rPr>
          <w:rFonts w:ascii="Arial" w:cs="Arial" w:eastAsia="Arial" w:hAnsi="Arial"/>
          <w:sz w:val="14"/>
          <w:szCs w:val="14"/>
          <w:b w:val="1"/>
          <w:bCs w:val="1"/>
          <w:color w:val="D7282F"/>
        </w:rPr>
      </w:pPr>
      <w:r>
        <w:rPr>
          <w:rFonts w:ascii="Arial" w:cs="Arial" w:eastAsia="Arial" w:hAnsi="Arial"/>
          <w:sz w:val="14"/>
          <w:szCs w:val="14"/>
          <w:color w:val="auto"/>
        </w:rPr>
        <w:t>Covers three-year period.</w:t>
      </w:r>
    </w:p>
    <w:p>
      <w:pPr>
        <w:spacing w:after="0" w:line="82" w:lineRule="exact"/>
        <w:rPr>
          <w:rFonts w:ascii="Arial" w:cs="Arial" w:eastAsia="Arial" w:hAnsi="Arial"/>
          <w:sz w:val="14"/>
          <w:szCs w:val="14"/>
          <w:b w:val="1"/>
          <w:bCs w:val="1"/>
          <w:color w:val="D7282F"/>
        </w:rPr>
      </w:pPr>
    </w:p>
    <w:p>
      <w:pPr>
        <w:ind w:left="188" w:right="20" w:hanging="188"/>
        <w:spacing w:after="0" w:line="305" w:lineRule="auto"/>
        <w:tabs>
          <w:tab w:leader="none" w:pos="179" w:val="left"/>
        </w:tabs>
        <w:numPr>
          <w:ilvl w:val="0"/>
          <w:numId w:val="123"/>
        </w:numPr>
        <w:rPr>
          <w:rFonts w:ascii="Arial" w:cs="Arial" w:eastAsia="Arial" w:hAnsi="Arial"/>
          <w:sz w:val="14"/>
          <w:szCs w:val="14"/>
          <w:b w:val="1"/>
          <w:bCs w:val="1"/>
          <w:color w:val="D7282F"/>
        </w:rPr>
      </w:pPr>
      <w:r>
        <w:rPr>
          <w:rFonts w:ascii="Arial" w:cs="Arial" w:eastAsia="Arial" w:hAnsi="Arial"/>
          <w:sz w:val="14"/>
          <w:szCs w:val="14"/>
          <w:color w:val="auto"/>
        </w:rPr>
        <w:t>Relative TSR (25% weight) along with key financial metrics (75% weight).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00" w:right="2780" w:hanging="200"/>
        <w:spacing w:after="0" w:line="265" w:lineRule="auto"/>
        <w:tabs>
          <w:tab w:leader="none" w:pos="191" w:val="left"/>
        </w:tabs>
        <w:numPr>
          <w:ilvl w:val="0"/>
          <w:numId w:val="124"/>
        </w:numPr>
        <w:rPr>
          <w:rFonts w:ascii="Arial" w:cs="Arial" w:eastAsia="Arial" w:hAnsi="Arial"/>
          <w:sz w:val="14"/>
          <w:szCs w:val="14"/>
          <w:b w:val="1"/>
          <w:bCs w:val="1"/>
          <w:color w:val="D7282F"/>
        </w:rPr>
      </w:pPr>
      <w:r>
        <w:rPr>
          <w:rFonts w:ascii="Arial" w:cs="Arial" w:eastAsia="Arial" w:hAnsi="Arial"/>
          <w:sz w:val="14"/>
          <w:szCs w:val="14"/>
          <w:color w:val="auto"/>
        </w:rPr>
        <w:t>Focuses executives on the achievement of specific long-term financial performance goals directly aligned with our operating and strategic plans. TSR portion pays based on three-year return from stock price appreciation and dividends vs. the Compensation Peer Group.</w:t>
      </w:r>
    </w:p>
    <w:p>
      <w:pPr>
        <w:spacing w:after="0" w:line="200" w:lineRule="exact"/>
        <w:rPr>
          <w:sz w:val="20"/>
          <w:szCs w:val="20"/>
          <w:color w:val="auto"/>
        </w:rPr>
      </w:pPr>
    </w:p>
    <w:p>
      <w:pPr>
        <w:sectPr>
          <w:pgSz w:w="11900" w:h="16838" w:orient="portrait"/>
          <w:cols w:equalWidth="0" w:num="3">
            <w:col w:w="2120" w:space="552"/>
            <w:col w:w="2628" w:space="180"/>
            <w:col w:w="5740"/>
          </w:cols>
          <w:pgMar w:left="320" w:top="230" w:right="359" w:bottom="1440" w:gutter="0" w:footer="0" w:header="0"/>
          <w:type w:val="continuous"/>
        </w:sectPr>
      </w:pP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STOCK OPTIONS</w:t>
            </w:r>
          </w:p>
        </w:tc>
        <w:tc>
          <w:tcPr>
            <w:tcW w:w="2960" w:type="dxa"/>
            <w:vAlign w:val="bottom"/>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5840" w:type="dxa"/>
            <w:vAlign w:val="bottom"/>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Directly aligns the interests of our</w:t>
            </w:r>
          </w:p>
        </w:tc>
      </w:tr>
      <w:tr>
        <w:trPr>
          <w:trHeight w:val="176"/>
        </w:trPr>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executives with shareowners. Stock</w:t>
            </w:r>
          </w:p>
        </w:tc>
      </w:tr>
      <w:tr>
        <w:trPr>
          <w:trHeight w:val="175"/>
        </w:trPr>
        <w:tc>
          <w:tcPr>
            <w:tcW w:w="14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options only have value for executives if</w:t>
            </w:r>
          </w:p>
        </w:tc>
      </w:tr>
      <w:tr>
        <w:trPr>
          <w:trHeight w:val="162"/>
        </w:trPr>
        <w:tc>
          <w:tcPr>
            <w:tcW w:w="14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operating performance results in stock</w:t>
            </w:r>
          </w:p>
        </w:tc>
      </w:tr>
      <w:tr>
        <w:trPr>
          <w:trHeight w:val="190"/>
        </w:trPr>
        <w:tc>
          <w:tcPr>
            <w:tcW w:w="1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price appreciation.</w:t>
            </w:r>
          </w:p>
        </w:tc>
      </w:tr>
      <w:tr>
        <w:trPr>
          <w:trHeight w:val="305"/>
        </w:trPr>
        <w:tc>
          <w:tcPr>
            <w:tcW w:w="1480" w:type="dxa"/>
            <w:vAlign w:val="bottom"/>
            <w:tcBorders>
              <w:bottom w:val="single" w:sz="8" w:color="939598"/>
            </w:tcBorders>
          </w:tcPr>
          <w:p>
            <w:pPr>
              <w:spacing w:after="0"/>
              <w:rPr>
                <w:sz w:val="24"/>
                <w:szCs w:val="24"/>
                <w:color w:val="auto"/>
              </w:rPr>
            </w:pPr>
          </w:p>
        </w:tc>
        <w:tc>
          <w:tcPr>
            <w:tcW w:w="2960" w:type="dxa"/>
            <w:vAlign w:val="bottom"/>
            <w:tcBorders>
              <w:bottom w:val="single" w:sz="8" w:color="939598"/>
            </w:tcBorders>
          </w:tcPr>
          <w:p>
            <w:pPr>
              <w:spacing w:after="0"/>
              <w:rPr>
                <w:sz w:val="24"/>
                <w:szCs w:val="24"/>
                <w:color w:val="auto"/>
              </w:rPr>
            </w:pPr>
          </w:p>
        </w:tc>
        <w:tc>
          <w:tcPr>
            <w:tcW w:w="5840" w:type="dxa"/>
            <w:vAlign w:val="bottom"/>
            <w:tcBorders>
              <w:bottom w:val="single" w:sz="8" w:color="939598"/>
            </w:tcBorders>
          </w:tcPr>
          <w:p>
            <w:pPr>
              <w:spacing w:after="0"/>
              <w:rPr>
                <w:sz w:val="24"/>
                <w:szCs w:val="24"/>
                <w:color w:val="auto"/>
              </w:rPr>
            </w:pPr>
          </w:p>
        </w:tc>
      </w:tr>
      <w:tr>
        <w:trPr>
          <w:trHeight w:val="227"/>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RESTRICTED</w:t>
            </w:r>
          </w:p>
        </w:tc>
        <w:tc>
          <w:tcPr>
            <w:tcW w:w="2960" w:type="dxa"/>
            <w:vAlign w:val="bottom"/>
          </w:tcPr>
          <w:p>
            <w:pPr>
              <w:ind w:left="26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Executive Officers: 25% of annual LTI.</w:t>
            </w:r>
          </w:p>
        </w:tc>
        <w:tc>
          <w:tcPr>
            <w:tcW w:w="5840" w:type="dxa"/>
            <w:vAlign w:val="bottom"/>
          </w:tcPr>
          <w:p>
            <w:pPr>
              <w:ind w:left="100"/>
              <w:spacing w:after="0"/>
              <w:rPr>
                <w:sz w:val="20"/>
                <w:szCs w:val="20"/>
                <w:color w:val="auto"/>
              </w:rPr>
            </w:pPr>
            <w:r>
              <w:rPr>
                <w:rFonts w:ascii="Arial" w:cs="Arial" w:eastAsia="Arial" w:hAnsi="Arial"/>
                <w:sz w:val="14"/>
                <w:szCs w:val="14"/>
                <w:b w:val="1"/>
                <w:bCs w:val="1"/>
                <w:color w:val="D7282F"/>
              </w:rPr>
              <w:t xml:space="preserve">•  </w:t>
            </w:r>
            <w:r>
              <w:rPr>
                <w:rFonts w:ascii="Arial" w:cs="Arial" w:eastAsia="Arial" w:hAnsi="Arial"/>
                <w:sz w:val="14"/>
                <w:szCs w:val="14"/>
                <w:color w:val="000000"/>
              </w:rPr>
              <w:t>Strengthens key executive retention over</w:t>
            </w:r>
          </w:p>
        </w:tc>
      </w:tr>
      <w:tr>
        <w:trPr>
          <w:trHeight w:val="176"/>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STOCK</w:t>
            </w: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relevant time periods to ensure</w:t>
            </w:r>
          </w:p>
        </w:tc>
      </w:tr>
      <w:tr>
        <w:trPr>
          <w:trHeight w:val="175"/>
        </w:trPr>
        <w:tc>
          <w:tcPr>
            <w:tcW w:w="1480" w:type="dxa"/>
            <w:vAlign w:val="bottom"/>
          </w:tcPr>
          <w:p>
            <w:pPr>
              <w:ind w:left="60"/>
              <w:spacing w:after="0"/>
              <w:rPr>
                <w:sz w:val="20"/>
                <w:szCs w:val="20"/>
                <w:color w:val="auto"/>
              </w:rPr>
            </w:pPr>
            <w:r>
              <w:rPr>
                <w:rFonts w:ascii="Arial" w:cs="Arial" w:eastAsia="Arial" w:hAnsi="Arial"/>
                <w:sz w:val="14"/>
                <w:szCs w:val="14"/>
                <w:b w:val="1"/>
                <w:bCs w:val="1"/>
                <w:color w:val="D7282F"/>
              </w:rPr>
              <w:t>UNITS (RSUs)</w:t>
            </w:r>
          </w:p>
        </w:tc>
        <w:tc>
          <w:tcPr>
            <w:tcW w:w="2960" w:type="dxa"/>
            <w:vAlign w:val="bottom"/>
          </w:tcPr>
          <w:p>
            <w:pPr>
              <w:spacing w:after="0"/>
              <w:rPr>
                <w:sz w:val="15"/>
                <w:szCs w:val="15"/>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consistency and execution of long-term</w:t>
            </w:r>
          </w:p>
        </w:tc>
      </w:tr>
      <w:tr>
        <w:trPr>
          <w:trHeight w:val="190"/>
        </w:trPr>
        <w:tc>
          <w:tcPr>
            <w:tcW w:w="14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40" w:type="dxa"/>
            <w:vAlign w:val="bottom"/>
          </w:tcPr>
          <w:p>
            <w:pPr>
              <w:ind w:left="300"/>
              <w:spacing w:after="0"/>
              <w:rPr>
                <w:sz w:val="20"/>
                <w:szCs w:val="20"/>
                <w:color w:val="auto"/>
              </w:rPr>
            </w:pPr>
            <w:r>
              <w:rPr>
                <w:rFonts w:ascii="Arial" w:cs="Arial" w:eastAsia="Arial" w:hAnsi="Arial"/>
                <w:sz w:val="14"/>
                <w:szCs w:val="14"/>
                <w:color w:val="auto"/>
              </w:rPr>
              <w:t>strategies.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29146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80" w:hanging="172"/>
        <w:spacing w:after="0"/>
        <w:tabs>
          <w:tab w:leader="none" w:pos="180" w:val="left"/>
        </w:tabs>
        <w:numPr>
          <w:ilvl w:val="0"/>
          <w:numId w:val="125"/>
        </w:numPr>
        <w:rPr>
          <w:rFonts w:ascii="Arial" w:cs="Arial" w:eastAsia="Arial" w:hAnsi="Arial"/>
          <w:sz w:val="19"/>
          <w:szCs w:val="19"/>
          <w:color w:val="auto"/>
          <w:vertAlign w:val="superscript"/>
        </w:rPr>
      </w:pPr>
      <w:r>
        <w:rPr>
          <w:rFonts w:ascii="Arial" w:cs="Arial" w:eastAsia="Arial" w:hAnsi="Arial"/>
          <w:sz w:val="13"/>
          <w:szCs w:val="13"/>
          <w:color w:val="auto"/>
        </w:rPr>
        <w:t>Represents Mr. Kapur's target mix as CEO. Table percentages exclude Mr. Adamczyk as Executive Chairman.</w:t>
      </w:r>
    </w:p>
    <w:p>
      <w:pPr>
        <w:spacing w:after="0" w:line="14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sz w:val="1"/>
          <w:szCs w:val="1"/>
          <w:color w:val="auto"/>
        </w:rPr>
        <w:drawing>
          <wp:inline distT="0" distB="0" distL="0" distR="0">
            <wp:extent cx="548640" cy="10287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PEER GROUP</w:t>
      </w:r>
    </w:p>
    <w:p>
      <w:pPr>
        <w:spacing w:after="0" w:line="12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To ensure appropriate levels of executive officer compensation and the alignment of pay and performance, the MDCC believes it is important to understand how Honeywell compares to other relevant companies.</w:t>
      </w:r>
    </w:p>
    <w:p>
      <w:pPr>
        <w:spacing w:after="0" w:line="3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On an annual basis, the MDCC reviews information provided by its independent compensation consultant regarding compensation paid to similarly situated executive officers at a group of companies that are considered Honeywell’s “Compensation Peer Group” and assesses Honeywell’s financial performance against these companies. Although the MDCC does not target a specific competitive position relative to its comparator group, this information provides the MDCC (and the independent directors of the full Board in the case of the CEO) a point of reference when making its compensation determinations with respect to the NEOs. In addition, the MDCC periodically reviews relative financial performance against a subset of companies with complex multi-industry characteristics, like Honeywell, or relevant indices.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companies selected by the MDCC for inclusion in the 2023 Compensation Peer Group have one or more of the following attributes:</w:t>
      </w:r>
    </w:p>
    <w:p>
      <w:pPr>
        <w:spacing w:after="0" w:line="113" w:lineRule="exact"/>
        <w:rPr>
          <w:sz w:val="20"/>
          <w:szCs w:val="20"/>
          <w:color w:val="auto"/>
        </w:rPr>
      </w:pPr>
    </w:p>
    <w:p>
      <w:pPr>
        <w:ind w:left="200" w:hanging="192"/>
        <w:spacing w:after="0"/>
        <w:tabs>
          <w:tab w:leader="none" w:pos="200" w:val="left"/>
        </w:tabs>
        <w:numPr>
          <w:ilvl w:val="0"/>
          <w:numId w:val="126"/>
        </w:numPr>
        <w:rPr>
          <w:rFonts w:ascii="Arial" w:cs="Arial" w:eastAsia="Arial" w:hAnsi="Arial"/>
          <w:sz w:val="16"/>
          <w:szCs w:val="16"/>
          <w:b w:val="1"/>
          <w:bCs w:val="1"/>
          <w:color w:val="D7282F"/>
        </w:rPr>
      </w:pPr>
      <w:r>
        <w:rPr>
          <w:rFonts w:ascii="Arial" w:cs="Arial" w:eastAsia="Arial" w:hAnsi="Arial"/>
          <w:sz w:val="16"/>
          <w:szCs w:val="16"/>
          <w:color w:val="auto"/>
        </w:rPr>
        <w:t>Business operations with similar scope and complexity to Honeywell.</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6"/>
        </w:numPr>
        <w:rPr>
          <w:rFonts w:ascii="Arial" w:cs="Arial" w:eastAsia="Arial" w:hAnsi="Arial"/>
          <w:sz w:val="16"/>
          <w:szCs w:val="16"/>
          <w:b w:val="1"/>
          <w:bCs w:val="1"/>
          <w:color w:val="D7282F"/>
        </w:rPr>
      </w:pPr>
      <w:r>
        <w:rPr>
          <w:rFonts w:ascii="Arial" w:cs="Arial" w:eastAsia="Arial" w:hAnsi="Arial"/>
          <w:sz w:val="16"/>
          <w:szCs w:val="16"/>
          <w:color w:val="auto"/>
        </w:rPr>
        <w:t>Industrial companies with technology drivers.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6"/>
        </w:numPr>
        <w:rPr>
          <w:rFonts w:ascii="Arial" w:cs="Arial" w:eastAsia="Arial" w:hAnsi="Arial"/>
          <w:sz w:val="16"/>
          <w:szCs w:val="16"/>
          <w:b w:val="1"/>
          <w:bCs w:val="1"/>
          <w:color w:val="D7282F"/>
        </w:rPr>
      </w:pPr>
      <w:r>
        <w:rPr>
          <w:rFonts w:ascii="Arial" w:cs="Arial" w:eastAsia="Arial" w:hAnsi="Arial"/>
          <w:sz w:val="16"/>
          <w:szCs w:val="16"/>
          <w:color w:val="auto"/>
        </w:rPr>
        <w:t>Peer group overlap with potential peer (e.g., peer of peer).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6"/>
        </w:numPr>
        <w:rPr>
          <w:rFonts w:ascii="Arial" w:cs="Arial" w:eastAsia="Arial" w:hAnsi="Arial"/>
          <w:sz w:val="16"/>
          <w:szCs w:val="16"/>
          <w:b w:val="1"/>
          <w:bCs w:val="1"/>
          <w:color w:val="D7282F"/>
        </w:rPr>
      </w:pPr>
      <w:r>
        <w:rPr>
          <w:rFonts w:ascii="Arial" w:cs="Arial" w:eastAsia="Arial" w:hAnsi="Arial"/>
          <w:sz w:val="16"/>
          <w:szCs w:val="16"/>
          <w:color w:val="auto"/>
        </w:rPr>
        <w:t>Global scope of operations and/or diversified product lines.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6"/>
        </w:numPr>
        <w:rPr>
          <w:rFonts w:ascii="Arial" w:cs="Arial" w:eastAsia="Arial" w:hAnsi="Arial"/>
          <w:sz w:val="16"/>
          <w:szCs w:val="16"/>
          <w:b w:val="1"/>
          <w:bCs w:val="1"/>
          <w:color w:val="D7282F"/>
        </w:rPr>
      </w:pPr>
      <w:r>
        <w:rPr>
          <w:rFonts w:ascii="Arial" w:cs="Arial" w:eastAsia="Arial" w:hAnsi="Arial"/>
          <w:sz w:val="16"/>
          <w:szCs w:val="16"/>
          <w:color w:val="auto"/>
        </w:rPr>
        <w:t>Within reasonable range of sales and/or market capitalization.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26"/>
        </w:numPr>
        <w:rPr>
          <w:rFonts w:ascii="Arial" w:cs="Arial" w:eastAsia="Arial" w:hAnsi="Arial"/>
          <w:sz w:val="16"/>
          <w:szCs w:val="16"/>
          <w:b w:val="1"/>
          <w:bCs w:val="1"/>
          <w:color w:val="D7282F"/>
        </w:rPr>
      </w:pPr>
      <w:r>
        <w:rPr>
          <w:rFonts w:ascii="Arial" w:cs="Arial" w:eastAsia="Arial" w:hAnsi="Arial"/>
          <w:sz w:val="16"/>
          <w:szCs w:val="16"/>
          <w:color w:val="auto"/>
        </w:rPr>
        <w:t>Demonstrated competitor for executive talent.</w:t>
      </w:r>
    </w:p>
    <w:p>
      <w:pPr>
        <w:spacing w:after="0" w:line="113"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The MDCC reviews the appropriateness of the Compensation Peer Group companies on an annual basis and discusses whether any changes are necessary.</w:t>
      </w:r>
    </w:p>
    <w:p>
      <w:pPr>
        <w:spacing w:after="0" w:line="61"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color w:val="D7282F"/>
        </w:rPr>
        <w:t xml:space="preserve">In 2023, considering the above attributes and input from Pay Governance, the MDCC's independent compensation consultant, the MDCC added Cisco Systems, Inc. and Medtronic plc to the Compensation Peer Group due to their relative size and complexity as well as their technology focus. </w:t>
      </w:r>
      <w:r>
        <w:rPr>
          <w:rFonts w:ascii="Arial" w:cs="Arial" w:eastAsia="Arial" w:hAnsi="Arial"/>
          <w:sz w:val="16"/>
          <w:szCs w:val="16"/>
          <w:color w:val="000000"/>
        </w:rPr>
        <w:t>These additions resulted in a final peer group of 18 companies. No companies were removed.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Compensation Peer Group companies for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Aerospace &amp; Defense</w:t>
            </w:r>
          </w:p>
        </w:tc>
        <w:tc>
          <w:tcPr>
            <w:tcW w:w="3420" w:type="dxa"/>
            <w:vAlign w:val="bottom"/>
          </w:tcPr>
          <w:p>
            <w:pPr>
              <w:ind w:left="760"/>
              <w:spacing w:after="0"/>
              <w:rPr>
                <w:sz w:val="20"/>
                <w:szCs w:val="20"/>
                <w:color w:val="auto"/>
              </w:rPr>
            </w:pPr>
            <w:r>
              <w:rPr>
                <w:rFonts w:ascii="Arial" w:cs="Arial" w:eastAsia="Arial" w:hAnsi="Arial"/>
                <w:sz w:val="16"/>
                <w:szCs w:val="16"/>
                <w:b w:val="1"/>
                <w:bCs w:val="1"/>
                <w:color w:val="auto"/>
              </w:rPr>
              <w:t>Machinery</w:t>
            </w:r>
          </w:p>
        </w:tc>
        <w:tc>
          <w:tcPr>
            <w:tcW w:w="4800" w:type="dxa"/>
            <w:vAlign w:val="bottom"/>
          </w:tcPr>
          <w:p>
            <w:pPr>
              <w:ind w:left="1080"/>
              <w:spacing w:after="0"/>
              <w:rPr>
                <w:sz w:val="20"/>
                <w:szCs w:val="20"/>
                <w:color w:val="auto"/>
              </w:rPr>
            </w:pPr>
            <w:r>
              <w:rPr>
                <w:rFonts w:ascii="Arial" w:cs="Arial" w:eastAsia="Arial" w:hAnsi="Arial"/>
                <w:sz w:val="16"/>
                <w:szCs w:val="16"/>
                <w:b w:val="1"/>
                <w:bCs w:val="1"/>
                <w:color w:val="auto"/>
              </w:rPr>
              <w:t>Chemicals</w:t>
            </w:r>
          </w:p>
        </w:tc>
      </w:tr>
      <w:tr>
        <w:trPr>
          <w:trHeight w:val="61"/>
        </w:trPr>
        <w:tc>
          <w:tcPr>
            <w:tcW w:w="3000" w:type="dxa"/>
            <w:vAlign w:val="bottom"/>
            <w:tcBorders>
              <w:bottom w:val="single" w:sz="8" w:color="D7282F"/>
            </w:tcBorders>
          </w:tcPr>
          <w:p>
            <w:pPr>
              <w:spacing w:after="0"/>
              <w:rPr>
                <w:sz w:val="5"/>
                <w:szCs w:val="5"/>
                <w:color w:val="auto"/>
              </w:rPr>
            </w:pPr>
          </w:p>
        </w:tc>
        <w:tc>
          <w:tcPr>
            <w:tcW w:w="3420" w:type="dxa"/>
            <w:vAlign w:val="bottom"/>
            <w:tcBorders>
              <w:bottom w:val="single" w:sz="8" w:color="D7282F"/>
            </w:tcBorders>
          </w:tcPr>
          <w:p>
            <w:pPr>
              <w:spacing w:after="0"/>
              <w:rPr>
                <w:sz w:val="5"/>
                <w:szCs w:val="5"/>
                <w:color w:val="auto"/>
              </w:rPr>
            </w:pPr>
          </w:p>
        </w:tc>
        <w:tc>
          <w:tcPr>
            <w:tcW w:w="4800" w:type="dxa"/>
            <w:vAlign w:val="bottom"/>
            <w:tcBorders>
              <w:bottom w:val="single" w:sz="8" w:color="D7282F"/>
            </w:tcBorders>
          </w:tcPr>
          <w:p>
            <w:pPr>
              <w:spacing w:after="0"/>
              <w:rPr>
                <w:sz w:val="5"/>
                <w:szCs w:val="5"/>
                <w:color w:val="auto"/>
              </w:rPr>
            </w:pPr>
          </w:p>
        </w:tc>
      </w:tr>
      <w:tr>
        <w:trPr>
          <w:trHeight w:val="262"/>
        </w:trPr>
        <w:tc>
          <w:tcPr>
            <w:tcW w:w="3000" w:type="dxa"/>
            <w:vAlign w:val="bottom"/>
          </w:tcPr>
          <w:p>
            <w:pPr>
              <w:ind w:left="20"/>
              <w:spacing w:after="0"/>
              <w:rPr>
                <w:sz w:val="20"/>
                <w:szCs w:val="20"/>
                <w:color w:val="auto"/>
              </w:rPr>
            </w:pPr>
            <w:r>
              <w:rPr>
                <w:rFonts w:ascii="Arial" w:cs="Arial" w:eastAsia="Arial" w:hAnsi="Arial"/>
                <w:sz w:val="16"/>
                <w:szCs w:val="16"/>
                <w:color w:val="auto"/>
              </w:rPr>
              <w:t>The Boeing Company</w:t>
            </w:r>
          </w:p>
        </w:tc>
        <w:tc>
          <w:tcPr>
            <w:tcW w:w="3420" w:type="dxa"/>
            <w:vAlign w:val="bottom"/>
          </w:tcPr>
          <w:p>
            <w:pPr>
              <w:ind w:left="760"/>
              <w:spacing w:after="0"/>
              <w:rPr>
                <w:sz w:val="20"/>
                <w:szCs w:val="20"/>
                <w:color w:val="auto"/>
              </w:rPr>
            </w:pPr>
            <w:r>
              <w:rPr>
                <w:rFonts w:ascii="Arial" w:cs="Arial" w:eastAsia="Arial" w:hAnsi="Arial"/>
                <w:sz w:val="16"/>
                <w:szCs w:val="16"/>
                <w:color w:val="auto"/>
              </w:rPr>
              <w:t>Deere &amp; Company</w:t>
            </w:r>
          </w:p>
        </w:tc>
        <w:tc>
          <w:tcPr>
            <w:tcW w:w="4800" w:type="dxa"/>
            <w:vAlign w:val="bottom"/>
          </w:tcPr>
          <w:p>
            <w:pPr>
              <w:ind w:left="1080"/>
              <w:spacing w:after="0"/>
              <w:rPr>
                <w:sz w:val="20"/>
                <w:szCs w:val="20"/>
                <w:color w:val="auto"/>
              </w:rPr>
            </w:pPr>
            <w:r>
              <w:rPr>
                <w:rFonts w:ascii="Arial" w:cs="Arial" w:eastAsia="Arial" w:hAnsi="Arial"/>
                <w:sz w:val="16"/>
                <w:szCs w:val="16"/>
                <w:color w:val="auto"/>
              </w:rPr>
              <w:t>DuPont de Nemours, Inc.</w:t>
            </w:r>
          </w:p>
        </w:tc>
      </w:tr>
      <w:tr>
        <w:trPr>
          <w:trHeight w:val="243"/>
        </w:trPr>
        <w:tc>
          <w:tcPr>
            <w:tcW w:w="3000" w:type="dxa"/>
            <w:vAlign w:val="bottom"/>
          </w:tcPr>
          <w:p>
            <w:pPr>
              <w:ind w:left="20"/>
              <w:spacing w:after="0"/>
              <w:rPr>
                <w:sz w:val="20"/>
                <w:szCs w:val="20"/>
                <w:color w:val="auto"/>
              </w:rPr>
            </w:pPr>
            <w:r>
              <w:rPr>
                <w:rFonts w:ascii="Arial" w:cs="Arial" w:eastAsia="Arial" w:hAnsi="Arial"/>
                <w:sz w:val="16"/>
                <w:szCs w:val="16"/>
                <w:color w:val="auto"/>
              </w:rPr>
              <w:t>General Dynamics Corporation</w:t>
            </w:r>
          </w:p>
        </w:tc>
        <w:tc>
          <w:tcPr>
            <w:tcW w:w="3420" w:type="dxa"/>
            <w:vAlign w:val="bottom"/>
          </w:tcPr>
          <w:p>
            <w:pPr>
              <w:ind w:left="760"/>
              <w:spacing w:after="0"/>
              <w:rPr>
                <w:sz w:val="20"/>
                <w:szCs w:val="20"/>
                <w:color w:val="auto"/>
              </w:rPr>
            </w:pPr>
            <w:r>
              <w:rPr>
                <w:rFonts w:ascii="Arial" w:cs="Arial" w:eastAsia="Arial" w:hAnsi="Arial"/>
                <w:sz w:val="16"/>
                <w:szCs w:val="16"/>
                <w:color w:val="auto"/>
              </w:rPr>
              <w:t>Caterpillar Inc.</w:t>
            </w:r>
          </w:p>
        </w:tc>
        <w:tc>
          <w:tcPr>
            <w:tcW w:w="4800" w:type="dxa"/>
            <w:vAlign w:val="bottom"/>
          </w:tcPr>
          <w:p>
            <w:pPr>
              <w:ind w:left="1080"/>
              <w:spacing w:after="0"/>
              <w:rPr>
                <w:sz w:val="20"/>
                <w:szCs w:val="20"/>
                <w:color w:val="auto"/>
              </w:rPr>
            </w:pPr>
            <w:r>
              <w:rPr>
                <w:rFonts w:ascii="Arial" w:cs="Arial" w:eastAsia="Arial" w:hAnsi="Arial"/>
                <w:sz w:val="16"/>
                <w:szCs w:val="16"/>
                <w:color w:val="auto"/>
              </w:rPr>
              <w:t>Dow Inc.</w:t>
            </w:r>
          </w:p>
        </w:tc>
      </w:tr>
      <w:tr>
        <w:trPr>
          <w:trHeight w:val="243"/>
        </w:trPr>
        <w:tc>
          <w:tcPr>
            <w:tcW w:w="3000" w:type="dxa"/>
            <w:vAlign w:val="bottom"/>
          </w:tcPr>
          <w:p>
            <w:pPr>
              <w:ind w:left="20"/>
              <w:spacing w:after="0"/>
              <w:rPr>
                <w:sz w:val="20"/>
                <w:szCs w:val="20"/>
                <w:color w:val="auto"/>
              </w:rPr>
            </w:pPr>
            <w:r>
              <w:rPr>
                <w:rFonts w:ascii="Arial" w:cs="Arial" w:eastAsia="Arial" w:hAnsi="Arial"/>
                <w:sz w:val="16"/>
                <w:szCs w:val="16"/>
                <w:color w:val="auto"/>
              </w:rPr>
              <w:t>Lockheed Martin Corporation</w:t>
            </w:r>
          </w:p>
        </w:tc>
        <w:tc>
          <w:tcPr>
            <w:tcW w:w="3420" w:type="dxa"/>
            <w:vAlign w:val="bottom"/>
          </w:tcPr>
          <w:p>
            <w:pPr>
              <w:ind w:left="760"/>
              <w:spacing w:after="0"/>
              <w:rPr>
                <w:sz w:val="20"/>
                <w:szCs w:val="20"/>
                <w:color w:val="auto"/>
              </w:rPr>
            </w:pPr>
            <w:r>
              <w:rPr>
                <w:rFonts w:ascii="Arial" w:cs="Arial" w:eastAsia="Arial" w:hAnsi="Arial"/>
                <w:sz w:val="16"/>
                <w:szCs w:val="16"/>
                <w:color w:val="auto"/>
              </w:rPr>
              <w:t>Illinois Tool Works Inc.</w:t>
            </w:r>
          </w:p>
        </w:tc>
        <w:tc>
          <w:tcPr>
            <w:tcW w:w="4800" w:type="dxa"/>
            <w:vAlign w:val="bottom"/>
          </w:tcPr>
          <w:p>
            <w:pPr>
              <w:spacing w:after="0"/>
              <w:rPr>
                <w:sz w:val="21"/>
                <w:szCs w:val="21"/>
                <w:color w:val="auto"/>
              </w:rPr>
            </w:pPr>
          </w:p>
        </w:tc>
      </w:tr>
      <w:tr>
        <w:trPr>
          <w:trHeight w:val="252"/>
        </w:trPr>
        <w:tc>
          <w:tcPr>
            <w:tcW w:w="3000" w:type="dxa"/>
            <w:vAlign w:val="bottom"/>
            <w:tcBorders>
              <w:bottom w:val="single" w:sz="8" w:color="D7282F"/>
            </w:tcBorders>
          </w:tcPr>
          <w:p>
            <w:pPr>
              <w:ind w:left="20"/>
              <w:spacing w:after="0"/>
              <w:rPr>
                <w:sz w:val="20"/>
                <w:szCs w:val="20"/>
                <w:color w:val="auto"/>
              </w:rPr>
            </w:pPr>
            <w:r>
              <w:rPr>
                <w:rFonts w:ascii="Arial" w:cs="Arial" w:eastAsia="Arial" w:hAnsi="Arial"/>
                <w:sz w:val="16"/>
                <w:szCs w:val="16"/>
                <w:color w:val="auto"/>
              </w:rPr>
              <w:t>RTX Corporation</w:t>
            </w:r>
          </w:p>
        </w:tc>
        <w:tc>
          <w:tcPr>
            <w:tcW w:w="3420" w:type="dxa"/>
            <w:vAlign w:val="bottom"/>
            <w:tcBorders>
              <w:bottom w:val="single" w:sz="8" w:color="D7282F"/>
            </w:tcBorders>
          </w:tcPr>
          <w:p>
            <w:pPr>
              <w:spacing w:after="0"/>
              <w:rPr>
                <w:sz w:val="21"/>
                <w:szCs w:val="21"/>
                <w:color w:val="auto"/>
              </w:rPr>
            </w:pPr>
          </w:p>
        </w:tc>
        <w:tc>
          <w:tcPr>
            <w:tcW w:w="4800" w:type="dxa"/>
            <w:vAlign w:val="bottom"/>
            <w:tcBorders>
              <w:bottom w:val="single" w:sz="8" w:color="D7282F"/>
            </w:tcBorders>
          </w:tcPr>
          <w:p>
            <w:pPr>
              <w:spacing w:after="0"/>
              <w:rPr>
                <w:sz w:val="21"/>
                <w:szCs w:val="2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Electrical Equipment</w:t>
            </w:r>
          </w:p>
        </w:tc>
        <w:tc>
          <w:tcPr>
            <w:tcW w:w="3900" w:type="dxa"/>
            <w:vAlign w:val="bottom"/>
          </w:tcPr>
          <w:p>
            <w:pPr>
              <w:ind w:left="640"/>
              <w:spacing w:after="0"/>
              <w:rPr>
                <w:sz w:val="20"/>
                <w:szCs w:val="20"/>
                <w:color w:val="auto"/>
              </w:rPr>
            </w:pPr>
            <w:r>
              <w:rPr>
                <w:rFonts w:ascii="Arial" w:cs="Arial" w:eastAsia="Arial" w:hAnsi="Arial"/>
                <w:sz w:val="16"/>
                <w:szCs w:val="16"/>
                <w:b w:val="1"/>
                <w:bCs w:val="1"/>
                <w:color w:val="auto"/>
              </w:rPr>
              <w:t>Oil &amp; Gas</w:t>
            </w:r>
          </w:p>
        </w:tc>
        <w:tc>
          <w:tcPr>
            <w:tcW w:w="4200" w:type="dxa"/>
            <w:vAlign w:val="bottom"/>
          </w:tcPr>
          <w:p>
            <w:pPr>
              <w:ind w:left="480"/>
              <w:spacing w:after="0"/>
              <w:rPr>
                <w:sz w:val="20"/>
                <w:szCs w:val="20"/>
                <w:color w:val="auto"/>
              </w:rPr>
            </w:pPr>
            <w:r>
              <w:rPr>
                <w:rFonts w:ascii="Arial" w:cs="Arial" w:eastAsia="Arial" w:hAnsi="Arial"/>
                <w:sz w:val="16"/>
                <w:szCs w:val="16"/>
                <w:b w:val="1"/>
                <w:bCs w:val="1"/>
                <w:color w:val="auto"/>
              </w:rPr>
              <w:t>Industrial Conglomerates</w:t>
            </w:r>
          </w:p>
        </w:tc>
      </w:tr>
      <w:tr>
        <w:trPr>
          <w:trHeight w:val="61"/>
        </w:trPr>
        <w:tc>
          <w:tcPr>
            <w:tcW w:w="3120" w:type="dxa"/>
            <w:vAlign w:val="bottom"/>
            <w:tcBorders>
              <w:bottom w:val="single" w:sz="8" w:color="D7282F"/>
            </w:tcBorders>
          </w:tcPr>
          <w:p>
            <w:pPr>
              <w:spacing w:after="0"/>
              <w:rPr>
                <w:sz w:val="5"/>
                <w:szCs w:val="5"/>
                <w:color w:val="auto"/>
              </w:rPr>
            </w:pPr>
          </w:p>
        </w:tc>
        <w:tc>
          <w:tcPr>
            <w:tcW w:w="3900" w:type="dxa"/>
            <w:vAlign w:val="bottom"/>
            <w:tcBorders>
              <w:bottom w:val="single" w:sz="8" w:color="D7282F"/>
            </w:tcBorders>
          </w:tcPr>
          <w:p>
            <w:pPr>
              <w:spacing w:after="0"/>
              <w:rPr>
                <w:sz w:val="5"/>
                <w:szCs w:val="5"/>
                <w:color w:val="auto"/>
              </w:rPr>
            </w:pPr>
          </w:p>
        </w:tc>
        <w:tc>
          <w:tcPr>
            <w:tcW w:w="4200" w:type="dxa"/>
            <w:vAlign w:val="bottom"/>
            <w:tcBorders>
              <w:bottom w:val="single" w:sz="8" w:color="D7282F"/>
            </w:tcBorders>
          </w:tcPr>
          <w:p>
            <w:pPr>
              <w:spacing w:after="0"/>
              <w:rPr>
                <w:sz w:val="5"/>
                <w:szCs w:val="5"/>
                <w:color w:val="auto"/>
              </w:rPr>
            </w:pPr>
          </w:p>
        </w:tc>
      </w:tr>
      <w:tr>
        <w:trPr>
          <w:trHeight w:val="262"/>
        </w:trPr>
        <w:tc>
          <w:tcPr>
            <w:tcW w:w="3120" w:type="dxa"/>
            <w:vAlign w:val="bottom"/>
          </w:tcPr>
          <w:p>
            <w:pPr>
              <w:ind w:left="20"/>
              <w:spacing w:after="0"/>
              <w:rPr>
                <w:sz w:val="20"/>
                <w:szCs w:val="20"/>
                <w:color w:val="auto"/>
              </w:rPr>
            </w:pPr>
            <w:r>
              <w:rPr>
                <w:rFonts w:ascii="Arial" w:cs="Arial" w:eastAsia="Arial" w:hAnsi="Arial"/>
                <w:sz w:val="16"/>
                <w:szCs w:val="16"/>
                <w:color w:val="auto"/>
              </w:rPr>
              <w:t>Eaton Corporation plc</w:t>
            </w:r>
          </w:p>
        </w:tc>
        <w:tc>
          <w:tcPr>
            <w:tcW w:w="3900" w:type="dxa"/>
            <w:vAlign w:val="bottom"/>
          </w:tcPr>
          <w:p>
            <w:pPr>
              <w:ind w:left="640"/>
              <w:spacing w:after="0"/>
              <w:rPr>
                <w:sz w:val="20"/>
                <w:szCs w:val="20"/>
                <w:color w:val="auto"/>
              </w:rPr>
            </w:pPr>
            <w:r>
              <w:rPr>
                <w:rFonts w:ascii="Arial" w:cs="Arial" w:eastAsia="Arial" w:hAnsi="Arial"/>
                <w:sz w:val="16"/>
                <w:szCs w:val="16"/>
                <w:color w:val="auto"/>
              </w:rPr>
              <w:t>Schlumberger Limited</w:t>
            </w:r>
          </w:p>
        </w:tc>
        <w:tc>
          <w:tcPr>
            <w:tcW w:w="4200" w:type="dxa"/>
            <w:vAlign w:val="bottom"/>
          </w:tcPr>
          <w:p>
            <w:pPr>
              <w:ind w:left="480"/>
              <w:spacing w:after="0"/>
              <w:rPr>
                <w:sz w:val="20"/>
                <w:szCs w:val="20"/>
                <w:color w:val="auto"/>
              </w:rPr>
            </w:pPr>
            <w:r>
              <w:rPr>
                <w:rFonts w:ascii="Arial" w:cs="Arial" w:eastAsia="Arial" w:hAnsi="Arial"/>
                <w:sz w:val="16"/>
                <w:szCs w:val="16"/>
                <w:color w:val="auto"/>
              </w:rPr>
              <w:t>3M Company</w:t>
            </w:r>
          </w:p>
        </w:tc>
      </w:tr>
      <w:tr>
        <w:trPr>
          <w:trHeight w:val="252"/>
        </w:trPr>
        <w:tc>
          <w:tcPr>
            <w:tcW w:w="3120" w:type="dxa"/>
            <w:vAlign w:val="bottom"/>
            <w:tcBorders>
              <w:bottom w:val="single" w:sz="8" w:color="D7282F"/>
            </w:tcBorders>
          </w:tcPr>
          <w:p>
            <w:pPr>
              <w:ind w:left="20"/>
              <w:spacing w:after="0"/>
              <w:rPr>
                <w:sz w:val="20"/>
                <w:szCs w:val="20"/>
                <w:color w:val="auto"/>
              </w:rPr>
            </w:pPr>
            <w:r>
              <w:rPr>
                <w:rFonts w:ascii="Arial" w:cs="Arial" w:eastAsia="Arial" w:hAnsi="Arial"/>
                <w:sz w:val="16"/>
                <w:szCs w:val="16"/>
                <w:color w:val="auto"/>
              </w:rPr>
              <w:t>Emerson Electric Co.</w:t>
            </w:r>
          </w:p>
        </w:tc>
        <w:tc>
          <w:tcPr>
            <w:tcW w:w="3900" w:type="dxa"/>
            <w:vAlign w:val="bottom"/>
            <w:tcBorders>
              <w:bottom w:val="single" w:sz="8" w:color="D7282F"/>
            </w:tcBorders>
          </w:tcPr>
          <w:p>
            <w:pPr>
              <w:ind w:left="640"/>
              <w:spacing w:after="0"/>
              <w:rPr>
                <w:sz w:val="20"/>
                <w:szCs w:val="20"/>
                <w:color w:val="auto"/>
              </w:rPr>
            </w:pPr>
            <w:r>
              <w:rPr>
                <w:rFonts w:ascii="Arial" w:cs="Arial" w:eastAsia="Arial" w:hAnsi="Arial"/>
                <w:sz w:val="16"/>
                <w:szCs w:val="16"/>
                <w:color w:val="auto"/>
              </w:rPr>
              <w:t>Phillips 66</w:t>
            </w:r>
          </w:p>
        </w:tc>
        <w:tc>
          <w:tcPr>
            <w:tcW w:w="4200" w:type="dxa"/>
            <w:vAlign w:val="bottom"/>
            <w:tcBorders>
              <w:bottom w:val="single" w:sz="8" w:color="D7282F"/>
            </w:tcBorders>
          </w:tcPr>
          <w:p>
            <w:pPr>
              <w:ind w:left="480"/>
              <w:spacing w:after="0"/>
              <w:rPr>
                <w:sz w:val="20"/>
                <w:szCs w:val="20"/>
                <w:color w:val="auto"/>
              </w:rPr>
            </w:pPr>
            <w:r>
              <w:rPr>
                <w:rFonts w:ascii="Arial" w:cs="Arial" w:eastAsia="Arial" w:hAnsi="Arial"/>
                <w:sz w:val="16"/>
                <w:szCs w:val="16"/>
                <w:color w:val="auto"/>
              </w:rPr>
              <w:t>General Electric Company</w:t>
            </w:r>
          </w:p>
        </w:tc>
      </w:tr>
      <w:tr>
        <w:trPr>
          <w:trHeight w:val="438"/>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Building Products</w:t>
            </w:r>
          </w:p>
        </w:tc>
        <w:tc>
          <w:tcPr>
            <w:tcW w:w="3900" w:type="dxa"/>
            <w:vAlign w:val="bottom"/>
          </w:tcPr>
          <w:p>
            <w:pPr>
              <w:ind w:left="640"/>
              <w:spacing w:after="0"/>
              <w:rPr>
                <w:sz w:val="20"/>
                <w:szCs w:val="20"/>
                <w:color w:val="auto"/>
              </w:rPr>
            </w:pPr>
            <w:r>
              <w:rPr>
                <w:rFonts w:ascii="Arial" w:cs="Arial" w:eastAsia="Arial" w:hAnsi="Arial"/>
                <w:sz w:val="16"/>
                <w:szCs w:val="16"/>
                <w:b w:val="1"/>
                <w:bCs w:val="1"/>
                <w:color w:val="auto"/>
              </w:rPr>
              <w:t>Technology/Communications Equip.</w:t>
            </w:r>
          </w:p>
        </w:tc>
        <w:tc>
          <w:tcPr>
            <w:tcW w:w="4200" w:type="dxa"/>
            <w:vAlign w:val="bottom"/>
          </w:tcPr>
          <w:p>
            <w:pPr>
              <w:ind w:left="480"/>
              <w:spacing w:after="0"/>
              <w:rPr>
                <w:sz w:val="20"/>
                <w:szCs w:val="20"/>
                <w:color w:val="auto"/>
              </w:rPr>
            </w:pPr>
            <w:r>
              <w:rPr>
                <w:rFonts w:ascii="Arial" w:cs="Arial" w:eastAsia="Arial" w:hAnsi="Arial"/>
                <w:sz w:val="16"/>
                <w:szCs w:val="16"/>
                <w:b w:val="1"/>
                <w:bCs w:val="1"/>
                <w:color w:val="auto"/>
              </w:rPr>
              <w:t>Technology/Medical Equip.</w:t>
            </w:r>
          </w:p>
        </w:tc>
      </w:tr>
      <w:tr>
        <w:trPr>
          <w:trHeight w:val="61"/>
        </w:trPr>
        <w:tc>
          <w:tcPr>
            <w:tcW w:w="3120" w:type="dxa"/>
            <w:vAlign w:val="bottom"/>
            <w:tcBorders>
              <w:bottom w:val="single" w:sz="8" w:color="D7282F"/>
            </w:tcBorders>
          </w:tcPr>
          <w:p>
            <w:pPr>
              <w:spacing w:after="0"/>
              <w:rPr>
                <w:sz w:val="5"/>
                <w:szCs w:val="5"/>
                <w:color w:val="auto"/>
              </w:rPr>
            </w:pPr>
          </w:p>
        </w:tc>
        <w:tc>
          <w:tcPr>
            <w:tcW w:w="3900" w:type="dxa"/>
            <w:vAlign w:val="bottom"/>
            <w:tcBorders>
              <w:bottom w:val="single" w:sz="8" w:color="D7282F"/>
            </w:tcBorders>
          </w:tcPr>
          <w:p>
            <w:pPr>
              <w:spacing w:after="0"/>
              <w:rPr>
                <w:sz w:val="5"/>
                <w:szCs w:val="5"/>
                <w:color w:val="auto"/>
              </w:rPr>
            </w:pPr>
          </w:p>
        </w:tc>
        <w:tc>
          <w:tcPr>
            <w:tcW w:w="4200" w:type="dxa"/>
            <w:vAlign w:val="bottom"/>
            <w:tcBorders>
              <w:bottom w:val="single" w:sz="8" w:color="D7282F"/>
            </w:tcBorders>
          </w:tcPr>
          <w:p>
            <w:pPr>
              <w:spacing w:after="0"/>
              <w:rPr>
                <w:sz w:val="5"/>
                <w:szCs w:val="5"/>
                <w:color w:val="auto"/>
              </w:rPr>
            </w:pPr>
          </w:p>
        </w:tc>
      </w:tr>
      <w:tr>
        <w:trPr>
          <w:trHeight w:val="277"/>
        </w:trPr>
        <w:tc>
          <w:tcPr>
            <w:tcW w:w="3120" w:type="dxa"/>
            <w:vAlign w:val="bottom"/>
            <w:tcBorders>
              <w:bottom w:val="single" w:sz="8" w:color="D7282F"/>
            </w:tcBorders>
          </w:tcPr>
          <w:p>
            <w:pPr>
              <w:ind w:left="20"/>
              <w:spacing w:after="0"/>
              <w:rPr>
                <w:sz w:val="20"/>
                <w:szCs w:val="20"/>
                <w:color w:val="auto"/>
              </w:rPr>
            </w:pPr>
            <w:r>
              <w:rPr>
                <w:rFonts w:ascii="Arial" w:cs="Arial" w:eastAsia="Arial" w:hAnsi="Arial"/>
                <w:sz w:val="16"/>
                <w:szCs w:val="16"/>
                <w:color w:val="auto"/>
              </w:rPr>
              <w:t>Johnson Controls International plc</w:t>
            </w:r>
          </w:p>
        </w:tc>
        <w:tc>
          <w:tcPr>
            <w:tcW w:w="3900" w:type="dxa"/>
            <w:vAlign w:val="bottom"/>
            <w:tcBorders>
              <w:bottom w:val="single" w:sz="8" w:color="D7282F"/>
            </w:tcBorders>
          </w:tcPr>
          <w:p>
            <w:pPr>
              <w:ind w:left="640"/>
              <w:spacing w:after="0"/>
              <w:rPr>
                <w:sz w:val="20"/>
                <w:szCs w:val="20"/>
                <w:color w:val="auto"/>
              </w:rPr>
            </w:pPr>
            <w:r>
              <w:rPr>
                <w:rFonts w:ascii="Arial" w:cs="Arial" w:eastAsia="Arial" w:hAnsi="Arial"/>
                <w:sz w:val="16"/>
                <w:szCs w:val="16"/>
                <w:color w:val="auto"/>
              </w:rPr>
              <w:t>Cisco Systems, Inc.</w:t>
            </w:r>
            <w:r>
              <w:rPr>
                <w:rFonts w:ascii="Arial" w:cs="Arial" w:eastAsia="Arial" w:hAnsi="Arial"/>
                <w:sz w:val="21"/>
                <w:szCs w:val="21"/>
                <w:color w:val="auto"/>
                <w:vertAlign w:val="superscript"/>
              </w:rPr>
              <w:t>(1)</w:t>
            </w:r>
          </w:p>
        </w:tc>
        <w:tc>
          <w:tcPr>
            <w:tcW w:w="4200" w:type="dxa"/>
            <w:vAlign w:val="bottom"/>
            <w:tcBorders>
              <w:bottom w:val="single" w:sz="8" w:color="D7282F"/>
            </w:tcBorders>
          </w:tcPr>
          <w:p>
            <w:pPr>
              <w:ind w:left="480"/>
              <w:spacing w:after="0"/>
              <w:rPr>
                <w:sz w:val="20"/>
                <w:szCs w:val="20"/>
                <w:color w:val="auto"/>
              </w:rPr>
            </w:pPr>
            <w:r>
              <w:rPr>
                <w:rFonts w:ascii="Arial" w:cs="Arial" w:eastAsia="Arial" w:hAnsi="Arial"/>
                <w:sz w:val="16"/>
                <w:szCs w:val="16"/>
                <w:color w:val="auto"/>
              </w:rPr>
              <w:t>Medtronic plc</w:t>
            </w:r>
            <w:r>
              <w:rPr>
                <w:rFonts w:ascii="Arial" w:cs="Arial" w:eastAsia="Arial" w:hAnsi="Arial"/>
                <w:sz w:val="21"/>
                <w:szCs w:val="21"/>
                <w:color w:val="auto"/>
                <w:vertAlign w:val="superscript"/>
              </w:rPr>
              <w:t>(1)</w:t>
            </w:r>
          </w:p>
        </w:tc>
      </w:tr>
    </w:tbl>
    <w:p>
      <w:pPr>
        <w:spacing w:after="0" w:line="126" w:lineRule="exact"/>
        <w:rPr>
          <w:sz w:val="20"/>
          <w:szCs w:val="20"/>
          <w:color w:val="auto"/>
        </w:rPr>
      </w:pPr>
    </w:p>
    <w:p>
      <w:pPr>
        <w:ind w:left="200" w:hanging="192"/>
        <w:spacing w:after="0"/>
        <w:tabs>
          <w:tab w:leader="none" w:pos="200" w:val="left"/>
        </w:tabs>
        <w:numPr>
          <w:ilvl w:val="0"/>
          <w:numId w:val="127"/>
        </w:numPr>
        <w:rPr>
          <w:rFonts w:ascii="Arial" w:cs="Arial" w:eastAsia="Arial" w:hAnsi="Arial"/>
          <w:sz w:val="16"/>
          <w:szCs w:val="16"/>
          <w:color w:val="auto"/>
          <w:vertAlign w:val="superscript"/>
        </w:rPr>
      </w:pPr>
      <w:r>
        <w:rPr>
          <w:rFonts w:ascii="Arial" w:cs="Arial" w:eastAsia="Arial" w:hAnsi="Arial"/>
          <w:sz w:val="13"/>
          <w:szCs w:val="13"/>
          <w:color w:val="auto"/>
        </w:rPr>
        <w:t>Added in 2023.</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Honeywell's positioning relative to the 2023 Compensation Peer Group, as of December 31, 2023, was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340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Market Cap</w:t>
            </w:r>
          </w:p>
        </w:tc>
        <w:tc>
          <w:tcPr>
            <w:tcW w:w="28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Sales</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Employees</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34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restart"/>
          </w:tcPr>
          <w:p>
            <w:pPr>
              <w:jc w:val="right"/>
              <w:ind w:right="28"/>
              <w:spacing w:after="0" w:line="159" w:lineRule="exact"/>
              <w:rPr>
                <w:sz w:val="20"/>
                <w:szCs w:val="20"/>
                <w:color w:val="auto"/>
              </w:rPr>
            </w:pPr>
            <w:r>
              <w:rPr>
                <w:rFonts w:ascii="Arial" w:cs="Arial" w:eastAsia="Arial" w:hAnsi="Arial"/>
                <w:sz w:val="14"/>
                <w:szCs w:val="14"/>
                <w:b w:val="1"/>
                <w:bCs w:val="1"/>
                <w:color w:val="auto"/>
              </w:rPr>
              <w:t>Assets</w:t>
            </w:r>
          </w:p>
        </w:tc>
        <w:tc>
          <w:tcPr>
            <w:tcW w:w="2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4860" w:type="dxa"/>
            <w:vAlign w:val="bottom"/>
          </w:tcPr>
          <w:p>
            <w:pPr>
              <w:spacing w:after="0"/>
              <w:rPr>
                <w:sz w:val="9"/>
                <w:szCs w:val="9"/>
                <w:color w:val="auto"/>
              </w:rPr>
            </w:pPr>
          </w:p>
        </w:tc>
        <w:tc>
          <w:tcPr>
            <w:tcW w:w="34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($M)</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 Name</w:t>
            </w:r>
          </w:p>
        </w:tc>
        <w:tc>
          <w:tcPr>
            <w:tcW w:w="2640" w:type="dxa"/>
            <w:vAlign w:val="bottom"/>
          </w:tcPr>
          <w:p>
            <w:pPr>
              <w:spacing w:after="0"/>
              <w:rPr>
                <w:sz w:val="7"/>
                <w:szCs w:val="7"/>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w:t>
            </w:r>
          </w:p>
        </w:tc>
        <w:tc>
          <w:tcPr>
            <w:tcW w:w="280" w:type="dxa"/>
            <w:vAlign w:val="bottom"/>
          </w:tcPr>
          <w:p>
            <w:pPr>
              <w:spacing w:after="0"/>
              <w:rPr>
                <w:sz w:val="7"/>
                <w:szCs w:val="7"/>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($M)</w:t>
            </w:r>
          </w:p>
        </w:tc>
        <w:tc>
          <w:tcPr>
            <w:tcW w:w="2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23"/>
        </w:trPr>
        <w:tc>
          <w:tcPr>
            <w:tcW w:w="4860" w:type="dxa"/>
            <w:vAlign w:val="bottom"/>
            <w:tcBorders>
              <w:bottom w:val="single" w:sz="8" w:color="D7282F"/>
            </w:tcBorders>
            <w:vMerge w:val="continue"/>
          </w:tcPr>
          <w:p>
            <w:pPr>
              <w:spacing w:after="0"/>
              <w:rPr>
                <w:sz w:val="10"/>
                <w:szCs w:val="10"/>
                <w:color w:val="auto"/>
              </w:rPr>
            </w:pPr>
          </w:p>
        </w:tc>
        <w:tc>
          <w:tcPr>
            <w:tcW w:w="2640" w:type="dxa"/>
            <w:vAlign w:val="bottom"/>
            <w:tcBorders>
              <w:bottom w:val="single" w:sz="8" w:color="D7282F"/>
            </w:tcBorders>
          </w:tcPr>
          <w:p>
            <w:pPr>
              <w:spacing w:after="0"/>
              <w:rPr>
                <w:sz w:val="10"/>
                <w:szCs w:val="10"/>
                <w:color w:val="auto"/>
              </w:rPr>
            </w:pPr>
          </w:p>
        </w:tc>
        <w:tc>
          <w:tcPr>
            <w:tcW w:w="760" w:type="dxa"/>
            <w:vAlign w:val="bottom"/>
            <w:tcBorders>
              <w:bottom w:val="single" w:sz="8" w:color="D7282F"/>
            </w:tcBorders>
            <w:vMerge w:val="continue"/>
          </w:tcPr>
          <w:p>
            <w:pPr>
              <w:spacing w:after="0"/>
              <w:rPr>
                <w:sz w:val="10"/>
                <w:szCs w:val="10"/>
                <w:color w:val="auto"/>
              </w:rPr>
            </w:pPr>
          </w:p>
        </w:tc>
        <w:tc>
          <w:tcPr>
            <w:tcW w:w="280" w:type="dxa"/>
            <w:vAlign w:val="bottom"/>
            <w:tcBorders>
              <w:bottom w:val="single" w:sz="8" w:color="D7282F"/>
            </w:tcBorders>
          </w:tcPr>
          <w:p>
            <w:pPr>
              <w:spacing w:after="0"/>
              <w:rPr>
                <w:sz w:val="10"/>
                <w:szCs w:val="10"/>
                <w:color w:val="auto"/>
              </w:rPr>
            </w:pPr>
          </w:p>
        </w:tc>
        <w:tc>
          <w:tcPr>
            <w:tcW w:w="680" w:type="dxa"/>
            <w:vAlign w:val="bottom"/>
            <w:tcBorders>
              <w:bottom w:val="single" w:sz="8" w:color="D7282F"/>
            </w:tcBorders>
            <w:vMerge w:val="continue"/>
          </w:tcPr>
          <w:p>
            <w:pPr>
              <w:spacing w:after="0"/>
              <w:rPr>
                <w:sz w:val="10"/>
                <w:szCs w:val="10"/>
                <w:color w:val="auto"/>
              </w:rPr>
            </w:pPr>
          </w:p>
        </w:tc>
        <w:tc>
          <w:tcPr>
            <w:tcW w:w="260" w:type="dxa"/>
            <w:vAlign w:val="bottom"/>
            <w:tcBorders>
              <w:bottom w:val="single" w:sz="8" w:color="D7282F"/>
            </w:tcBorders>
          </w:tcPr>
          <w:p>
            <w:pPr>
              <w:spacing w:after="0"/>
              <w:rPr>
                <w:sz w:val="10"/>
                <w:szCs w:val="10"/>
                <w:color w:val="auto"/>
              </w:rPr>
            </w:pPr>
          </w:p>
        </w:tc>
        <w:tc>
          <w:tcPr>
            <w:tcW w:w="780" w:type="dxa"/>
            <w:vAlign w:val="bottom"/>
            <w:tcBorders>
              <w:bottom w:val="single" w:sz="8" w:color="D7282F"/>
            </w:tcBorders>
          </w:tcPr>
          <w:p>
            <w:pPr>
              <w:spacing w:after="0"/>
              <w:rPr>
                <w:sz w:val="10"/>
                <w:szCs w:val="10"/>
                <w:color w:val="auto"/>
              </w:rPr>
            </w:pPr>
          </w:p>
        </w:tc>
        <w:tc>
          <w:tcPr>
            <w:tcW w:w="960" w:type="dxa"/>
            <w:vAlign w:val="bottom"/>
            <w:tcBorders>
              <w:bottom w:val="single" w:sz="8" w:color="D7282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1"/>
        </w:trPr>
        <w:tc>
          <w:tcPr>
            <w:tcW w:w="4860" w:type="dxa"/>
            <w:vAlign w:val="bottom"/>
          </w:tcPr>
          <w:p>
            <w:pPr>
              <w:ind w:left="20"/>
              <w:spacing w:after="0"/>
              <w:rPr>
                <w:sz w:val="20"/>
                <w:szCs w:val="20"/>
                <w:color w:val="auto"/>
              </w:rPr>
            </w:pPr>
            <w:r>
              <w:rPr>
                <w:rFonts w:ascii="Arial" w:cs="Arial" w:eastAsia="Arial" w:hAnsi="Arial"/>
                <w:sz w:val="14"/>
                <w:szCs w:val="14"/>
                <w:b w:val="1"/>
                <w:bCs w:val="1"/>
                <w:color w:val="D7282F"/>
              </w:rPr>
              <w:t>Honeywell International Inc.</w:t>
            </w:r>
          </w:p>
        </w:tc>
        <w:tc>
          <w:tcPr>
            <w:tcW w:w="2640" w:type="dxa"/>
            <w:vAlign w:val="bottom"/>
          </w:tcPr>
          <w:p>
            <w:pPr>
              <w:jc w:val="right"/>
              <w:ind w:right="28"/>
              <w:spacing w:after="0"/>
              <w:rPr>
                <w:sz w:val="20"/>
                <w:szCs w:val="20"/>
                <w:color w:val="auto"/>
              </w:rPr>
            </w:pPr>
            <w:r>
              <w:rPr>
                <w:rFonts w:ascii="Arial" w:cs="Arial" w:eastAsia="Arial" w:hAnsi="Arial"/>
                <w:sz w:val="14"/>
                <w:szCs w:val="14"/>
                <w:b w:val="1"/>
                <w:bCs w:val="1"/>
                <w:color w:val="D7282F"/>
              </w:rPr>
              <w:t>$</w:t>
            </w: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D7282F"/>
              </w:rPr>
              <w:t>138,251</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D7282F"/>
              </w:rPr>
              <w:t>$</w:t>
            </w: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D7282F"/>
              </w:rPr>
              <w:t>61,525</w:t>
            </w:r>
          </w:p>
        </w:tc>
        <w:tc>
          <w:tcPr>
            <w:tcW w:w="260" w:type="dxa"/>
            <w:vAlign w:val="bottom"/>
          </w:tcPr>
          <w:p>
            <w:pPr>
              <w:jc w:val="right"/>
              <w:ind w:right="8"/>
              <w:spacing w:after="0"/>
              <w:rPr>
                <w:sz w:val="20"/>
                <w:szCs w:val="20"/>
                <w:color w:val="auto"/>
              </w:rPr>
            </w:pPr>
            <w:r>
              <w:rPr>
                <w:rFonts w:ascii="Arial" w:cs="Arial" w:eastAsia="Arial" w:hAnsi="Arial"/>
                <w:sz w:val="14"/>
                <w:szCs w:val="14"/>
                <w:b w:val="1"/>
                <w:bCs w:val="1"/>
                <w:color w:val="D7282F"/>
              </w:rPr>
              <w:t>$</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D7282F"/>
              </w:rPr>
              <w:t>36,662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D7282F"/>
              </w:rPr>
              <w:t>95,000</w:t>
            </w:r>
            <w:r>
              <w:rPr>
                <w:rFonts w:ascii="Arial" w:cs="Arial" w:eastAsia="Arial" w:hAnsi="Arial"/>
                <w:sz w:val="18"/>
                <w:szCs w:val="18"/>
                <w:b w:val="1"/>
                <w:bCs w:val="1"/>
                <w:color w:val="D7282F"/>
                <w:vertAlign w:val="superscript"/>
              </w:rPr>
              <w:t>(1)</w:t>
            </w:r>
          </w:p>
        </w:tc>
        <w:tc>
          <w:tcPr>
            <w:tcW w:w="0" w:type="dxa"/>
            <w:vAlign w:val="bottom"/>
          </w:tcPr>
          <w:p>
            <w:pPr>
              <w:spacing w:after="0"/>
              <w:rPr>
                <w:sz w:val="1"/>
                <w:szCs w:val="1"/>
                <w:color w:val="auto"/>
              </w:rPr>
            </w:pPr>
          </w:p>
        </w:tc>
      </w:tr>
      <w:tr>
        <w:trPr>
          <w:trHeight w:val="68"/>
        </w:trPr>
        <w:tc>
          <w:tcPr>
            <w:tcW w:w="4860" w:type="dxa"/>
            <w:vAlign w:val="bottom"/>
            <w:tcBorders>
              <w:bottom w:val="single" w:sz="8" w:color="939598"/>
            </w:tcBorders>
          </w:tcPr>
          <w:p>
            <w:pPr>
              <w:spacing w:after="0"/>
              <w:rPr>
                <w:sz w:val="5"/>
                <w:szCs w:val="5"/>
                <w:color w:val="auto"/>
              </w:rPr>
            </w:pPr>
          </w:p>
        </w:tc>
        <w:tc>
          <w:tcPr>
            <w:tcW w:w="2640" w:type="dxa"/>
            <w:vAlign w:val="bottom"/>
            <w:tcBorders>
              <w:bottom w:val="single" w:sz="8" w:color="939598"/>
            </w:tcBorders>
          </w:tcPr>
          <w:p>
            <w:pPr>
              <w:spacing w:after="0"/>
              <w:rPr>
                <w:sz w:val="5"/>
                <w:szCs w:val="5"/>
                <w:color w:val="auto"/>
              </w:rPr>
            </w:pPr>
          </w:p>
        </w:tc>
        <w:tc>
          <w:tcPr>
            <w:tcW w:w="760" w:type="dxa"/>
            <w:vAlign w:val="bottom"/>
            <w:tcBorders>
              <w:bottom w:val="single" w:sz="8" w:color="939598"/>
            </w:tcBorders>
          </w:tcPr>
          <w:p>
            <w:pPr>
              <w:spacing w:after="0"/>
              <w:rPr>
                <w:sz w:val="5"/>
                <w:szCs w:val="5"/>
                <w:color w:val="auto"/>
              </w:rPr>
            </w:pPr>
          </w:p>
        </w:tc>
        <w:tc>
          <w:tcPr>
            <w:tcW w:w="280" w:type="dxa"/>
            <w:vAlign w:val="bottom"/>
            <w:tcBorders>
              <w:bottom w:val="single" w:sz="8" w:color="939598"/>
            </w:tcBorders>
          </w:tcPr>
          <w:p>
            <w:pPr>
              <w:spacing w:after="0"/>
              <w:rPr>
                <w:sz w:val="5"/>
                <w:szCs w:val="5"/>
                <w:color w:val="auto"/>
              </w:rPr>
            </w:pPr>
          </w:p>
        </w:tc>
        <w:tc>
          <w:tcPr>
            <w:tcW w:w="680" w:type="dxa"/>
            <w:vAlign w:val="bottom"/>
            <w:tcBorders>
              <w:bottom w:val="single" w:sz="8" w:color="939598"/>
            </w:tcBorders>
          </w:tcPr>
          <w:p>
            <w:pPr>
              <w:spacing w:after="0"/>
              <w:rPr>
                <w:sz w:val="5"/>
                <w:szCs w:val="5"/>
                <w:color w:val="auto"/>
              </w:rPr>
            </w:pPr>
          </w:p>
        </w:tc>
        <w:tc>
          <w:tcPr>
            <w:tcW w:w="260" w:type="dxa"/>
            <w:vAlign w:val="bottom"/>
            <w:tcBorders>
              <w:bottom w:val="single" w:sz="8" w:color="939598"/>
            </w:tcBorders>
          </w:tcPr>
          <w:p>
            <w:pPr>
              <w:spacing w:after="0"/>
              <w:rPr>
                <w:sz w:val="5"/>
                <w:szCs w:val="5"/>
                <w:color w:val="auto"/>
              </w:rPr>
            </w:pPr>
          </w:p>
        </w:tc>
        <w:tc>
          <w:tcPr>
            <w:tcW w:w="780" w:type="dxa"/>
            <w:vAlign w:val="bottom"/>
            <w:tcBorders>
              <w:bottom w:val="single" w:sz="8" w:color="939598"/>
            </w:tcBorders>
          </w:tcPr>
          <w:p>
            <w:pPr>
              <w:spacing w:after="0"/>
              <w:rPr>
                <w:sz w:val="5"/>
                <w:szCs w:val="5"/>
                <w:color w:val="auto"/>
              </w:rPr>
            </w:pPr>
          </w:p>
        </w:tc>
        <w:tc>
          <w:tcPr>
            <w:tcW w:w="96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Compensation Peer Group Median</w:t>
            </w:r>
          </w:p>
        </w:tc>
        <w:tc>
          <w:tcPr>
            <w:tcW w:w="264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87,487</w:t>
            </w:r>
          </w:p>
        </w:tc>
        <w:tc>
          <w:tcPr>
            <w:tcW w:w="28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b w:val="1"/>
                <w:bCs w:val="1"/>
                <w:color w:val="auto"/>
              </w:rPr>
              <w:t>56,389</w:t>
            </w:r>
          </w:p>
        </w:tc>
        <w:tc>
          <w:tcPr>
            <w:tcW w:w="26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43,447</w:t>
            </w: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94,500</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D7282F"/>
              </w:rPr>
              <w:t>Honeywell Percentile Rank</w:t>
            </w:r>
          </w:p>
        </w:tc>
        <w:tc>
          <w:tcPr>
            <w:tcW w:w="264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D7282F"/>
              </w:rPr>
              <w:t>82%</w:t>
            </w:r>
          </w:p>
        </w:tc>
        <w:tc>
          <w:tcPr>
            <w:tcW w:w="280" w:type="dxa"/>
            <w:vAlign w:val="bottom"/>
            <w:tcBorders>
              <w:bottom w:val="single" w:sz="8" w:color="D7282F"/>
            </w:tcBorders>
          </w:tcPr>
          <w:p>
            <w:pPr>
              <w:spacing w:after="0"/>
              <w:rPr>
                <w:sz w:val="19"/>
                <w:szCs w:val="19"/>
                <w:color w:val="auto"/>
              </w:rPr>
            </w:pPr>
          </w:p>
        </w:tc>
        <w:tc>
          <w:tcPr>
            <w:tcW w:w="6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D7282F"/>
              </w:rPr>
              <w:t>54%</w:t>
            </w:r>
          </w:p>
        </w:tc>
        <w:tc>
          <w:tcPr>
            <w:tcW w:w="26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D7282F"/>
              </w:rPr>
              <w:t>43%</w:t>
            </w: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D7282F"/>
              </w:rPr>
              <w:t>53%</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80" w:hanging="192"/>
        <w:spacing w:after="0" w:line="226" w:lineRule="auto"/>
        <w:tabs>
          <w:tab w:leader="none" w:pos="200" w:val="left"/>
        </w:tabs>
        <w:numPr>
          <w:ilvl w:val="0"/>
          <w:numId w:val="128"/>
        </w:numPr>
        <w:rPr>
          <w:rFonts w:ascii="Arial" w:cs="Arial" w:eastAsia="Arial" w:hAnsi="Arial"/>
          <w:sz w:val="16"/>
          <w:szCs w:val="16"/>
          <w:color w:val="auto"/>
          <w:vertAlign w:val="superscript"/>
        </w:rPr>
      </w:pPr>
      <w:r>
        <w:rPr>
          <w:rFonts w:ascii="Arial" w:cs="Arial" w:eastAsia="Arial" w:hAnsi="Arial"/>
          <w:sz w:val="13"/>
          <w:szCs w:val="13"/>
          <w:color w:val="auto"/>
        </w:rPr>
        <w:t>Excludes Sandia National Laboratories (Sandia) and Kansas City National Security Campus (KCNSC) workforces. Sandia and KCNSC are U.S. Department of Energy facilities. Honeywell manages these facilities as a contract operator and does not establish or control their human resources policies.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Of the 18 companies in the 2023 Compensation Peer Group, 17 also listed Honeywell as a compensation peer group company in their proxy statement.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RELATIVE TO PEERS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2023 PERFORMANCE</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graphs show Honeywell’s performance versus the median of the Compensation Peer Group for four key metrics in 2023. We include adjusted EPS growth and free cash flow margin as EPS and free cash flow are the primary measures used in our annual incentive compensation plan (ICP).</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Arial" w:cs="Arial" w:eastAsia="Arial" w:hAnsi="Arial"/>
                <w:sz w:val="16"/>
                <w:szCs w:val="16"/>
                <w:b w:val="1"/>
                <w:bCs w:val="1"/>
                <w:color w:val="939598"/>
              </w:rPr>
              <w:t>SALES GROWTH</w:t>
            </w:r>
          </w:p>
        </w:tc>
        <w:tc>
          <w:tcPr>
            <w:tcW w:w="2160" w:type="dxa"/>
            <w:vAlign w:val="bottom"/>
          </w:tcPr>
          <w:p>
            <w:pPr>
              <w:ind w:left="460"/>
              <w:spacing w:after="0"/>
              <w:rPr>
                <w:sz w:val="20"/>
                <w:szCs w:val="20"/>
                <w:color w:val="auto"/>
              </w:rPr>
            </w:pPr>
            <w:r>
              <w:rPr>
                <w:rFonts w:ascii="Arial" w:cs="Arial" w:eastAsia="Arial" w:hAnsi="Arial"/>
                <w:sz w:val="16"/>
                <w:szCs w:val="16"/>
                <w:b w:val="1"/>
                <w:bCs w:val="1"/>
                <w:color w:val="939598"/>
              </w:rPr>
              <w:t>INCREMENTAL</w:t>
            </w:r>
          </w:p>
        </w:tc>
        <w:tc>
          <w:tcPr>
            <w:tcW w:w="2300" w:type="dxa"/>
            <w:vAlign w:val="bottom"/>
          </w:tcPr>
          <w:p>
            <w:pPr>
              <w:ind w:left="540"/>
              <w:spacing w:after="0"/>
              <w:rPr>
                <w:sz w:val="20"/>
                <w:szCs w:val="20"/>
                <w:color w:val="auto"/>
              </w:rPr>
            </w:pPr>
            <w:r>
              <w:rPr>
                <w:rFonts w:ascii="Arial" w:cs="Arial" w:eastAsia="Arial" w:hAnsi="Arial"/>
                <w:sz w:val="16"/>
                <w:szCs w:val="16"/>
                <w:b w:val="1"/>
                <w:bCs w:val="1"/>
                <w:color w:val="939598"/>
              </w:rPr>
              <w:t>ADJUSTED EPS</w:t>
            </w:r>
          </w:p>
        </w:tc>
        <w:tc>
          <w:tcPr>
            <w:tcW w:w="2360" w:type="dxa"/>
            <w:vAlign w:val="bottom"/>
          </w:tcPr>
          <w:p>
            <w:pPr>
              <w:ind w:left="500"/>
              <w:spacing w:after="0"/>
              <w:rPr>
                <w:sz w:val="20"/>
                <w:szCs w:val="20"/>
                <w:color w:val="auto"/>
              </w:rPr>
            </w:pPr>
            <w:r>
              <w:rPr>
                <w:rFonts w:ascii="Arial" w:cs="Arial" w:eastAsia="Arial" w:hAnsi="Arial"/>
                <w:sz w:val="16"/>
                <w:szCs w:val="16"/>
                <w:b w:val="1"/>
                <w:bCs w:val="1"/>
                <w:color w:val="939598"/>
              </w:rPr>
              <w:t>ADJUSTED FREE CASH</w:t>
            </w:r>
          </w:p>
        </w:tc>
      </w:tr>
      <w:tr>
        <w:trPr>
          <w:trHeight w:val="290"/>
        </w:trPr>
        <w:tc>
          <w:tcPr>
            <w:tcW w:w="1780" w:type="dxa"/>
            <w:vAlign w:val="bottom"/>
          </w:tcPr>
          <w:p>
            <w:pPr>
              <w:spacing w:after="0"/>
              <w:rPr>
                <w:sz w:val="24"/>
                <w:szCs w:val="24"/>
                <w:color w:val="auto"/>
              </w:rPr>
            </w:pPr>
          </w:p>
        </w:tc>
        <w:tc>
          <w:tcPr>
            <w:tcW w:w="2160" w:type="dxa"/>
            <w:vAlign w:val="bottom"/>
          </w:tcPr>
          <w:p>
            <w:pPr>
              <w:ind w:left="460"/>
              <w:spacing w:after="0"/>
              <w:rPr>
                <w:sz w:val="20"/>
                <w:szCs w:val="20"/>
                <w:color w:val="auto"/>
              </w:rPr>
            </w:pPr>
            <w:r>
              <w:rPr>
                <w:rFonts w:ascii="Arial" w:cs="Arial" w:eastAsia="Arial" w:hAnsi="Arial"/>
                <w:sz w:val="16"/>
                <w:szCs w:val="16"/>
                <w:b w:val="1"/>
                <w:bCs w:val="1"/>
                <w:color w:val="939598"/>
              </w:rPr>
              <w:t>MARGIN</w:t>
            </w:r>
          </w:p>
        </w:tc>
        <w:tc>
          <w:tcPr>
            <w:tcW w:w="2300" w:type="dxa"/>
            <w:vAlign w:val="bottom"/>
          </w:tcPr>
          <w:p>
            <w:pPr>
              <w:ind w:left="540"/>
              <w:spacing w:after="0"/>
              <w:rPr>
                <w:sz w:val="20"/>
                <w:szCs w:val="20"/>
                <w:color w:val="auto"/>
              </w:rPr>
            </w:pPr>
            <w:r>
              <w:rPr>
                <w:rFonts w:ascii="Arial" w:cs="Arial" w:eastAsia="Arial" w:hAnsi="Arial"/>
                <w:sz w:val="16"/>
                <w:szCs w:val="16"/>
                <w:b w:val="1"/>
                <w:bCs w:val="1"/>
                <w:color w:val="939598"/>
              </w:rPr>
              <w:t>GROWTH</w:t>
            </w:r>
            <w:r>
              <w:rPr>
                <w:rFonts w:ascii="Arial" w:cs="Arial" w:eastAsia="Arial" w:hAnsi="Arial"/>
                <w:sz w:val="21"/>
                <w:szCs w:val="21"/>
                <w:b w:val="1"/>
                <w:bCs w:val="1"/>
                <w:color w:val="939598"/>
                <w:vertAlign w:val="superscript"/>
              </w:rPr>
              <w:t>(1)</w:t>
            </w:r>
          </w:p>
        </w:tc>
        <w:tc>
          <w:tcPr>
            <w:tcW w:w="2360" w:type="dxa"/>
            <w:vAlign w:val="bottom"/>
          </w:tcPr>
          <w:p>
            <w:pPr>
              <w:ind w:left="500"/>
              <w:spacing w:after="0"/>
              <w:rPr>
                <w:sz w:val="20"/>
                <w:szCs w:val="20"/>
                <w:color w:val="auto"/>
              </w:rPr>
            </w:pPr>
            <w:r>
              <w:rPr>
                <w:rFonts w:ascii="Arial" w:cs="Arial" w:eastAsia="Arial" w:hAnsi="Arial"/>
                <w:sz w:val="16"/>
                <w:szCs w:val="16"/>
                <w:b w:val="1"/>
                <w:bCs w:val="1"/>
                <w:color w:val="939598"/>
              </w:rPr>
              <w:t>FLOW MARGIN</w:t>
            </w:r>
            <w:r>
              <w:rPr>
                <w:rFonts w:ascii="Arial" w:cs="Arial" w:eastAsia="Arial" w:hAnsi="Arial"/>
                <w:sz w:val="21"/>
                <w:szCs w:val="21"/>
                <w:b w:val="1"/>
                <w:bCs w:val="1"/>
                <w:color w:val="939598"/>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73660</wp:posOffset>
            </wp:positionV>
            <wp:extent cx="831215" cy="14573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31215" cy="145732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73660</wp:posOffset>
            </wp:positionV>
            <wp:extent cx="822960" cy="14490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2960" cy="144907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65405</wp:posOffset>
            </wp:positionV>
            <wp:extent cx="831215" cy="14744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31215" cy="147447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73660</wp:posOffset>
            </wp:positionV>
            <wp:extent cx="822960" cy="145732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296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0" w:hanging="192"/>
        <w:spacing w:after="0"/>
        <w:tabs>
          <w:tab w:leader="none" w:pos="20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Adjusted EPS growth excludes the impact of the year-over-year decrease in pension ongoing and other postretirement income.</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29"/>
        </w:numPr>
        <w:rPr>
          <w:rFonts w:ascii="Arial" w:cs="Arial" w:eastAsia="Arial" w:hAnsi="Arial"/>
          <w:sz w:val="16"/>
          <w:szCs w:val="16"/>
          <w:color w:val="auto"/>
          <w:vertAlign w:val="superscript"/>
        </w:rPr>
      </w:pPr>
      <w:r>
        <w:rPr>
          <w:rFonts w:ascii="Arial" w:cs="Arial" w:eastAsia="Arial" w:hAnsi="Arial"/>
          <w:sz w:val="13"/>
          <w:szCs w:val="13"/>
          <w:color w:val="auto"/>
        </w:rPr>
        <w:t>Adjusted free cash flow margin excludes the after-tax impact of settlements related to the NARCO Buyout, HWI Sale, and UOP Matters.</w:t>
      </w:r>
    </w:p>
    <w:p>
      <w:pPr>
        <w:spacing w:after="0" w:line="57"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Source: S&amp;P Capital IQ for peer data. Reconciliation, notes, and definitions of non-GAAP financial measures used in the Compensation Discussion and Analysis section and elsewhere in this Proxy Statement, other than as part of disclosure of target levels, can be found on page 49 or in Appendix 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THREE-YEAR CUMULATIVE GROWTH</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MDCC also reviews Honeywell’s performance relative to the Compensation Peer Group over multi-year time periods. The following graphs show the Company’s performance versus the median of the Compensation Peer Group for four key metrics over the three-year period ending in 2023 that the MDCC reviewed.</w:t>
      </w:r>
    </w:p>
    <w:p>
      <w:pPr>
        <w:sectPr>
          <w:pgSz w:w="11900" w:h="16838" w:orient="portrait"/>
          <w:cols w:equalWidth="0" w:num="1">
            <w:col w:w="11120"/>
          </w:cols>
          <w:pgMar w:left="320" w:top="230" w:right="459" w:bottom="1440" w:gutter="0" w:footer="0" w:header="0"/>
        </w:sectPr>
      </w:pPr>
    </w:p>
    <w:p>
      <w:pPr>
        <w:spacing w:after="0" w:line="11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939598"/>
        </w:rPr>
        <w:t>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278130</wp:posOffset>
            </wp:positionV>
            <wp:extent cx="831215" cy="13798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31215"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SEGMENT MARGIN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EXPANSION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831850" cy="13970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3185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ADJUSTED EPS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831850" cy="13970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31850" cy="139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939598"/>
        </w:rPr>
        <w:t>AVERAGE FCF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260985</wp:posOffset>
            </wp:positionV>
            <wp:extent cx="822960" cy="141478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2960" cy="1414780"/>
                    </a:xfrm>
                    <a:prstGeom prst="rect">
                      <a:avLst/>
                    </a:prstGeom>
                    <a:noFill/>
                  </pic:spPr>
                </pic:pic>
              </a:graphicData>
            </a:graphic>
          </wp:anchor>
        </w:drawing>
      </w:r>
    </w:p>
    <w:p>
      <w:pPr>
        <w:spacing w:after="0" w:line="418" w:lineRule="exact"/>
        <w:rPr>
          <w:sz w:val="20"/>
          <w:szCs w:val="20"/>
          <w:color w:val="auto"/>
        </w:rPr>
      </w:pPr>
    </w:p>
    <w:p>
      <w:pPr>
        <w:sectPr>
          <w:pgSz w:w="11900" w:h="16838" w:orient="portrait"/>
          <w:cols w:equalWidth="0" w:num="4">
            <w:col w:w="2680" w:space="720"/>
            <w:col w:w="1520" w:space="720"/>
            <w:col w:w="1520" w:space="720"/>
            <w:col w:w="3240"/>
          </w:cols>
          <w:pgMar w:left="320" w:top="23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80"/>
        <w:spacing w:after="0" w:line="264" w:lineRule="auto"/>
        <w:rPr>
          <w:sz w:val="20"/>
          <w:szCs w:val="20"/>
          <w:color w:val="auto"/>
        </w:rPr>
      </w:pPr>
      <w:r>
        <w:rPr>
          <w:rFonts w:ascii="Arial" w:cs="Arial" w:eastAsia="Arial" w:hAnsi="Arial"/>
          <w:sz w:val="13"/>
          <w:szCs w:val="13"/>
          <w:color w:val="auto"/>
        </w:rPr>
        <w:t>Source: S&amp;P Capital IQ for peer data. Reconciliation, notes, and definitions of non-GAAP financial measures used in the Compensation Discussion and Analysis section and elsewhere in this Proxy Statement, other than as part of disclosure of target levels, can be found on page 49 or in Appendix A.</w:t>
      </w:r>
    </w:p>
    <w:p>
      <w:pPr>
        <w:spacing w:after="0" w:line="18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sz w:val="1"/>
          <w:szCs w:val="1"/>
          <w:color w:val="auto"/>
        </w:rPr>
        <w:drawing>
          <wp:inline distT="0" distB="0" distL="0" distR="0">
            <wp:extent cx="548640" cy="10287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THREE-YEAR AVERAGE RETURN</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MDCC also carefully considers several different ratios that are important measures of Honeywell’s earnings performance compared to the Compensation Peer Group median. Shareowners have told the Company that they regard ROIC as a particularly important metric because it shows how well management is balancing delivery of short-term results against long-term sustainable growth. Honeywell’s three-year average ROIC was 16.6%, which outperformed the Compensation Peer Group median.</w:t>
      </w:r>
    </w:p>
    <w:p>
      <w:pPr>
        <w:sectPr>
          <w:pgSz w:w="11900" w:h="16838" w:orient="portrait"/>
          <w:cols w:equalWidth="0" w:num="1">
            <w:col w:w="11240"/>
          </w:cols>
          <w:pgMar w:left="320" w:top="230" w:right="339" w:bottom="1440" w:gutter="0" w:footer="0" w:header="0"/>
        </w:sectPr>
      </w:pPr>
    </w:p>
    <w:p>
      <w:pPr>
        <w:spacing w:after="0" w:line="1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6D6E71"/>
        </w:rPr>
        <w:t>RETURN ON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RETURN ON ASSETS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RETURN ON EQUITY</w:t>
      </w:r>
    </w:p>
    <w:p>
      <w:pPr>
        <w:spacing w:after="0" w:line="39" w:lineRule="exact"/>
        <w:rPr>
          <w:sz w:val="20"/>
          <w:szCs w:val="20"/>
          <w:color w:val="auto"/>
        </w:rPr>
      </w:pPr>
    </w:p>
    <w:p>
      <w:pPr>
        <w:sectPr>
          <w:pgSz w:w="11900" w:h="16838" w:orient="portrait"/>
          <w:cols w:equalWidth="0" w:num="3">
            <w:col w:w="3540" w:space="720"/>
            <w:col w:w="2280" w:space="720"/>
            <w:col w:w="3980"/>
          </w:cols>
          <w:pgMar w:left="320" w:top="230" w:right="339" w:bottom="1440" w:gutter="0" w:footer="0" w:header="0"/>
          <w:type w:val="continuous"/>
        </w:sectPr>
      </w:pPr>
    </w:p>
    <w:p>
      <w:pPr>
        <w:ind w:left="1140"/>
        <w:spacing w:after="0"/>
        <w:rPr>
          <w:sz w:val="20"/>
          <w:szCs w:val="20"/>
          <w:color w:val="auto"/>
        </w:rPr>
      </w:pPr>
      <w:r>
        <w:rPr>
          <w:rFonts w:ascii="Arial" w:cs="Arial" w:eastAsia="Arial" w:hAnsi="Arial"/>
          <w:sz w:val="16"/>
          <w:szCs w:val="16"/>
          <w:b w:val="1"/>
          <w:bCs w:val="1"/>
          <w:color w:val="6D6E71"/>
        </w:rPr>
        <w:t>INVESTED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128270</wp:posOffset>
            </wp:positionV>
            <wp:extent cx="728345" cy="11830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345" cy="118300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128270</wp:posOffset>
            </wp:positionV>
            <wp:extent cx="728980" cy="11918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80" cy="119189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119380</wp:posOffset>
            </wp:positionV>
            <wp:extent cx="728980" cy="12084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80" cy="120840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Source: S&amp;P Capital IQ for peer data.</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CUMULATIVE TOTAL SHAREOWNER RETURN (TSR) RELATIVE TO PEERS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graphs show Honeywell's TSR performance versus the median of the Compensation Peer Group over multiple timeframes.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89535</wp:posOffset>
            </wp:positionV>
            <wp:extent cx="5717540" cy="25806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717540"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xml:space="preserve">Cumulative 10-year TSR </w:t>
      </w:r>
      <w:r>
        <w:rPr>
          <w:rFonts w:ascii="Arial" w:cs="Arial" w:eastAsia="Arial" w:hAnsi="Arial"/>
          <w:sz w:val="16"/>
          <w:szCs w:val="16"/>
          <w:b w:val="1"/>
          <w:bCs w:val="1"/>
          <w:color w:val="D7282F"/>
        </w:rPr>
        <w:t>exceeded the Compensation Peer Group</w:t>
      </w:r>
      <w:r>
        <w:rPr>
          <w:rFonts w:ascii="Arial" w:cs="Arial" w:eastAsia="Arial" w:hAnsi="Arial"/>
          <w:sz w:val="16"/>
          <w:szCs w:val="16"/>
          <w:color w:val="auto"/>
        </w:rPr>
        <w:t xml:space="preserve"> median by a multiple of 1.9x</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Source: S&amp;P Capital IQ, as of December 31, 2023.</w:t>
      </w:r>
    </w:p>
    <w:p>
      <w:pPr>
        <w:spacing w:after="0" w:line="80" w:lineRule="exact"/>
        <w:rPr>
          <w:sz w:val="20"/>
          <w:szCs w:val="20"/>
          <w:color w:val="auto"/>
        </w:rPr>
      </w:pPr>
    </w:p>
    <w:p>
      <w:pPr>
        <w:ind w:right="340"/>
        <w:spacing w:after="0" w:line="261" w:lineRule="auto"/>
        <w:rPr>
          <w:sz w:val="20"/>
          <w:szCs w:val="20"/>
          <w:color w:val="auto"/>
        </w:rPr>
      </w:pPr>
      <w:r>
        <w:rPr>
          <w:rFonts w:ascii="Arial" w:cs="Arial" w:eastAsia="Arial" w:hAnsi="Arial"/>
          <w:sz w:val="13"/>
          <w:szCs w:val="13"/>
          <w:i w:val="1"/>
          <w:iCs w:val="1"/>
          <w:color w:val="auto"/>
        </w:rPr>
        <w:t>TSR is calculated by the growth in capital from purchasing a share in a company and assuming dividends (regular and special) and share distributions received from any spins are reinvested in the applicable company at the time they are paid.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2023 COMPENSATION SUMMARY</w:t>
      </w:r>
    </w:p>
    <w:p>
      <w:pPr>
        <w:spacing w:after="0" w:line="12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table below summarizes compensation awarded to the NEOs in 2023. It reflects Honeywell’s commitment to align pay with Company performance and the interests of the Company’s shareowners. Details are more fully discussed later in this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695198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23430" cy="6951980"/>
                    </a:xfrm>
                    <a:prstGeom prst="rect">
                      <a:avLst/>
                    </a:prstGeom>
                    <a:noFill/>
                  </pic:spPr>
                </pic:pic>
              </a:graphicData>
            </a:graphic>
          </wp:anchor>
        </w:drawing>
      </w:r>
    </w:p>
    <w:p>
      <w:pPr>
        <w:spacing w:after="0" w:line="121" w:lineRule="exact"/>
        <w:rPr>
          <w:sz w:val="20"/>
          <w:szCs w:val="20"/>
          <w:color w:val="auto"/>
        </w:rPr>
      </w:pPr>
    </w:p>
    <w:p>
      <w:pPr>
        <w:ind w:left="1000"/>
        <w:spacing w:after="0"/>
        <w:tabs>
          <w:tab w:leader="none" w:pos="2820" w:val="left"/>
        </w:tabs>
        <w:rPr>
          <w:sz w:val="20"/>
          <w:szCs w:val="20"/>
          <w:color w:val="auto"/>
        </w:rPr>
      </w:pPr>
      <w:r>
        <w:rPr>
          <w:rFonts w:ascii="Arial" w:cs="Arial" w:eastAsia="Arial" w:hAnsi="Arial"/>
          <w:sz w:val="14"/>
          <w:szCs w:val="14"/>
          <w:b w:val="1"/>
          <w:bCs w:val="1"/>
          <w:color w:val="auto"/>
        </w:rPr>
        <w:t>Base Salary</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Mr. Kapur received an annual base pay adjustment in June 2023, coincident with his promotion to CEO, to align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his base salary with comparable Compensation Peer Group CEOs.</w:t>
      </w:r>
    </w:p>
    <w:p>
      <w:pPr>
        <w:spacing w:after="0" w:line="70"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Annual base pay increases to Other NEOs ranged from 0% to 10%. Mr. Currier received a base adjustment in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2023 upon his promotion to President and CEO, Aerospace.</w:t>
      </w:r>
    </w:p>
    <w:p>
      <w:pPr>
        <w:spacing w:after="0" w:line="70" w:lineRule="exact"/>
        <w:rPr>
          <w:sz w:val="20"/>
          <w:szCs w:val="20"/>
          <w:color w:val="auto"/>
        </w:rPr>
      </w:pPr>
    </w:p>
    <w:p>
      <w:pPr>
        <w:ind w:left="28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Base salaries for the CEO and Other NEOs were reduced by 10% from August 7, 2023, through December 31,</w:t>
      </w:r>
    </w:p>
    <w:p>
      <w:pPr>
        <w:spacing w:after="0" w:line="35"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2023, as part of cost actions taken during the year.</w:t>
      </w:r>
    </w:p>
    <w:p>
      <w:pPr>
        <w:sectPr>
          <w:pgSz w:w="11900" w:h="16838" w:orient="portrait"/>
          <w:cols w:equalWidth="0" w:num="1">
            <w:col w:w="11180"/>
          </w:cols>
          <w:pgMar w:left="320" w:top="230" w:right="399" w:bottom="1440" w:gutter="0" w:footer="0" w:header="0"/>
        </w:sectPr>
      </w:pPr>
    </w:p>
    <w:p>
      <w:pPr>
        <w:spacing w:after="0" w:line="34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Annual Incentive</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Compensation</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Plan (ICP)</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left="193" w:right="20" w:hanging="193"/>
        <w:spacing w:after="0" w:line="265" w:lineRule="auto"/>
        <w:tabs>
          <w:tab w:leader="none" w:pos="19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color w:val="auto"/>
        </w:rPr>
        <w:t>Mr. Kapur's prorated ICP target was 154% of base salary based on his current target of 175% and previous target of 125%. His earned award paid at 121% of target, reflecting application of the ICP formula and the Board’s assessment of 2023 performance. ICP awards paid to the Other NEOs for 2023 performance ranged from 116% to 127% of target.</w:t>
      </w:r>
    </w:p>
    <w:p>
      <w:pPr>
        <w:spacing w:after="0" w:line="37" w:lineRule="exact"/>
        <w:rPr>
          <w:rFonts w:ascii="Arial" w:cs="Arial" w:eastAsia="Arial" w:hAnsi="Arial"/>
          <w:sz w:val="16"/>
          <w:szCs w:val="16"/>
          <w:b w:val="1"/>
          <w:bCs w:val="1"/>
          <w:color w:val="D7282F"/>
        </w:rPr>
      </w:pPr>
    </w:p>
    <w:p>
      <w:pPr>
        <w:ind w:left="193" w:hanging="193"/>
        <w:spacing w:after="0" w:line="259" w:lineRule="auto"/>
        <w:tabs>
          <w:tab w:leader="none" w:pos="19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color w:val="auto"/>
        </w:rPr>
        <w:t>80% of payout based on Company performance against the two pre-established ICP metrics of adjusted EPS and free cash flow. For the Business Unit NEOs, half of their calculated award is tied to performance metrics of their business unit: AERO and PMT income contribution and AERO and PMT free cash flow for Mr. Currier and</w:t>
      </w:r>
    </w:p>
    <w:p>
      <w:pPr>
        <w:ind w:left="193"/>
        <w:spacing w:after="0"/>
        <w:rPr>
          <w:rFonts w:ascii="Arial" w:cs="Arial" w:eastAsia="Arial" w:hAnsi="Arial"/>
          <w:sz w:val="16"/>
          <w:szCs w:val="16"/>
          <w:b w:val="1"/>
          <w:bCs w:val="1"/>
          <w:color w:val="D7282F"/>
        </w:rPr>
      </w:pPr>
      <w:r>
        <w:rPr>
          <w:rFonts w:ascii="Arial" w:cs="Arial" w:eastAsia="Arial" w:hAnsi="Arial"/>
          <w:sz w:val="16"/>
          <w:szCs w:val="16"/>
          <w:color w:val="auto"/>
        </w:rPr>
        <w:t>Mr. Boldea, respectively.</w:t>
      </w:r>
    </w:p>
    <w:p>
      <w:pPr>
        <w:spacing w:after="0" w:line="70" w:lineRule="exact"/>
        <w:rPr>
          <w:rFonts w:ascii="Arial" w:cs="Arial" w:eastAsia="Arial" w:hAnsi="Arial"/>
          <w:sz w:val="16"/>
          <w:szCs w:val="16"/>
          <w:b w:val="1"/>
          <w:bCs w:val="1"/>
          <w:color w:val="D7282F"/>
        </w:rPr>
      </w:pPr>
    </w:p>
    <w:p>
      <w:pPr>
        <w:ind w:left="193" w:right="300" w:hanging="193"/>
        <w:spacing w:after="0" w:line="286" w:lineRule="auto"/>
        <w:tabs>
          <w:tab w:leader="none" w:pos="19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color w:val="auto"/>
        </w:rPr>
        <w:t>15% of payouts were determined based on the MDCC’s qualitative assessment of individual performance and accomplishments discussed starting on page 63.</w:t>
      </w:r>
    </w:p>
    <w:p>
      <w:pPr>
        <w:spacing w:after="0" w:line="20" w:lineRule="exact"/>
        <w:rPr>
          <w:rFonts w:ascii="Arial" w:cs="Arial" w:eastAsia="Arial" w:hAnsi="Arial"/>
          <w:sz w:val="16"/>
          <w:szCs w:val="16"/>
          <w:b w:val="1"/>
          <w:bCs w:val="1"/>
          <w:color w:val="D7282F"/>
        </w:rPr>
      </w:pPr>
    </w:p>
    <w:p>
      <w:pPr>
        <w:ind w:left="193" w:right="540" w:hanging="193"/>
        <w:spacing w:after="0" w:line="286" w:lineRule="auto"/>
        <w:tabs>
          <w:tab w:leader="none" w:pos="190" w:val="left"/>
        </w:tabs>
        <w:numPr>
          <w:ilvl w:val="0"/>
          <w:numId w:val="130"/>
        </w:numPr>
        <w:rPr>
          <w:rFonts w:ascii="Arial" w:cs="Arial" w:eastAsia="Arial" w:hAnsi="Arial"/>
          <w:sz w:val="16"/>
          <w:szCs w:val="16"/>
          <w:b w:val="1"/>
          <w:bCs w:val="1"/>
          <w:color w:val="D7282F"/>
        </w:rPr>
      </w:pPr>
      <w:r>
        <w:rPr>
          <w:rFonts w:ascii="Arial" w:cs="Arial" w:eastAsia="Arial" w:hAnsi="Arial"/>
          <w:sz w:val="16"/>
          <w:szCs w:val="16"/>
          <w:color w:val="auto"/>
        </w:rPr>
        <w:t>5% of payouts were determined based on ESG scorecard that includes specific environmental, social, and governance goals, as discussed on page 67.</w:t>
      </w:r>
    </w:p>
    <w:p>
      <w:pPr>
        <w:spacing w:after="0" w:line="200" w:lineRule="exact"/>
        <w:rPr>
          <w:sz w:val="20"/>
          <w:szCs w:val="20"/>
          <w:color w:val="auto"/>
        </w:rPr>
      </w:pPr>
    </w:p>
    <w:p>
      <w:pPr>
        <w:sectPr>
          <w:pgSz w:w="11900" w:h="16838" w:orient="portrait"/>
          <w:cols w:equalWidth="0" w:num="2">
            <w:col w:w="2160" w:space="687"/>
            <w:col w:w="8333"/>
          </w:cols>
          <w:pgMar w:left="320" w:top="2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Performance</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Stock Units</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(PSUs)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(2023–2025)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3" w:hanging="193"/>
        <w:spacing w:after="0"/>
        <w:tabs>
          <w:tab w:leader="none" w:pos="193" w:val="left"/>
        </w:tabs>
        <w:numPr>
          <w:ilvl w:val="0"/>
          <w:numId w:val="131"/>
        </w:numPr>
        <w:rPr>
          <w:rFonts w:ascii="Arial" w:cs="Arial" w:eastAsia="Arial" w:hAnsi="Arial"/>
          <w:sz w:val="16"/>
          <w:szCs w:val="16"/>
          <w:b w:val="1"/>
          <w:bCs w:val="1"/>
          <w:color w:val="D7282F"/>
        </w:rPr>
      </w:pPr>
      <w:r>
        <w:rPr>
          <w:rFonts w:ascii="Arial" w:cs="Arial" w:eastAsia="Arial" w:hAnsi="Arial"/>
          <w:sz w:val="16"/>
          <w:szCs w:val="16"/>
          <w:color w:val="auto"/>
        </w:rPr>
        <w:t>Represented 50% of annual LTI.</w:t>
      </w:r>
    </w:p>
    <w:p>
      <w:pPr>
        <w:spacing w:after="0" w:line="86" w:lineRule="exact"/>
        <w:rPr>
          <w:rFonts w:ascii="Arial" w:cs="Arial" w:eastAsia="Arial" w:hAnsi="Arial"/>
          <w:sz w:val="16"/>
          <w:szCs w:val="16"/>
          <w:b w:val="1"/>
          <w:bCs w:val="1"/>
          <w:color w:val="D7282F"/>
        </w:rPr>
      </w:pPr>
    </w:p>
    <w:p>
      <w:pPr>
        <w:ind w:left="193" w:right="80" w:hanging="193"/>
        <w:spacing w:after="0" w:line="265" w:lineRule="auto"/>
        <w:tabs>
          <w:tab w:leader="none" w:pos="190" w:val="left"/>
        </w:tabs>
        <w:numPr>
          <w:ilvl w:val="0"/>
          <w:numId w:val="131"/>
        </w:numPr>
        <w:rPr>
          <w:rFonts w:ascii="Arial" w:cs="Arial" w:eastAsia="Arial" w:hAnsi="Arial"/>
          <w:sz w:val="16"/>
          <w:szCs w:val="16"/>
          <w:b w:val="1"/>
          <w:bCs w:val="1"/>
          <w:color w:val="D7282F"/>
        </w:rPr>
      </w:pPr>
      <w:r>
        <w:rPr>
          <w:rFonts w:ascii="Arial" w:cs="Arial" w:eastAsia="Arial" w:hAnsi="Arial"/>
          <w:sz w:val="16"/>
          <w:szCs w:val="16"/>
          <w:color w:val="auto"/>
        </w:rPr>
        <w:t>PSU earned awards will be determined at the end of the three-year period based on four equally weighted metrics: three-year total shareowner return (TSR) relative to the 2023 Compensation Peer Group and cumulative revenue, average return on investment (ROI), and average segment margin rate measured over a three-year period.</w:t>
      </w:r>
    </w:p>
    <w:p>
      <w:pPr>
        <w:spacing w:after="0" w:line="200" w:lineRule="exact"/>
        <w:rPr>
          <w:sz w:val="20"/>
          <w:szCs w:val="20"/>
          <w:color w:val="auto"/>
        </w:rPr>
      </w:pPr>
    </w:p>
    <w:p>
      <w:pPr>
        <w:sectPr>
          <w:pgSz w:w="11900" w:h="16838" w:orient="portrait"/>
          <w:cols w:equalWidth="0" w:num="2">
            <w:col w:w="2127" w:space="720"/>
            <w:col w:w="8333"/>
          </w:cols>
          <w:pgMar w:left="320" w:top="2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
        <w:spacing w:after="0"/>
        <w:tabs>
          <w:tab w:leader="none" w:pos="2820" w:val="left"/>
        </w:tabs>
        <w:rPr>
          <w:sz w:val="20"/>
          <w:szCs w:val="20"/>
          <w:color w:val="auto"/>
        </w:rPr>
      </w:pPr>
      <w:r>
        <w:rPr>
          <w:rFonts w:ascii="Arial" w:cs="Arial" w:eastAsia="Arial" w:hAnsi="Arial"/>
          <w:sz w:val="14"/>
          <w:szCs w:val="14"/>
          <w:b w:val="1"/>
          <w:bCs w:val="1"/>
          <w:color w:val="auto"/>
        </w:rPr>
        <w:t>Stock Options</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Represented 25% of annual LTI.</w:t>
      </w:r>
    </w:p>
    <w:p>
      <w:pPr>
        <w:spacing w:after="0" w:line="86" w:lineRule="exact"/>
        <w:rPr>
          <w:sz w:val="20"/>
          <w:szCs w:val="20"/>
          <w:color w:val="auto"/>
        </w:rPr>
      </w:pPr>
    </w:p>
    <w:p>
      <w:pPr>
        <w:ind w:left="3040" w:hanging="193"/>
        <w:spacing w:after="0"/>
        <w:tabs>
          <w:tab w:leader="none" w:pos="3040" w:val="left"/>
        </w:tabs>
        <w:numPr>
          <w:ilvl w:val="0"/>
          <w:numId w:val="132"/>
        </w:numPr>
        <w:rPr>
          <w:rFonts w:ascii="Arial" w:cs="Arial" w:eastAsia="Arial" w:hAnsi="Arial"/>
          <w:sz w:val="16"/>
          <w:szCs w:val="16"/>
          <w:b w:val="1"/>
          <w:bCs w:val="1"/>
          <w:color w:val="D7282F"/>
        </w:rPr>
      </w:pPr>
      <w:r>
        <w:rPr>
          <w:rFonts w:ascii="Arial" w:cs="Arial" w:eastAsia="Arial" w:hAnsi="Arial"/>
          <w:sz w:val="16"/>
          <w:szCs w:val="16"/>
          <w:color w:val="auto"/>
        </w:rPr>
        <w:t>Stock options issued to the NEOs in 2023 vest over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Arial" w:cs="Arial" w:eastAsia="Arial" w:hAnsi="Arial"/>
                <w:sz w:val="14"/>
                <w:szCs w:val="14"/>
                <w:b w:val="1"/>
                <w:bCs w:val="1"/>
                <w:color w:val="auto"/>
              </w:rPr>
              <w:t>Restricted Stock</w:t>
            </w:r>
          </w:p>
        </w:tc>
        <w:tc>
          <w:tcPr>
            <w:tcW w:w="480" w:type="dxa"/>
            <w:vAlign w:val="bottom"/>
          </w:tcPr>
          <w:p>
            <w:pPr>
              <w:ind w:left="340"/>
              <w:spacing w:after="0"/>
              <w:rPr>
                <w:sz w:val="20"/>
                <w:szCs w:val="20"/>
                <w:color w:val="auto"/>
              </w:rPr>
            </w:pPr>
            <w:r>
              <w:rPr>
                <w:rFonts w:ascii="Arial" w:cs="Arial" w:eastAsia="Arial" w:hAnsi="Arial"/>
                <w:sz w:val="16"/>
                <w:szCs w:val="16"/>
                <w:b w:val="1"/>
                <w:bCs w:val="1"/>
                <w:color w:val="D7282F"/>
              </w:rPr>
              <w:t>•</w:t>
            </w:r>
          </w:p>
        </w:tc>
        <w:tc>
          <w:tcPr>
            <w:tcW w:w="4020" w:type="dxa"/>
            <w:vAlign w:val="bottom"/>
          </w:tcPr>
          <w:p>
            <w:pPr>
              <w:ind w:left="60"/>
              <w:spacing w:after="0"/>
              <w:rPr>
                <w:sz w:val="20"/>
                <w:szCs w:val="20"/>
                <w:color w:val="auto"/>
              </w:rPr>
            </w:pPr>
            <w:r>
              <w:rPr>
                <w:rFonts w:ascii="Arial" w:cs="Arial" w:eastAsia="Arial" w:hAnsi="Arial"/>
                <w:sz w:val="16"/>
                <w:szCs w:val="16"/>
                <w:color w:val="auto"/>
              </w:rPr>
              <w:t>Represented 25% of annual LTI.</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20"/>
                <w:szCs w:val="20"/>
                <w:color w:val="auto"/>
              </w:rPr>
            </w:pPr>
            <w:r>
              <w:rPr>
                <w:rFonts w:ascii="Arial" w:cs="Arial" w:eastAsia="Arial" w:hAnsi="Arial"/>
                <w:sz w:val="14"/>
                <w:szCs w:val="14"/>
                <w:b w:val="1"/>
                <w:bCs w:val="1"/>
                <w:color w:val="auto"/>
              </w:rPr>
              <w:t>Units (RSUs)</w:t>
            </w:r>
          </w:p>
        </w:tc>
        <w:tc>
          <w:tcPr>
            <w:tcW w:w="480" w:type="dxa"/>
            <w:vAlign w:val="bottom"/>
            <w:vMerge w:val="restart"/>
          </w:tcPr>
          <w:p>
            <w:pPr>
              <w:ind w:left="340"/>
              <w:spacing w:after="0"/>
              <w:rPr>
                <w:sz w:val="20"/>
                <w:szCs w:val="20"/>
                <w:color w:val="auto"/>
              </w:rPr>
            </w:pPr>
            <w:r>
              <w:rPr>
                <w:rFonts w:ascii="Arial" w:cs="Arial" w:eastAsia="Arial" w:hAnsi="Arial"/>
                <w:sz w:val="16"/>
                <w:szCs w:val="16"/>
                <w:b w:val="1"/>
                <w:bCs w:val="1"/>
                <w:color w:val="D7282F"/>
              </w:rPr>
              <w:t>•</w:t>
            </w:r>
          </w:p>
        </w:tc>
        <w:tc>
          <w:tcPr>
            <w:tcW w:w="4020" w:type="dxa"/>
            <w:vAlign w:val="bottom"/>
            <w:vMerge w:val="restart"/>
          </w:tcPr>
          <w:p>
            <w:pPr>
              <w:ind w:left="60"/>
              <w:spacing w:after="0"/>
              <w:rPr>
                <w:sz w:val="20"/>
                <w:szCs w:val="20"/>
                <w:color w:val="auto"/>
              </w:rPr>
            </w:pPr>
            <w:r>
              <w:rPr>
                <w:rFonts w:ascii="Arial" w:cs="Arial" w:eastAsia="Arial" w:hAnsi="Arial"/>
                <w:sz w:val="16"/>
                <w:szCs w:val="16"/>
                <w:color w:val="auto"/>
              </w:rPr>
              <w:t>RSUs issued to the NEOs in 2023 vest over four years.</w:t>
            </w: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4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sz w:val="1"/>
          <w:szCs w:val="1"/>
          <w:color w:val="auto"/>
        </w:rPr>
        <w:drawing>
          <wp:inline distT="0" distB="0" distL="0" distR="0">
            <wp:extent cx="548640" cy="10287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type w:val="continuous"/>
        </w:sectPr>
      </w:pPr>
    </w:p>
    <w:bookmarkStart w:id="63" w:name="page64"/>
    <w:bookmarkEnd w:id="63"/>
    <w:p>
      <w:pPr>
        <w:spacing w:after="0" w:line="11"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tables below reflect the 2023 values for each element of total compensation. The first represents 2023 target compensation for each NEO, while the second represents actual total annual direct compensation, both of which are key measures of executive pay that the MDCC regularly considers as part of its annual decision-making process. These tables do not replace the Summary Compensation Table shown on page 81, as required by the SEC, but are intended to show 2023 compensation from the perspective of the MDCC.</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2023 TOTAL TARGET DIRECT COMPENSATION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Base</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Target $</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Target %</w:t>
            </w:r>
          </w:p>
        </w:tc>
        <w:tc>
          <w:tcPr>
            <w:tcW w:w="3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Arial" w:cs="Arial" w:eastAsia="Arial" w:hAnsi="Arial"/>
                <w:sz w:val="14"/>
                <w:szCs w:val="14"/>
                <w:b w:val="1"/>
                <w:bCs w:val="1"/>
                <w:color w:val="auto"/>
              </w:rPr>
              <w:t>Long-Term</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Target Total</w:t>
            </w:r>
          </w:p>
        </w:tc>
      </w:tr>
      <w:tr>
        <w:trPr>
          <w:trHeight w:val="225"/>
        </w:trPr>
        <w:tc>
          <w:tcPr>
            <w:tcW w:w="19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Name</w:t>
            </w:r>
          </w:p>
        </w:tc>
        <w:tc>
          <w:tcPr>
            <w:tcW w:w="288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Title</w:t>
            </w:r>
          </w:p>
        </w:tc>
        <w:tc>
          <w:tcPr>
            <w:tcW w:w="1560" w:type="dxa"/>
            <w:vAlign w:val="bottom"/>
            <w:tcBorders>
              <w:bottom w:val="single" w:sz="8" w:color="EE2724"/>
            </w:tcBorders>
          </w:tcPr>
          <w:p>
            <w:pPr>
              <w:jc w:val="right"/>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9"/>
                <w:szCs w:val="9"/>
                <w:b w:val="1"/>
                <w:bCs w:val="1"/>
                <w:color w:val="auto"/>
              </w:rPr>
              <w:t>(1)</w:t>
            </w:r>
          </w:p>
        </w:tc>
        <w:tc>
          <w:tcPr>
            <w:tcW w:w="240" w:type="dxa"/>
            <w:vAlign w:val="bottom"/>
            <w:tcBorders>
              <w:bottom w:val="single" w:sz="8" w:color="EE2724"/>
            </w:tcBorders>
          </w:tcPr>
          <w:p>
            <w:pPr>
              <w:spacing w:after="0"/>
              <w:rPr>
                <w:sz w:val="19"/>
                <w:szCs w:val="19"/>
                <w:color w:val="auto"/>
              </w:rPr>
            </w:pPr>
          </w:p>
        </w:tc>
        <w:tc>
          <w:tcPr>
            <w:tcW w:w="920" w:type="dxa"/>
            <w:vAlign w:val="bottom"/>
            <w:tcBorders>
              <w:bottom w:val="single" w:sz="8" w:color="EE2724"/>
            </w:tcBorders>
          </w:tcPr>
          <w:p>
            <w:pPr>
              <w:jc w:val="right"/>
              <w:spacing w:after="0"/>
              <w:rPr>
                <w:sz w:val="20"/>
                <w:szCs w:val="20"/>
                <w:color w:val="auto"/>
              </w:rPr>
            </w:pPr>
            <w:r>
              <w:rPr>
                <w:rFonts w:ascii="Arial" w:cs="Arial" w:eastAsia="Arial" w:hAnsi="Arial"/>
                <w:sz w:val="14"/>
                <w:szCs w:val="14"/>
                <w:b w:val="1"/>
                <w:bCs w:val="1"/>
                <w:color w:val="auto"/>
              </w:rPr>
              <w:t>ICP</w:t>
            </w:r>
            <w:r>
              <w:rPr>
                <w:rFonts w:ascii="Arial" w:cs="Arial" w:eastAsia="Arial" w:hAnsi="Arial"/>
                <w:sz w:val="18"/>
                <w:szCs w:val="18"/>
                <w:b w:val="1"/>
                <w:bCs w:val="1"/>
                <w:color w:val="auto"/>
                <w:vertAlign w:val="superscript"/>
              </w:rPr>
              <w:t>(2)</w:t>
            </w:r>
          </w:p>
        </w:tc>
        <w:tc>
          <w:tcPr>
            <w:tcW w:w="880" w:type="dxa"/>
            <w:vAlign w:val="bottom"/>
            <w:tcBorders>
              <w:bottom w:val="single" w:sz="8" w:color="EE2724"/>
            </w:tcBorders>
          </w:tcPr>
          <w:p>
            <w:pPr>
              <w:jc w:val="right"/>
              <w:spacing w:after="0"/>
              <w:rPr>
                <w:sz w:val="20"/>
                <w:szCs w:val="20"/>
                <w:color w:val="auto"/>
              </w:rPr>
            </w:pPr>
            <w:r>
              <w:rPr>
                <w:rFonts w:ascii="Arial" w:cs="Arial" w:eastAsia="Arial" w:hAnsi="Arial"/>
                <w:sz w:val="14"/>
                <w:szCs w:val="14"/>
                <w:b w:val="1"/>
                <w:bCs w:val="1"/>
                <w:color w:val="auto"/>
              </w:rPr>
              <w:t>ICP</w:t>
            </w:r>
            <w:r>
              <w:rPr>
                <w:rFonts w:ascii="Arial" w:cs="Arial" w:eastAsia="Arial" w:hAnsi="Arial"/>
                <w:sz w:val="18"/>
                <w:szCs w:val="18"/>
                <w:b w:val="1"/>
                <w:bCs w:val="1"/>
                <w:color w:val="auto"/>
                <w:vertAlign w:val="superscript"/>
              </w:rPr>
              <w:t>(3)</w:t>
            </w:r>
          </w:p>
        </w:tc>
        <w:tc>
          <w:tcPr>
            <w:tcW w:w="360" w:type="dxa"/>
            <w:vAlign w:val="bottom"/>
            <w:tcBorders>
              <w:bottom w:val="single" w:sz="8" w:color="EE2724"/>
            </w:tcBorders>
          </w:tcPr>
          <w:p>
            <w:pPr>
              <w:spacing w:after="0"/>
              <w:rPr>
                <w:sz w:val="19"/>
                <w:szCs w:val="19"/>
                <w:color w:val="auto"/>
              </w:rPr>
            </w:pPr>
          </w:p>
        </w:tc>
        <w:tc>
          <w:tcPr>
            <w:tcW w:w="1100" w:type="dxa"/>
            <w:vAlign w:val="bottom"/>
            <w:tcBorders>
              <w:bottom w:val="single" w:sz="8" w:color="EE2724"/>
            </w:tcBorders>
          </w:tcPr>
          <w:p>
            <w:pPr>
              <w:jc w:val="right"/>
              <w:ind w:right="1"/>
              <w:spacing w:after="0"/>
              <w:rPr>
                <w:sz w:val="20"/>
                <w:szCs w:val="20"/>
                <w:color w:val="auto"/>
              </w:rPr>
            </w:pPr>
            <w:r>
              <w:rPr>
                <w:rFonts w:ascii="Arial" w:cs="Arial" w:eastAsia="Arial" w:hAnsi="Arial"/>
                <w:sz w:val="14"/>
                <w:szCs w:val="14"/>
                <w:b w:val="1"/>
                <w:bCs w:val="1"/>
                <w:color w:val="auto"/>
              </w:rPr>
              <w:t>Incentives</w:t>
            </w:r>
            <w:r>
              <w:rPr>
                <w:rFonts w:ascii="Arial" w:cs="Arial" w:eastAsia="Arial" w:hAnsi="Arial"/>
                <w:sz w:val="9"/>
                <w:szCs w:val="9"/>
                <w:b w:val="1"/>
                <w:bCs w:val="1"/>
                <w:color w:val="auto"/>
              </w:rPr>
              <w:t>(4)</w:t>
            </w:r>
          </w:p>
        </w:tc>
        <w:tc>
          <w:tcPr>
            <w:tcW w:w="280" w:type="dxa"/>
            <w:vAlign w:val="bottom"/>
            <w:tcBorders>
              <w:bottom w:val="single" w:sz="8" w:color="EE2724"/>
            </w:tcBorders>
          </w:tcPr>
          <w:p>
            <w:pPr>
              <w:spacing w:after="0"/>
              <w:rPr>
                <w:sz w:val="19"/>
                <w:szCs w:val="19"/>
                <w:color w:val="auto"/>
              </w:rPr>
            </w:pPr>
          </w:p>
        </w:tc>
        <w:tc>
          <w:tcPr>
            <w:tcW w:w="1080" w:type="dxa"/>
            <w:vAlign w:val="bottom"/>
            <w:tcBorders>
              <w:bottom w:val="single" w:sz="8" w:color="EE2724"/>
            </w:tcBorders>
          </w:tcPr>
          <w:p>
            <w:pPr>
              <w:jc w:val="right"/>
              <w:spacing w:after="0"/>
              <w:rPr>
                <w:sz w:val="20"/>
                <w:szCs w:val="20"/>
                <w:color w:val="auto"/>
              </w:rPr>
            </w:pPr>
            <w:r>
              <w:rPr>
                <w:rFonts w:ascii="Arial" w:cs="Arial" w:eastAsia="Arial" w:hAnsi="Arial"/>
                <w:sz w:val="14"/>
                <w:szCs w:val="14"/>
                <w:b w:val="1"/>
                <w:bCs w:val="1"/>
                <w:color w:val="auto"/>
              </w:rPr>
              <w:t>Compensation</w:t>
            </w:r>
          </w:p>
        </w:tc>
      </w:tr>
      <w:tr>
        <w:trPr>
          <w:trHeight w:val="233"/>
        </w:trPr>
        <w:tc>
          <w:tcPr>
            <w:tcW w:w="1920" w:type="dxa"/>
            <w:vAlign w:val="bottom"/>
            <w:tcBorders>
              <w:bottom w:val="single" w:sz="8" w:color="939598"/>
            </w:tcBorders>
          </w:tcPr>
          <w:p>
            <w:pPr>
              <w:ind w:left="20"/>
              <w:spacing w:after="0"/>
              <w:rPr>
                <w:sz w:val="20"/>
                <w:szCs w:val="20"/>
                <w:color w:val="auto"/>
              </w:rPr>
            </w:pPr>
            <w:r>
              <w:rPr>
                <w:rFonts w:ascii="Arial" w:cs="Arial" w:eastAsia="Arial" w:hAnsi="Arial"/>
                <w:sz w:val="16"/>
                <w:szCs w:val="16"/>
                <w:b w:val="1"/>
                <w:bCs w:val="1"/>
                <w:color w:val="auto"/>
              </w:rPr>
              <w:t>Vimal Kapur</w:t>
            </w:r>
          </w:p>
        </w:tc>
        <w:tc>
          <w:tcPr>
            <w:tcW w:w="288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Chief Executive Officer</w:t>
            </w:r>
          </w:p>
        </w:tc>
        <w:tc>
          <w:tcPr>
            <w:tcW w:w="156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   1,500,000</w:t>
            </w:r>
          </w:p>
        </w:tc>
        <w:tc>
          <w:tcPr>
            <w:tcW w:w="24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1,995,332</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154%</w:t>
            </w:r>
          </w:p>
        </w:tc>
        <w:tc>
          <w:tcPr>
            <w:tcW w:w="36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939598"/>
            </w:tcBorders>
          </w:tcPr>
          <w:p>
            <w:pPr>
              <w:jc w:val="right"/>
              <w:ind w:right="61"/>
              <w:spacing w:after="0"/>
              <w:rPr>
                <w:sz w:val="20"/>
                <w:szCs w:val="20"/>
                <w:color w:val="auto"/>
              </w:rPr>
            </w:pPr>
            <w:r>
              <w:rPr>
                <w:rFonts w:ascii="Arial" w:cs="Arial" w:eastAsia="Arial" w:hAnsi="Arial"/>
                <w:sz w:val="16"/>
                <w:szCs w:val="16"/>
                <w:color w:val="auto"/>
              </w:rPr>
              <w:t>10,040,000</w:t>
            </w:r>
          </w:p>
        </w:tc>
        <w:tc>
          <w:tcPr>
            <w:tcW w:w="2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13,535,332</w:t>
            </w:r>
          </w:p>
        </w:tc>
      </w:tr>
      <w:tr>
        <w:trPr>
          <w:trHeight w:val="237"/>
        </w:trPr>
        <w:tc>
          <w:tcPr>
            <w:tcW w:w="1920" w:type="dxa"/>
            <w:vAlign w:val="bottom"/>
            <w:tcBorders>
              <w:bottom w:val="single" w:sz="8" w:color="939598"/>
            </w:tcBorders>
          </w:tcPr>
          <w:p>
            <w:pPr>
              <w:ind w:left="20"/>
              <w:spacing w:after="0"/>
              <w:rPr>
                <w:sz w:val="20"/>
                <w:szCs w:val="20"/>
                <w:color w:val="auto"/>
              </w:rPr>
            </w:pPr>
            <w:r>
              <w:rPr>
                <w:rFonts w:ascii="Arial" w:cs="Arial" w:eastAsia="Arial" w:hAnsi="Arial"/>
                <w:sz w:val="16"/>
                <w:szCs w:val="16"/>
                <w:b w:val="1"/>
                <w:bCs w:val="1"/>
                <w:color w:val="auto"/>
              </w:rPr>
              <w:t>Gregory P. Lewis</w:t>
            </w:r>
          </w:p>
        </w:tc>
        <w:tc>
          <w:tcPr>
            <w:tcW w:w="288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SVP, Chief Financial Officer</w:t>
            </w:r>
          </w:p>
        </w:tc>
        <w:tc>
          <w:tcPr>
            <w:tcW w:w="156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982,000</w:t>
            </w:r>
          </w:p>
        </w:tc>
        <w:tc>
          <w:tcPr>
            <w:tcW w:w="240" w:type="dxa"/>
            <w:vAlign w:val="bottom"/>
            <w:tcBorders>
              <w:bottom w:val="single" w:sz="8" w:color="939598"/>
            </w:tcBorders>
          </w:tcPr>
          <w:p>
            <w:pPr>
              <w:spacing w:after="0"/>
              <w:rPr>
                <w:sz w:val="20"/>
                <w:szCs w:val="20"/>
                <w:color w:val="auto"/>
              </w:rPr>
            </w:pPr>
          </w:p>
        </w:tc>
        <w:tc>
          <w:tcPr>
            <w:tcW w:w="92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960,299</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939598"/>
            </w:tcBorders>
          </w:tcPr>
          <w:p>
            <w:pPr>
              <w:spacing w:after="0"/>
              <w:rPr>
                <w:sz w:val="20"/>
                <w:szCs w:val="20"/>
                <w:color w:val="auto"/>
              </w:rPr>
            </w:pPr>
          </w:p>
        </w:tc>
        <w:tc>
          <w:tcPr>
            <w:tcW w:w="1100" w:type="dxa"/>
            <w:vAlign w:val="bottom"/>
            <w:tcBorders>
              <w:bottom w:val="single" w:sz="8" w:color="939598"/>
            </w:tcBorders>
          </w:tcPr>
          <w:p>
            <w:pPr>
              <w:jc w:val="right"/>
              <w:ind w:right="61"/>
              <w:spacing w:after="0"/>
              <w:rPr>
                <w:sz w:val="20"/>
                <w:szCs w:val="20"/>
                <w:color w:val="auto"/>
              </w:rPr>
            </w:pPr>
            <w:r>
              <w:rPr>
                <w:rFonts w:ascii="Arial" w:cs="Arial" w:eastAsia="Arial" w:hAnsi="Arial"/>
                <w:sz w:val="16"/>
                <w:szCs w:val="16"/>
                <w:color w:val="auto"/>
              </w:rPr>
              <w:t>5,470,000</w:t>
            </w:r>
          </w:p>
        </w:tc>
        <w:tc>
          <w:tcPr>
            <w:tcW w:w="280" w:type="dxa"/>
            <w:vAlign w:val="bottom"/>
            <w:tcBorders>
              <w:bottom w:val="single" w:sz="8" w:color="939598"/>
            </w:tcBorders>
          </w:tcPr>
          <w:p>
            <w:pPr>
              <w:spacing w:after="0"/>
              <w:rPr>
                <w:sz w:val="20"/>
                <w:szCs w:val="20"/>
                <w:color w:val="auto"/>
              </w:rPr>
            </w:pP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7,412,299</w:t>
            </w:r>
          </w:p>
        </w:tc>
      </w:tr>
      <w:tr>
        <w:trPr>
          <w:trHeight w:val="236"/>
        </w:trPr>
        <w:tc>
          <w:tcPr>
            <w:tcW w:w="1920" w:type="dxa"/>
            <w:vAlign w:val="bottom"/>
            <w:tcBorders>
              <w:bottom w:val="single" w:sz="8" w:color="939598"/>
            </w:tcBorders>
          </w:tcPr>
          <w:p>
            <w:pPr>
              <w:ind w:left="20"/>
              <w:spacing w:after="0"/>
              <w:rPr>
                <w:sz w:val="20"/>
                <w:szCs w:val="20"/>
                <w:color w:val="auto"/>
              </w:rPr>
            </w:pPr>
            <w:r>
              <w:rPr>
                <w:rFonts w:ascii="Arial" w:cs="Arial" w:eastAsia="Arial" w:hAnsi="Arial"/>
                <w:sz w:val="16"/>
                <w:szCs w:val="16"/>
                <w:b w:val="1"/>
                <w:bCs w:val="1"/>
                <w:color w:val="auto"/>
              </w:rPr>
              <w:t>Anne T. Madden</w:t>
            </w:r>
          </w:p>
        </w:tc>
        <w:tc>
          <w:tcPr>
            <w:tcW w:w="288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SVP, General Counsel</w:t>
            </w:r>
          </w:p>
        </w:tc>
        <w:tc>
          <w:tcPr>
            <w:tcW w:w="156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935,000</w:t>
            </w:r>
          </w:p>
        </w:tc>
        <w:tc>
          <w:tcPr>
            <w:tcW w:w="240" w:type="dxa"/>
            <w:vAlign w:val="bottom"/>
            <w:tcBorders>
              <w:bottom w:val="single" w:sz="8" w:color="939598"/>
            </w:tcBorders>
          </w:tcPr>
          <w:p>
            <w:pPr>
              <w:spacing w:after="0"/>
              <w:rPr>
                <w:sz w:val="20"/>
                <w:szCs w:val="20"/>
                <w:color w:val="auto"/>
              </w:rPr>
            </w:pPr>
          </w:p>
        </w:tc>
        <w:tc>
          <w:tcPr>
            <w:tcW w:w="92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927,197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939598"/>
            </w:tcBorders>
          </w:tcPr>
          <w:p>
            <w:pPr>
              <w:spacing w:after="0"/>
              <w:rPr>
                <w:sz w:val="20"/>
                <w:szCs w:val="20"/>
                <w:color w:val="auto"/>
              </w:rPr>
            </w:pPr>
          </w:p>
        </w:tc>
        <w:tc>
          <w:tcPr>
            <w:tcW w:w="1100" w:type="dxa"/>
            <w:vAlign w:val="bottom"/>
            <w:tcBorders>
              <w:bottom w:val="single" w:sz="8" w:color="939598"/>
            </w:tcBorders>
          </w:tcPr>
          <w:p>
            <w:pPr>
              <w:jc w:val="right"/>
              <w:ind w:right="61"/>
              <w:spacing w:after="0"/>
              <w:rPr>
                <w:sz w:val="20"/>
                <w:szCs w:val="20"/>
                <w:color w:val="auto"/>
              </w:rPr>
            </w:pPr>
            <w:r>
              <w:rPr>
                <w:rFonts w:ascii="Arial" w:cs="Arial" w:eastAsia="Arial" w:hAnsi="Arial"/>
                <w:sz w:val="16"/>
                <w:szCs w:val="16"/>
                <w:color w:val="auto"/>
              </w:rPr>
              <w:t>4,985,000</w:t>
            </w:r>
          </w:p>
        </w:tc>
        <w:tc>
          <w:tcPr>
            <w:tcW w:w="280" w:type="dxa"/>
            <w:vAlign w:val="bottom"/>
            <w:tcBorders>
              <w:bottom w:val="single" w:sz="8" w:color="939598"/>
            </w:tcBorders>
          </w:tcPr>
          <w:p>
            <w:pPr>
              <w:spacing w:after="0"/>
              <w:rPr>
                <w:sz w:val="20"/>
                <w:szCs w:val="20"/>
                <w:color w:val="auto"/>
              </w:rPr>
            </w:pP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6,847,197</w:t>
            </w:r>
          </w:p>
        </w:tc>
      </w:tr>
      <w:tr>
        <w:trPr>
          <w:trHeight w:val="240"/>
        </w:trPr>
        <w:tc>
          <w:tcPr>
            <w:tcW w:w="1920" w:type="dxa"/>
            <w:vAlign w:val="bottom"/>
            <w:tcBorders>
              <w:bottom w:val="single" w:sz="8" w:color="929497"/>
            </w:tcBorders>
          </w:tcPr>
          <w:p>
            <w:pPr>
              <w:ind w:left="20"/>
              <w:spacing w:after="0" w:line="240" w:lineRule="exact"/>
              <w:rPr>
                <w:sz w:val="20"/>
                <w:szCs w:val="20"/>
                <w:color w:val="auto"/>
              </w:rPr>
            </w:pPr>
            <w:r>
              <w:rPr>
                <w:rFonts w:ascii="Arial" w:cs="Arial" w:eastAsia="Arial" w:hAnsi="Arial"/>
                <w:sz w:val="16"/>
                <w:szCs w:val="16"/>
                <w:b w:val="1"/>
                <w:bCs w:val="1"/>
                <w:color w:val="auto"/>
              </w:rPr>
              <w:t>Lucian Boldea</w:t>
            </w:r>
            <w:r>
              <w:rPr>
                <w:rFonts w:ascii="Arial" w:cs="Arial" w:eastAsia="Arial" w:hAnsi="Arial"/>
                <w:sz w:val="21"/>
                <w:szCs w:val="21"/>
                <w:b w:val="1"/>
                <w:bCs w:val="1"/>
                <w:color w:val="auto"/>
                <w:vertAlign w:val="superscript"/>
              </w:rPr>
              <w:t>(5)</w:t>
            </w:r>
          </w:p>
        </w:tc>
        <w:tc>
          <w:tcPr>
            <w:tcW w:w="288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President and CEO, PMT</w:t>
            </w:r>
          </w:p>
        </w:tc>
        <w:tc>
          <w:tcPr>
            <w:tcW w:w="156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800,000</w:t>
            </w:r>
          </w:p>
        </w:tc>
        <w:tc>
          <w:tcPr>
            <w:tcW w:w="240" w:type="dxa"/>
            <w:vAlign w:val="bottom"/>
            <w:tcBorders>
              <w:bottom w:val="single" w:sz="8" w:color="939598"/>
            </w:tcBorders>
          </w:tcPr>
          <w:p>
            <w:pPr>
              <w:spacing w:after="0"/>
              <w:rPr>
                <w:sz w:val="20"/>
                <w:szCs w:val="20"/>
                <w:color w:val="auto"/>
              </w:rPr>
            </w:pPr>
          </w:p>
        </w:tc>
        <w:tc>
          <w:tcPr>
            <w:tcW w:w="92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800,000</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939598"/>
            </w:tcBorders>
          </w:tcPr>
          <w:p>
            <w:pPr>
              <w:spacing w:after="0"/>
              <w:rPr>
                <w:sz w:val="20"/>
                <w:szCs w:val="20"/>
                <w:color w:val="auto"/>
              </w:rPr>
            </w:pPr>
          </w:p>
        </w:tc>
        <w:tc>
          <w:tcPr>
            <w:tcW w:w="1100" w:type="dxa"/>
            <w:vAlign w:val="bottom"/>
            <w:tcBorders>
              <w:bottom w:val="single" w:sz="8" w:color="939598"/>
            </w:tcBorders>
          </w:tcPr>
          <w:p>
            <w:pPr>
              <w:jc w:val="right"/>
              <w:ind w:right="61"/>
              <w:spacing w:after="0"/>
              <w:rPr>
                <w:sz w:val="20"/>
                <w:szCs w:val="20"/>
                <w:color w:val="auto"/>
              </w:rPr>
            </w:pPr>
            <w:r>
              <w:rPr>
                <w:rFonts w:ascii="Arial" w:cs="Arial" w:eastAsia="Arial" w:hAnsi="Arial"/>
                <w:sz w:val="16"/>
                <w:szCs w:val="16"/>
                <w:color w:val="auto"/>
              </w:rPr>
              <w:t>3,800,000</w:t>
            </w:r>
          </w:p>
        </w:tc>
        <w:tc>
          <w:tcPr>
            <w:tcW w:w="280" w:type="dxa"/>
            <w:vAlign w:val="bottom"/>
            <w:tcBorders>
              <w:bottom w:val="single" w:sz="8" w:color="939598"/>
            </w:tcBorders>
          </w:tcPr>
          <w:p>
            <w:pPr>
              <w:spacing w:after="0"/>
              <w:rPr>
                <w:sz w:val="20"/>
                <w:szCs w:val="20"/>
                <w:color w:val="auto"/>
              </w:rPr>
            </w:pP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5,400,000</w:t>
            </w:r>
          </w:p>
        </w:tc>
      </w:tr>
      <w:tr>
        <w:trPr>
          <w:trHeight w:val="233"/>
        </w:trPr>
        <w:tc>
          <w:tcPr>
            <w:tcW w:w="1920" w:type="dxa"/>
            <w:vAlign w:val="bottom"/>
            <w:tcBorders>
              <w:bottom w:val="single" w:sz="8" w:color="939598"/>
            </w:tcBorders>
          </w:tcPr>
          <w:p>
            <w:pPr>
              <w:ind w:left="20"/>
              <w:spacing w:after="0"/>
              <w:rPr>
                <w:sz w:val="20"/>
                <w:szCs w:val="20"/>
                <w:color w:val="auto"/>
              </w:rPr>
            </w:pPr>
            <w:r>
              <w:rPr>
                <w:rFonts w:ascii="Arial" w:cs="Arial" w:eastAsia="Arial" w:hAnsi="Arial"/>
                <w:sz w:val="16"/>
                <w:szCs w:val="16"/>
                <w:b w:val="1"/>
                <w:bCs w:val="1"/>
                <w:color w:val="auto"/>
              </w:rPr>
              <w:t>James Currier</w:t>
            </w:r>
          </w:p>
        </w:tc>
        <w:tc>
          <w:tcPr>
            <w:tcW w:w="288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President and CEO, Aerospace</w:t>
            </w:r>
          </w:p>
        </w:tc>
        <w:tc>
          <w:tcPr>
            <w:tcW w:w="156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720,000</w:t>
            </w:r>
          </w:p>
        </w:tc>
        <w:tc>
          <w:tcPr>
            <w:tcW w:w="240" w:type="dxa"/>
            <w:vAlign w:val="bottom"/>
            <w:tcBorders>
              <w:bottom w:val="single" w:sz="8" w:color="939598"/>
            </w:tcBorders>
          </w:tcPr>
          <w:p>
            <w:pPr>
              <w:spacing w:after="0"/>
              <w:rPr>
                <w:sz w:val="20"/>
                <w:szCs w:val="20"/>
                <w:color w:val="auto"/>
              </w:rPr>
            </w:pPr>
          </w:p>
        </w:tc>
        <w:tc>
          <w:tcPr>
            <w:tcW w:w="920" w:type="dxa"/>
            <w:vAlign w:val="bottom"/>
            <w:tcBorders>
              <w:bottom w:val="single" w:sz="8" w:color="939598"/>
            </w:tcBorders>
          </w:tcPr>
          <w:p>
            <w:pPr>
              <w:jc w:val="right"/>
              <w:ind w:right="1"/>
              <w:spacing w:after="0"/>
              <w:rPr>
                <w:sz w:val="20"/>
                <w:szCs w:val="20"/>
                <w:color w:val="auto"/>
              </w:rPr>
            </w:pPr>
            <w:r>
              <w:rPr>
                <w:rFonts w:ascii="Arial" w:cs="Arial" w:eastAsia="Arial" w:hAnsi="Arial"/>
                <w:sz w:val="16"/>
                <w:szCs w:val="16"/>
                <w:color w:val="auto"/>
              </w:rPr>
              <w:t>551,385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939598"/>
            </w:tcBorders>
          </w:tcPr>
          <w:p>
            <w:pPr>
              <w:spacing w:after="0"/>
              <w:rPr>
                <w:sz w:val="20"/>
                <w:szCs w:val="20"/>
                <w:color w:val="auto"/>
              </w:rPr>
            </w:pPr>
          </w:p>
        </w:tc>
        <w:tc>
          <w:tcPr>
            <w:tcW w:w="1100" w:type="dxa"/>
            <w:vAlign w:val="bottom"/>
            <w:tcBorders>
              <w:bottom w:val="single" w:sz="8" w:color="939598"/>
            </w:tcBorders>
          </w:tcPr>
          <w:p>
            <w:pPr>
              <w:jc w:val="right"/>
              <w:ind w:right="61"/>
              <w:spacing w:after="0"/>
              <w:rPr>
                <w:sz w:val="20"/>
                <w:szCs w:val="20"/>
                <w:color w:val="auto"/>
              </w:rPr>
            </w:pPr>
            <w:r>
              <w:rPr>
                <w:rFonts w:ascii="Arial" w:cs="Arial" w:eastAsia="Arial" w:hAnsi="Arial"/>
                <w:sz w:val="16"/>
                <w:szCs w:val="16"/>
                <w:color w:val="auto"/>
              </w:rPr>
              <w:t>3,532,000</w:t>
            </w:r>
          </w:p>
        </w:tc>
        <w:tc>
          <w:tcPr>
            <w:tcW w:w="280" w:type="dxa"/>
            <w:vAlign w:val="bottom"/>
            <w:tcBorders>
              <w:bottom w:val="single" w:sz="8" w:color="939598"/>
            </w:tcBorders>
          </w:tcPr>
          <w:p>
            <w:pPr>
              <w:spacing w:after="0"/>
              <w:rPr>
                <w:sz w:val="20"/>
                <w:szCs w:val="20"/>
                <w:color w:val="auto"/>
              </w:rPr>
            </w:pP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4,803,385</w:t>
            </w:r>
          </w:p>
        </w:tc>
      </w:tr>
      <w:tr>
        <w:trPr>
          <w:trHeight w:val="237"/>
        </w:trPr>
        <w:tc>
          <w:tcPr>
            <w:tcW w:w="1920" w:type="dxa"/>
            <w:vAlign w:val="bottom"/>
            <w:tcBorders>
              <w:bottom w:val="single" w:sz="8" w:color="EE2724"/>
            </w:tcBorders>
          </w:tcPr>
          <w:p>
            <w:pPr>
              <w:ind w:left="20"/>
              <w:spacing w:after="0"/>
              <w:rPr>
                <w:sz w:val="20"/>
                <w:szCs w:val="20"/>
                <w:color w:val="auto"/>
              </w:rPr>
            </w:pPr>
            <w:r>
              <w:rPr>
                <w:rFonts w:ascii="Arial" w:cs="Arial" w:eastAsia="Arial" w:hAnsi="Arial"/>
                <w:sz w:val="16"/>
                <w:szCs w:val="16"/>
                <w:b w:val="1"/>
                <w:bCs w:val="1"/>
                <w:color w:val="auto"/>
              </w:rPr>
              <w:t>Darius Adamczyk</w:t>
            </w:r>
          </w:p>
        </w:tc>
        <w:tc>
          <w:tcPr>
            <w:tcW w:w="2880" w:type="dxa"/>
            <w:vAlign w:val="bottom"/>
            <w:tcBorders>
              <w:bottom w:val="single" w:sz="8" w:color="EE2724"/>
            </w:tcBorders>
          </w:tcPr>
          <w:p>
            <w:pPr>
              <w:ind w:left="20"/>
              <w:spacing w:after="0"/>
              <w:rPr>
                <w:sz w:val="20"/>
                <w:szCs w:val="20"/>
                <w:color w:val="auto"/>
              </w:rPr>
            </w:pPr>
            <w:r>
              <w:rPr>
                <w:rFonts w:ascii="Arial" w:cs="Arial" w:eastAsia="Arial" w:hAnsi="Arial"/>
                <w:sz w:val="16"/>
                <w:szCs w:val="16"/>
                <w:color w:val="auto"/>
              </w:rPr>
              <w:t>Executive Chairman, Former CEO</w:t>
            </w:r>
          </w:p>
        </w:tc>
        <w:tc>
          <w:tcPr>
            <w:tcW w:w="1560" w:type="dxa"/>
            <w:vAlign w:val="bottom"/>
            <w:tcBorders>
              <w:bottom w:val="single" w:sz="8" w:color="EE2724"/>
            </w:tcBorders>
          </w:tcPr>
          <w:p>
            <w:pPr>
              <w:jc w:val="right"/>
              <w:ind w:right="1"/>
              <w:spacing w:after="0"/>
              <w:rPr>
                <w:sz w:val="20"/>
                <w:szCs w:val="20"/>
                <w:color w:val="auto"/>
              </w:rPr>
            </w:pPr>
            <w:r>
              <w:rPr>
                <w:rFonts w:ascii="Arial" w:cs="Arial" w:eastAsia="Arial" w:hAnsi="Arial"/>
                <w:sz w:val="16"/>
                <w:szCs w:val="16"/>
                <w:color w:val="auto"/>
              </w:rPr>
              <w:t>1,275,000</w:t>
            </w:r>
          </w:p>
        </w:tc>
        <w:tc>
          <w:tcPr>
            <w:tcW w:w="240" w:type="dxa"/>
            <w:vAlign w:val="bottom"/>
            <w:tcBorders>
              <w:bottom w:val="single" w:sz="8" w:color="EE2724"/>
            </w:tcBorders>
          </w:tcPr>
          <w:p>
            <w:pPr>
              <w:spacing w:after="0"/>
              <w:rPr>
                <w:sz w:val="20"/>
                <w:szCs w:val="20"/>
                <w:color w:val="auto"/>
              </w:rPr>
            </w:pPr>
          </w:p>
        </w:tc>
        <w:tc>
          <w:tcPr>
            <w:tcW w:w="920" w:type="dxa"/>
            <w:vAlign w:val="bottom"/>
            <w:tcBorders>
              <w:bottom w:val="single" w:sz="8" w:color="EE2724"/>
            </w:tcBorders>
          </w:tcPr>
          <w:p>
            <w:pPr>
              <w:jc w:val="right"/>
              <w:ind w:right="1"/>
              <w:spacing w:after="0"/>
              <w:rPr>
                <w:sz w:val="20"/>
                <w:szCs w:val="20"/>
                <w:color w:val="auto"/>
              </w:rPr>
            </w:pPr>
            <w:r>
              <w:rPr>
                <w:rFonts w:ascii="Arial" w:cs="Arial" w:eastAsia="Arial" w:hAnsi="Arial"/>
                <w:sz w:val="16"/>
                <w:szCs w:val="16"/>
                <w:color w:val="auto"/>
              </w:rPr>
              <w:t>2,340,176</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6"/>
                <w:szCs w:val="16"/>
                <w:color w:val="auto"/>
              </w:rPr>
              <w:t>161%</w:t>
            </w:r>
          </w:p>
        </w:tc>
        <w:tc>
          <w:tcPr>
            <w:tcW w:w="360" w:type="dxa"/>
            <w:vAlign w:val="bottom"/>
            <w:tcBorders>
              <w:bottom w:val="single" w:sz="8" w:color="EE2724"/>
            </w:tcBorders>
          </w:tcPr>
          <w:p>
            <w:pPr>
              <w:spacing w:after="0"/>
              <w:rPr>
                <w:sz w:val="20"/>
                <w:szCs w:val="20"/>
                <w:color w:val="auto"/>
              </w:rPr>
            </w:pPr>
          </w:p>
        </w:tc>
        <w:tc>
          <w:tcPr>
            <w:tcW w:w="1100" w:type="dxa"/>
            <w:vAlign w:val="bottom"/>
            <w:tcBorders>
              <w:bottom w:val="single" w:sz="8" w:color="EE2724"/>
            </w:tcBorders>
          </w:tcPr>
          <w:p>
            <w:pPr>
              <w:jc w:val="right"/>
              <w:ind w:right="61"/>
              <w:spacing w:after="0"/>
              <w:rPr>
                <w:sz w:val="20"/>
                <w:szCs w:val="20"/>
                <w:color w:val="auto"/>
              </w:rPr>
            </w:pPr>
            <w:r>
              <w:rPr>
                <w:rFonts w:ascii="Arial" w:cs="Arial" w:eastAsia="Arial" w:hAnsi="Arial"/>
                <w:sz w:val="16"/>
                <w:szCs w:val="16"/>
                <w:color w:val="auto"/>
              </w:rPr>
              <w:t>18,000,000</w:t>
            </w:r>
          </w:p>
        </w:tc>
        <w:tc>
          <w:tcPr>
            <w:tcW w:w="280" w:type="dxa"/>
            <w:vAlign w:val="bottom"/>
            <w:tcBorders>
              <w:bottom w:val="single" w:sz="8" w:color="EE2724"/>
            </w:tcBorders>
          </w:tcPr>
          <w:p>
            <w:pPr>
              <w:spacing w:after="0"/>
              <w:rPr>
                <w:sz w:val="20"/>
                <w:szCs w:val="20"/>
                <w:color w:val="auto"/>
              </w:rPr>
            </w:pPr>
          </w:p>
        </w:tc>
        <w:tc>
          <w:tcPr>
            <w:tcW w:w="1080" w:type="dxa"/>
            <w:vAlign w:val="bottom"/>
            <w:tcBorders>
              <w:bottom w:val="single" w:sz="8" w:color="EE2724"/>
            </w:tcBorders>
          </w:tcPr>
          <w:p>
            <w:pPr>
              <w:jc w:val="right"/>
              <w:spacing w:after="0"/>
              <w:rPr>
                <w:sz w:val="20"/>
                <w:szCs w:val="20"/>
                <w:color w:val="auto"/>
              </w:rPr>
            </w:pPr>
            <w:r>
              <w:rPr>
                <w:rFonts w:ascii="Arial" w:cs="Arial" w:eastAsia="Arial" w:hAnsi="Arial"/>
                <w:sz w:val="16"/>
                <w:szCs w:val="16"/>
                <w:color w:val="auto"/>
              </w:rPr>
              <w:t>21,615,176</w:t>
            </w:r>
          </w:p>
        </w:tc>
      </w:tr>
    </w:tbl>
    <w:p>
      <w:pPr>
        <w:spacing w:after="0" w:line="126" w:lineRule="exact"/>
        <w:rPr>
          <w:sz w:val="20"/>
          <w:szCs w:val="20"/>
          <w:color w:val="auto"/>
        </w:rPr>
      </w:pPr>
    </w:p>
    <w:p>
      <w:pPr>
        <w:ind w:left="200" w:hanging="192"/>
        <w:spacing w:after="0"/>
        <w:tabs>
          <w:tab w:leader="none" w:pos="20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Base Salary at the end of 2023.</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Target $ ICP based on actual base salary earned in 2023 (see page 68) multiplied by the NEO's 2023 ICP Target %.</w:t>
      </w:r>
    </w:p>
    <w:p>
      <w:pPr>
        <w:spacing w:after="0" w:line="63" w:lineRule="exact"/>
        <w:rPr>
          <w:rFonts w:ascii="Arial" w:cs="Arial" w:eastAsia="Arial" w:hAnsi="Arial"/>
          <w:sz w:val="16"/>
          <w:szCs w:val="16"/>
          <w:color w:val="auto"/>
          <w:vertAlign w:val="superscript"/>
        </w:rPr>
      </w:pPr>
    </w:p>
    <w:p>
      <w:pPr>
        <w:ind w:left="200" w:right="600" w:hanging="192"/>
        <w:spacing w:after="0" w:line="226" w:lineRule="auto"/>
        <w:tabs>
          <w:tab w:leader="none" w:pos="20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Target % ICP reflects prorated target for Messrs. Kapur and Adamczyk. Mr. Kapur's target ICP was increased from 125% to 175% on June 1, 2023, effective with his promotion to CEO. Mr. Adamczyk's target ICP was decreased from 175% to 152% on June 1, 2023, when he stepped down from the CEO position.</w:t>
      </w:r>
    </w:p>
    <w:p>
      <w:pPr>
        <w:spacing w:after="0" w:line="50" w:lineRule="exact"/>
        <w:rPr>
          <w:rFonts w:ascii="Arial" w:cs="Arial" w:eastAsia="Arial" w:hAnsi="Arial"/>
          <w:sz w:val="16"/>
          <w:szCs w:val="16"/>
          <w:color w:val="auto"/>
          <w:vertAlign w:val="superscript"/>
        </w:rPr>
      </w:pPr>
    </w:p>
    <w:p>
      <w:pPr>
        <w:ind w:left="200" w:right="100" w:hanging="192"/>
        <w:spacing w:after="0" w:line="236" w:lineRule="auto"/>
        <w:tabs>
          <w:tab w:leader="none" w:pos="20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Total target value of LTI awarded in 2023. Includes promotional awards to Messrs. Kapur and Currier. Mr. Adamczyk's grant was made in February 2023 while still in the role of CEO. Mr. Kapur's LTI award total reflects partial year in the role of CEO.</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33"/>
        </w:numPr>
        <w:rPr>
          <w:rFonts w:ascii="Arial" w:cs="Arial" w:eastAsia="Arial" w:hAnsi="Arial"/>
          <w:sz w:val="16"/>
          <w:szCs w:val="16"/>
          <w:color w:val="auto"/>
          <w:vertAlign w:val="superscript"/>
        </w:rPr>
      </w:pPr>
      <w:r>
        <w:rPr>
          <w:rFonts w:ascii="Arial" w:cs="Arial" w:eastAsia="Arial" w:hAnsi="Arial"/>
          <w:sz w:val="13"/>
          <w:szCs w:val="13"/>
          <w:color w:val="auto"/>
        </w:rPr>
        <w:t>Effective January 1, 2024, Mr. Boldea transitioned to the role of President and CEO, Industrial Automation (IA).</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2023 ACTUAL TOTAL ANNUAL DIRECT COMPENSATION</w:t>
      </w:r>
    </w:p>
    <w:p>
      <w:pPr>
        <w:spacing w:after="0" w:line="290"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20" w:type="dxa"/>
            <w:vAlign w:val="bottom"/>
          </w:tcPr>
          <w:p>
            <w:pPr>
              <w:ind w:left="1380"/>
              <w:spacing w:after="0"/>
              <w:rPr>
                <w:sz w:val="20"/>
                <w:szCs w:val="20"/>
                <w:color w:val="auto"/>
              </w:rPr>
            </w:pPr>
            <w:r>
              <w:rPr>
                <w:rFonts w:ascii="Arial" w:cs="Arial" w:eastAsia="Arial" w:hAnsi="Arial"/>
                <w:sz w:val="16"/>
                <w:szCs w:val="16"/>
                <w:b w:val="1"/>
                <w:bCs w:val="1"/>
                <w:color w:val="auto"/>
              </w:rPr>
              <w:t>Total Annual</w:t>
            </w:r>
          </w:p>
        </w:tc>
        <w:tc>
          <w:tcPr>
            <w:tcW w:w="0" w:type="dxa"/>
            <w:vAlign w:val="bottom"/>
          </w:tcPr>
          <w:p>
            <w:pPr>
              <w:spacing w:after="0"/>
              <w:rPr>
                <w:sz w:val="1"/>
                <w:szCs w:val="1"/>
                <w:color w:val="auto"/>
              </w:rPr>
            </w:pPr>
          </w:p>
        </w:tc>
      </w:tr>
      <w:tr>
        <w:trPr>
          <w:trHeight w:val="223"/>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D7282F"/>
              </w:rPr>
              <w:t xml:space="preserve">VIMAL KAPUR </w:t>
            </w:r>
            <w:r>
              <w:rPr>
                <w:rFonts w:ascii="Arial" w:cs="Arial" w:eastAsia="Arial" w:hAnsi="Arial"/>
                <w:sz w:val="18"/>
                <w:szCs w:val="18"/>
                <w:b w:val="1"/>
                <w:bCs w:val="1"/>
                <w:color w:val="000000"/>
              </w:rPr>
              <w:t>| Chief Executive Officer</w:t>
            </w:r>
          </w:p>
        </w:tc>
        <w:tc>
          <w:tcPr>
            <w:tcW w:w="3020" w:type="dxa"/>
            <w:vAlign w:val="bottom"/>
          </w:tcPr>
          <w:p>
            <w:pPr>
              <w:ind w:left="1380"/>
              <w:spacing w:after="0"/>
              <w:rPr>
                <w:sz w:val="20"/>
                <w:szCs w:val="20"/>
                <w:color w:val="auto"/>
              </w:rPr>
            </w:pPr>
            <w:r>
              <w:rPr>
                <w:rFonts w:ascii="Arial" w:cs="Arial" w:eastAsia="Arial" w:hAnsi="Arial"/>
                <w:sz w:val="16"/>
                <w:szCs w:val="16"/>
                <w:b w:val="1"/>
                <w:bCs w:val="1"/>
                <w:color w:val="auto"/>
              </w:rPr>
              <w:t>Direct Compensation</w:t>
            </w:r>
          </w:p>
        </w:tc>
        <w:tc>
          <w:tcPr>
            <w:tcW w:w="0" w:type="dxa"/>
            <w:vAlign w:val="bottom"/>
          </w:tcPr>
          <w:p>
            <w:pPr>
              <w:spacing w:after="0"/>
              <w:rPr>
                <w:sz w:val="1"/>
                <w:szCs w:val="1"/>
                <w:color w:val="auto"/>
              </w:rPr>
            </w:pPr>
          </w:p>
        </w:tc>
      </w:tr>
      <w:tr>
        <w:trPr>
          <w:trHeight w:val="100"/>
        </w:trPr>
        <w:tc>
          <w:tcPr>
            <w:tcW w:w="5620" w:type="dxa"/>
            <w:vAlign w:val="bottom"/>
            <w:vMerge w:val="continue"/>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8"/>
        </w:trPr>
        <w:tc>
          <w:tcPr>
            <w:tcW w:w="5620" w:type="dxa"/>
            <w:vAlign w:val="bottom"/>
          </w:tcPr>
          <w:p>
            <w:pPr>
              <w:spacing w:after="0"/>
              <w:rPr>
                <w:sz w:val="24"/>
                <w:szCs w:val="24"/>
                <w:color w:val="auto"/>
              </w:rPr>
            </w:pPr>
          </w:p>
        </w:tc>
        <w:tc>
          <w:tcPr>
            <w:tcW w:w="3020" w:type="dxa"/>
            <w:vAlign w:val="bottom"/>
          </w:tcPr>
          <w:p>
            <w:pPr>
              <w:ind w:left="1380"/>
              <w:spacing w:after="0"/>
              <w:rPr>
                <w:sz w:val="20"/>
                <w:szCs w:val="20"/>
                <w:color w:val="auto"/>
              </w:rPr>
            </w:pPr>
            <w:r>
              <w:rPr>
                <w:rFonts w:ascii="Arial" w:cs="Arial" w:eastAsia="Arial" w:hAnsi="Arial"/>
                <w:sz w:val="25"/>
                <w:szCs w:val="25"/>
                <w:b w:val="1"/>
                <w:bCs w:val="1"/>
                <w:color w:val="D7282F"/>
              </w:rPr>
              <w:t>$13,681,827</w:t>
            </w:r>
          </w:p>
        </w:tc>
        <w:tc>
          <w:tcPr>
            <w:tcW w:w="0" w:type="dxa"/>
            <w:vAlign w:val="bottom"/>
          </w:tcPr>
          <w:p>
            <w:pPr>
              <w:spacing w:after="0"/>
              <w:rPr>
                <w:sz w:val="1"/>
                <w:szCs w:val="1"/>
                <w:color w:val="auto"/>
              </w:rPr>
            </w:pPr>
          </w:p>
        </w:tc>
      </w:tr>
      <w:tr>
        <w:trPr>
          <w:trHeight w:val="633"/>
        </w:trPr>
        <w:tc>
          <w:tcPr>
            <w:tcW w:w="5620" w:type="dxa"/>
            <w:vAlign w:val="bottom"/>
          </w:tcPr>
          <w:p>
            <w:pPr>
              <w:spacing w:after="0"/>
              <w:rPr>
                <w:sz w:val="20"/>
                <w:szCs w:val="20"/>
                <w:color w:val="auto"/>
              </w:rPr>
            </w:pPr>
            <w:r>
              <w:rPr>
                <w:rFonts w:ascii="Arial" w:cs="Arial" w:eastAsia="Arial" w:hAnsi="Arial"/>
                <w:sz w:val="18"/>
                <w:szCs w:val="18"/>
                <w:b w:val="1"/>
                <w:bCs w:val="1"/>
                <w:color w:val="D7282F"/>
              </w:rPr>
              <w:t xml:space="preserve">GREGORY P. LEWIS </w:t>
            </w:r>
            <w:r>
              <w:rPr>
                <w:rFonts w:ascii="Arial" w:cs="Arial" w:eastAsia="Arial" w:hAnsi="Arial"/>
                <w:sz w:val="18"/>
                <w:szCs w:val="18"/>
                <w:b w:val="1"/>
                <w:bCs w:val="1"/>
                <w:color w:val="000000"/>
              </w:rPr>
              <w:t>| SVP, Chief Financial Officer</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20" w:type="dxa"/>
            <w:vAlign w:val="bottom"/>
          </w:tcPr>
          <w:p>
            <w:pPr>
              <w:spacing w:after="0"/>
              <w:rPr>
                <w:sz w:val="24"/>
                <w:szCs w:val="24"/>
                <w:color w:val="auto"/>
              </w:rPr>
            </w:pPr>
          </w:p>
        </w:tc>
        <w:tc>
          <w:tcPr>
            <w:tcW w:w="3020" w:type="dxa"/>
            <w:vAlign w:val="bottom"/>
          </w:tcPr>
          <w:p>
            <w:pPr>
              <w:ind w:left="1380"/>
              <w:spacing w:after="0"/>
              <w:rPr>
                <w:sz w:val="20"/>
                <w:szCs w:val="20"/>
                <w:color w:val="auto"/>
              </w:rPr>
            </w:pPr>
            <w:r>
              <w:rPr>
                <w:rFonts w:ascii="Arial" w:cs="Arial" w:eastAsia="Arial" w:hAnsi="Arial"/>
                <w:sz w:val="25"/>
                <w:szCs w:val="25"/>
                <w:b w:val="1"/>
                <w:bCs w:val="1"/>
                <w:color w:val="D7282F"/>
              </w:rPr>
              <w:t>$7,553,638</w:t>
            </w:r>
          </w:p>
        </w:tc>
        <w:tc>
          <w:tcPr>
            <w:tcW w:w="0" w:type="dxa"/>
            <w:vAlign w:val="bottom"/>
          </w:tcPr>
          <w:p>
            <w:pPr>
              <w:spacing w:after="0"/>
              <w:rPr>
                <w:sz w:val="1"/>
                <w:szCs w:val="1"/>
                <w:color w:val="auto"/>
              </w:rPr>
            </w:pPr>
          </w:p>
        </w:tc>
      </w:tr>
      <w:tr>
        <w:trPr>
          <w:trHeight w:val="633"/>
        </w:trPr>
        <w:tc>
          <w:tcPr>
            <w:tcW w:w="5620" w:type="dxa"/>
            <w:vAlign w:val="bottom"/>
          </w:tcPr>
          <w:p>
            <w:pPr>
              <w:spacing w:after="0"/>
              <w:rPr>
                <w:sz w:val="20"/>
                <w:szCs w:val="20"/>
                <w:color w:val="auto"/>
              </w:rPr>
            </w:pPr>
            <w:r>
              <w:rPr>
                <w:rFonts w:ascii="Arial" w:cs="Arial" w:eastAsia="Arial" w:hAnsi="Arial"/>
                <w:sz w:val="18"/>
                <w:szCs w:val="18"/>
                <w:b w:val="1"/>
                <w:bCs w:val="1"/>
                <w:color w:val="D7282F"/>
              </w:rPr>
              <w:t xml:space="preserve">ANNE T. MADDEN </w:t>
            </w:r>
            <w:r>
              <w:rPr>
                <w:rFonts w:ascii="Arial" w:cs="Arial" w:eastAsia="Arial" w:hAnsi="Arial"/>
                <w:sz w:val="18"/>
                <w:szCs w:val="18"/>
                <w:b w:val="1"/>
                <w:bCs w:val="1"/>
                <w:color w:val="000000"/>
              </w:rPr>
              <w:t>| SVP, General Counsel</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620" w:type="dxa"/>
            <w:vAlign w:val="bottom"/>
          </w:tcPr>
          <w:p>
            <w:pPr>
              <w:spacing w:after="0"/>
              <w:rPr>
                <w:sz w:val="24"/>
                <w:szCs w:val="24"/>
                <w:color w:val="auto"/>
              </w:rPr>
            </w:pPr>
          </w:p>
        </w:tc>
        <w:tc>
          <w:tcPr>
            <w:tcW w:w="3020" w:type="dxa"/>
            <w:vAlign w:val="bottom"/>
          </w:tcPr>
          <w:p>
            <w:pPr>
              <w:ind w:left="1380"/>
              <w:spacing w:after="0"/>
              <w:rPr>
                <w:sz w:val="20"/>
                <w:szCs w:val="20"/>
                <w:color w:val="auto"/>
              </w:rPr>
            </w:pPr>
            <w:r>
              <w:rPr>
                <w:rFonts w:ascii="Arial" w:cs="Arial" w:eastAsia="Arial" w:hAnsi="Arial"/>
                <w:sz w:val="25"/>
                <w:szCs w:val="25"/>
                <w:b w:val="1"/>
                <w:bCs w:val="1"/>
                <w:color w:val="D7282F"/>
              </w:rPr>
              <w:t>$6,952,219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-1662430</wp:posOffset>
            </wp:positionV>
            <wp:extent cx="4354830" cy="2057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354830" cy="20574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-942340</wp:posOffset>
            </wp:positionV>
            <wp:extent cx="4354830" cy="2057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354830" cy="20574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-239395</wp:posOffset>
            </wp:positionV>
            <wp:extent cx="4354830" cy="2057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354830" cy="205740"/>
                    </a:xfrm>
                    <a:prstGeom prst="rect">
                      <a:avLst/>
                    </a:prstGeom>
                    <a:noFill/>
                  </pic:spPr>
                </pic:pic>
              </a:graphicData>
            </a:graphic>
          </wp:anchor>
        </w:drawing>
      </w:r>
    </w:p>
    <w:p>
      <w:pPr>
        <w:spacing w:after="0" w:line="367"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D7282F"/>
        </w:rPr>
        <w:t>LUCIAN BOLDEA</w:t>
      </w:r>
      <w:r>
        <w:rPr>
          <w:rFonts w:ascii="Arial" w:cs="Arial" w:eastAsia="Arial" w:hAnsi="Arial"/>
          <w:sz w:val="23"/>
          <w:szCs w:val="23"/>
          <w:b w:val="1"/>
          <w:bCs w:val="1"/>
          <w:color w:val="D7282F"/>
          <w:vertAlign w:val="superscript"/>
        </w:rPr>
        <w:t>(1)</w:t>
      </w:r>
      <w:r>
        <w:rPr>
          <w:rFonts w:ascii="Arial" w:cs="Arial" w:eastAsia="Arial" w:hAnsi="Arial"/>
          <w:sz w:val="18"/>
          <w:szCs w:val="18"/>
          <w:b w:val="1"/>
          <w:bCs w:val="1"/>
          <w:color w:val="D7282F"/>
        </w:rPr>
        <w:t xml:space="preserve"> </w:t>
      </w:r>
      <w:r>
        <w:rPr>
          <w:rFonts w:ascii="Arial" w:cs="Arial" w:eastAsia="Arial" w:hAnsi="Arial"/>
          <w:sz w:val="18"/>
          <w:szCs w:val="18"/>
          <w:b w:val="1"/>
          <w:bCs w:val="1"/>
          <w:color w:val="000000"/>
        </w:rPr>
        <w:t>| President and CEO, Performance Materials &amp;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49530</wp:posOffset>
            </wp:positionV>
            <wp:extent cx="4354830" cy="2057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354830" cy="205740"/>
                    </a:xfrm>
                    <a:prstGeom prst="rect">
                      <a:avLst/>
                    </a:prstGeom>
                    <a:noFill/>
                  </pic:spPr>
                </pic:pic>
              </a:graphicData>
            </a:graphic>
          </wp:anchor>
        </w:drawing>
      </w:r>
    </w:p>
    <w:p>
      <w:pPr>
        <w:spacing w:after="0" w:line="88" w:lineRule="exact"/>
        <w:rPr>
          <w:sz w:val="20"/>
          <w:szCs w:val="20"/>
          <w:color w:val="auto"/>
        </w:rPr>
      </w:pPr>
    </w:p>
    <w:tbl>
      <w:tblPr>
        <w:tblLayout w:type="fixed"/>
        <w:tblInd w:w="1140" w:type="dxa"/>
        <w:tblCellMar>
          <w:top w:w="0" w:type="dxa"/>
          <w:left w:w="0" w:type="dxa"/>
          <w:bottom w:w="0" w:type="dxa"/>
          <w:right w:w="0" w:type="dxa"/>
        </w:tblCellMar>
      </w:tblPr>
      <w:tr>
        <w:trPr>
          <w:trHeight w:val="348"/>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gridSpan w:val="3"/>
          </w:tcPr>
          <w:p>
            <w:pPr>
              <w:ind w:left="1620"/>
              <w:spacing w:after="0"/>
              <w:rPr>
                <w:sz w:val="20"/>
                <w:szCs w:val="20"/>
                <w:color w:val="auto"/>
              </w:rPr>
            </w:pPr>
            <w:r>
              <w:rPr>
                <w:rFonts w:ascii="Arial" w:cs="Arial" w:eastAsia="Arial" w:hAnsi="Arial"/>
                <w:sz w:val="25"/>
                <w:szCs w:val="25"/>
                <w:b w:val="1"/>
                <w:bCs w:val="1"/>
                <w:color w:val="D7282F"/>
              </w:rPr>
              <w:t>$5,544,508</w:t>
            </w: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5400" w:type="dxa"/>
            <w:vAlign w:val="bottom"/>
            <w:gridSpan w:val="4"/>
          </w:tcPr>
          <w:p>
            <w:pPr>
              <w:ind w:left="20"/>
              <w:spacing w:after="0"/>
              <w:rPr>
                <w:sz w:val="20"/>
                <w:szCs w:val="20"/>
                <w:color w:val="auto"/>
              </w:rPr>
            </w:pPr>
            <w:r>
              <w:rPr>
                <w:rFonts w:ascii="Arial" w:cs="Arial" w:eastAsia="Arial" w:hAnsi="Arial"/>
                <w:sz w:val="18"/>
                <w:szCs w:val="18"/>
                <w:b w:val="1"/>
                <w:bCs w:val="1"/>
                <w:color w:val="D7282F"/>
              </w:rPr>
              <w:t xml:space="preserve">JAMES CURRIER </w:t>
            </w:r>
            <w:r>
              <w:rPr>
                <w:rFonts w:ascii="Arial" w:cs="Arial" w:eastAsia="Arial" w:hAnsi="Arial"/>
                <w:sz w:val="18"/>
                <w:szCs w:val="18"/>
                <w:b w:val="1"/>
                <w:bCs w:val="1"/>
                <w:color w:val="000000"/>
              </w:rPr>
              <w:t>| President and CEO, Aerospace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gridSpan w:val="3"/>
          </w:tcPr>
          <w:p>
            <w:pPr>
              <w:ind w:left="1620"/>
              <w:spacing w:after="0"/>
              <w:rPr>
                <w:sz w:val="20"/>
                <w:szCs w:val="20"/>
                <w:color w:val="auto"/>
              </w:rPr>
            </w:pPr>
            <w:r>
              <w:rPr>
                <w:rFonts w:ascii="Arial" w:cs="Arial" w:eastAsia="Arial" w:hAnsi="Arial"/>
                <w:sz w:val="25"/>
                <w:szCs w:val="25"/>
                <w:b w:val="1"/>
                <w:bCs w:val="1"/>
                <w:color w:val="D7282F"/>
              </w:rPr>
              <w:t>$4,764,831</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400" w:type="dxa"/>
            <w:vAlign w:val="bottom"/>
            <w:gridSpan w:val="4"/>
          </w:tcPr>
          <w:p>
            <w:pPr>
              <w:ind w:left="20"/>
              <w:spacing w:after="0"/>
              <w:rPr>
                <w:sz w:val="20"/>
                <w:szCs w:val="20"/>
                <w:color w:val="auto"/>
              </w:rPr>
            </w:pPr>
            <w:r>
              <w:rPr>
                <w:rFonts w:ascii="Arial" w:cs="Arial" w:eastAsia="Arial" w:hAnsi="Arial"/>
                <w:sz w:val="18"/>
                <w:szCs w:val="18"/>
                <w:b w:val="1"/>
                <w:bCs w:val="1"/>
                <w:color w:val="D7282F"/>
              </w:rPr>
              <w:t xml:space="preserve">DARIUS ADAMCZYK </w:t>
            </w:r>
            <w:r>
              <w:rPr>
                <w:rFonts w:ascii="Arial" w:cs="Arial" w:eastAsia="Arial" w:hAnsi="Arial"/>
                <w:sz w:val="18"/>
                <w:szCs w:val="18"/>
                <w:b w:val="1"/>
                <w:bCs w:val="1"/>
                <w:color w:val="000000"/>
              </w:rPr>
              <w:t>| Executive Chairman, Former CEO</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60" w:type="dxa"/>
            <w:vAlign w:val="bottom"/>
            <w:gridSpan w:val="3"/>
          </w:tcPr>
          <w:p>
            <w:pPr>
              <w:ind w:left="1620"/>
              <w:spacing w:after="0"/>
              <w:rPr>
                <w:sz w:val="20"/>
                <w:szCs w:val="20"/>
                <w:color w:val="auto"/>
              </w:rPr>
            </w:pPr>
            <w:r>
              <w:rPr>
                <w:rFonts w:ascii="Arial" w:cs="Arial" w:eastAsia="Arial" w:hAnsi="Arial"/>
                <w:sz w:val="25"/>
                <w:szCs w:val="25"/>
                <w:b w:val="1"/>
                <w:bCs w:val="1"/>
                <w:color w:val="D7282F"/>
              </w:rPr>
              <w:t>$22,294,011</w:t>
            </w:r>
          </w:p>
        </w:tc>
        <w:tc>
          <w:tcPr>
            <w:tcW w:w="0" w:type="dxa"/>
            <w:vAlign w:val="bottom"/>
          </w:tcPr>
          <w:p>
            <w:pPr>
              <w:spacing w:after="0"/>
              <w:rPr>
                <w:sz w:val="1"/>
                <w:szCs w:val="1"/>
                <w:color w:val="auto"/>
              </w:rPr>
            </w:pPr>
          </w:p>
        </w:tc>
      </w:tr>
      <w:tr>
        <w:trPr>
          <w:trHeight w:val="453"/>
        </w:trPr>
        <w:tc>
          <w:tcPr>
            <w:tcW w:w="2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6"/>
                <w:szCs w:val="16"/>
                <w:b w:val="1"/>
                <w:bCs w:val="1"/>
                <w:color w:val="auto"/>
                <w:vertAlign w:val="superscript"/>
              </w:rPr>
              <w:t>(2)</w:t>
            </w:r>
          </w:p>
        </w:tc>
        <w:tc>
          <w:tcPr>
            <w:tcW w:w="80" w:type="dxa"/>
            <w:vAlign w:val="bottom"/>
          </w:tcPr>
          <w:p>
            <w:pPr>
              <w:spacing w:after="0"/>
              <w:rPr>
                <w:sz w:val="24"/>
                <w:szCs w:val="24"/>
                <w:color w:val="auto"/>
              </w:rPr>
            </w:pPr>
          </w:p>
        </w:tc>
        <w:tc>
          <w:tcPr>
            <w:tcW w:w="23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Annual Incentive Plan (ICP)</w:t>
            </w:r>
            <w:r>
              <w:rPr>
                <w:rFonts w:ascii="Arial" w:cs="Arial" w:eastAsia="Arial" w:hAnsi="Arial"/>
                <w:sz w:val="16"/>
                <w:szCs w:val="16"/>
                <w:b w:val="1"/>
                <w:bCs w:val="1"/>
                <w:color w:val="auto"/>
                <w:vertAlign w:val="superscript"/>
              </w:rPr>
              <w:t>(3)</w:t>
            </w:r>
          </w:p>
        </w:tc>
        <w:tc>
          <w:tcPr>
            <w:tcW w:w="4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5"/>
              </w:rPr>
              <w:t>2023–2025 Performance Stock Units (PSUs)</w:t>
            </w:r>
            <w:r>
              <w:rPr>
                <w:rFonts w:ascii="Arial" w:cs="Arial" w:eastAsia="Arial" w:hAnsi="Arial"/>
                <w:sz w:val="16"/>
                <w:szCs w:val="16"/>
                <w:b w:val="1"/>
                <w:bCs w:val="1"/>
                <w:color w:val="auto"/>
                <w:w w:val="95"/>
                <w:vertAlign w:val="superscript"/>
              </w:rPr>
              <w:t>(4)</w:t>
            </w:r>
          </w:p>
        </w:tc>
        <w:tc>
          <w:tcPr>
            <w:tcW w:w="0" w:type="dxa"/>
            <w:vAlign w:val="bottom"/>
          </w:tcPr>
          <w:p>
            <w:pPr>
              <w:spacing w:after="0"/>
              <w:rPr>
                <w:sz w:val="1"/>
                <w:szCs w:val="1"/>
                <w:color w:val="auto"/>
              </w:rPr>
            </w:pPr>
          </w:p>
        </w:tc>
      </w:tr>
      <w:tr>
        <w:trPr>
          <w:trHeight w:val="78"/>
        </w:trPr>
        <w:tc>
          <w:tcPr>
            <w:tcW w:w="20" w:type="dxa"/>
            <w:vAlign w:val="bottom"/>
            <w:vMerge w:val="continue"/>
          </w:tcPr>
          <w:p>
            <w:pPr>
              <w:spacing w:after="0"/>
              <w:rPr>
                <w:sz w:val="6"/>
                <w:szCs w:val="6"/>
                <w:color w:val="auto"/>
              </w:rPr>
            </w:pPr>
          </w:p>
        </w:tc>
        <w:tc>
          <w:tcPr>
            <w:tcW w:w="60" w:type="dxa"/>
            <w:vAlign w:val="bottom"/>
            <w:shd w:val="clear" w:color="auto" w:fill="D9D9D9"/>
          </w:tcPr>
          <w:p>
            <w:pPr>
              <w:spacing w:after="0" w:line="58" w:lineRule="exact"/>
              <w:rPr>
                <w:sz w:val="20"/>
                <w:szCs w:val="20"/>
                <w:color w:val="auto"/>
              </w:rPr>
            </w:pPr>
            <w:r>
              <w:rPr>
                <w:rFonts w:ascii="Wingdings" w:cs="Wingdings" w:eastAsia="Wingdings" w:hAnsi="Wingdings"/>
                <w:sz w:val="6"/>
                <w:szCs w:val="6"/>
                <w:b w:val="1"/>
                <w:bCs w:val="1"/>
                <w:color w:val="auto"/>
                <w:highlight w:val="lightGray"/>
                <w:w w:val="88"/>
              </w:rPr>
              <w:t>n</w:t>
            </w:r>
          </w:p>
        </w:tc>
        <w:tc>
          <w:tcPr>
            <w:tcW w:w="2920" w:type="dxa"/>
            <w:vAlign w:val="bottom"/>
            <w:vMerge w:val="continue"/>
          </w:tcPr>
          <w:p>
            <w:pPr>
              <w:spacing w:after="0"/>
              <w:rPr>
                <w:sz w:val="6"/>
                <w:szCs w:val="6"/>
                <w:color w:val="auto"/>
              </w:rPr>
            </w:pPr>
          </w:p>
        </w:tc>
        <w:tc>
          <w:tcPr>
            <w:tcW w:w="80" w:type="dxa"/>
            <w:vAlign w:val="bottom"/>
            <w:shd w:val="clear" w:color="auto" w:fill="939598"/>
          </w:tcPr>
          <w:p>
            <w:pPr>
              <w:spacing w:after="0" w:line="58" w:lineRule="exact"/>
              <w:rPr>
                <w:sz w:val="20"/>
                <w:szCs w:val="20"/>
                <w:color w:val="auto"/>
              </w:rPr>
            </w:pPr>
            <w:r>
              <w:rPr>
                <w:rFonts w:ascii="Wingdings" w:cs="Wingdings" w:eastAsia="Wingdings" w:hAnsi="Wingdings"/>
                <w:sz w:val="6"/>
                <w:szCs w:val="6"/>
                <w:b w:val="1"/>
                <w:bCs w:val="1"/>
                <w:color w:val="auto"/>
                <w:shd w:val="clear" w:color="auto" w:fill="939598"/>
              </w:rPr>
              <w:t>n</w:t>
            </w:r>
          </w:p>
        </w:tc>
        <w:tc>
          <w:tcPr>
            <w:tcW w:w="23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 w:type="dxa"/>
            <w:vAlign w:val="bottom"/>
            <w:shd w:val="clear" w:color="auto" w:fill="6D6E71"/>
          </w:tcPr>
          <w:p>
            <w:pPr>
              <w:spacing w:after="0" w:line="58" w:lineRule="exact"/>
              <w:rPr>
                <w:sz w:val="20"/>
                <w:szCs w:val="20"/>
                <w:color w:val="auto"/>
              </w:rPr>
            </w:pPr>
            <w:r>
              <w:rPr>
                <w:rFonts w:ascii="Wingdings" w:cs="Wingdings" w:eastAsia="Wingdings" w:hAnsi="Wingdings"/>
                <w:sz w:val="6"/>
                <w:szCs w:val="6"/>
                <w:b w:val="1"/>
                <w:bCs w:val="1"/>
                <w:color w:val="auto"/>
                <w:shd w:val="clear" w:color="auto" w:fill="6D6E71"/>
              </w:rPr>
              <w:t>n</w:t>
            </w:r>
          </w:p>
        </w:tc>
        <w:tc>
          <w:tcPr>
            <w:tcW w:w="2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29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Stock Options</w:t>
            </w:r>
            <w:r>
              <w:rPr>
                <w:rFonts w:ascii="Arial" w:cs="Arial" w:eastAsia="Arial" w:hAnsi="Arial"/>
                <w:sz w:val="16"/>
                <w:szCs w:val="16"/>
                <w:b w:val="1"/>
                <w:bCs w:val="1"/>
                <w:color w:val="auto"/>
                <w:vertAlign w:val="superscript"/>
              </w:rPr>
              <w:t>(5)</w:t>
            </w:r>
          </w:p>
        </w:tc>
        <w:tc>
          <w:tcPr>
            <w:tcW w:w="80" w:type="dxa"/>
            <w:vAlign w:val="bottom"/>
          </w:tcPr>
          <w:p>
            <w:pPr>
              <w:spacing w:after="0"/>
              <w:rPr>
                <w:sz w:val="20"/>
                <w:szCs w:val="20"/>
                <w:color w:val="auto"/>
              </w:rPr>
            </w:pPr>
          </w:p>
        </w:tc>
        <w:tc>
          <w:tcPr>
            <w:tcW w:w="23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Restricted Stock Units (RSUs)</w:t>
            </w:r>
            <w:r>
              <w:rPr>
                <w:rFonts w:ascii="Arial" w:cs="Arial" w:eastAsia="Arial" w:hAnsi="Arial"/>
                <w:sz w:val="16"/>
                <w:szCs w:val="16"/>
                <w:b w:val="1"/>
                <w:bCs w:val="1"/>
                <w:color w:val="auto"/>
                <w:vertAlign w:val="superscript"/>
              </w:rPr>
              <w:t>(6)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20" w:type="dxa"/>
            <w:vAlign w:val="bottom"/>
            <w:vMerge w:val="continue"/>
          </w:tcPr>
          <w:p>
            <w:pPr>
              <w:spacing w:after="0"/>
              <w:rPr>
                <w:sz w:val="6"/>
                <w:szCs w:val="6"/>
                <w:color w:val="auto"/>
              </w:rPr>
            </w:pPr>
          </w:p>
        </w:tc>
        <w:tc>
          <w:tcPr>
            <w:tcW w:w="60" w:type="dxa"/>
            <w:vAlign w:val="bottom"/>
            <w:shd w:val="clear" w:color="auto" w:fill="000000"/>
          </w:tcPr>
          <w:p>
            <w:pPr>
              <w:spacing w:after="0" w:line="58" w:lineRule="exact"/>
              <w:rPr>
                <w:sz w:val="20"/>
                <w:szCs w:val="20"/>
                <w:color w:val="auto"/>
              </w:rPr>
            </w:pPr>
            <w:r>
              <w:rPr>
                <w:rFonts w:ascii="Wingdings" w:cs="Wingdings" w:eastAsia="Wingdings" w:hAnsi="Wingdings"/>
                <w:sz w:val="6"/>
                <w:szCs w:val="6"/>
                <w:b w:val="1"/>
                <w:bCs w:val="1"/>
                <w:color w:val="auto"/>
                <w:highlight w:val="black"/>
                <w:w w:val="88"/>
              </w:rPr>
              <w:t>n</w:t>
            </w:r>
          </w:p>
        </w:tc>
        <w:tc>
          <w:tcPr>
            <w:tcW w:w="2920" w:type="dxa"/>
            <w:vAlign w:val="bottom"/>
            <w:vMerge w:val="continue"/>
          </w:tcPr>
          <w:p>
            <w:pPr>
              <w:spacing w:after="0"/>
              <w:rPr>
                <w:sz w:val="6"/>
                <w:szCs w:val="6"/>
                <w:color w:val="auto"/>
              </w:rPr>
            </w:pPr>
          </w:p>
        </w:tc>
        <w:tc>
          <w:tcPr>
            <w:tcW w:w="80" w:type="dxa"/>
            <w:vAlign w:val="bottom"/>
            <w:shd w:val="clear" w:color="auto" w:fill="D7282F"/>
          </w:tcPr>
          <w:p>
            <w:pPr>
              <w:spacing w:after="0" w:line="58" w:lineRule="exact"/>
              <w:rPr>
                <w:sz w:val="20"/>
                <w:szCs w:val="20"/>
                <w:color w:val="auto"/>
              </w:rPr>
            </w:pPr>
            <w:r>
              <w:rPr>
                <w:rFonts w:ascii="Wingdings" w:cs="Wingdings" w:eastAsia="Wingdings" w:hAnsi="Wingdings"/>
                <w:sz w:val="6"/>
                <w:szCs w:val="6"/>
                <w:b w:val="1"/>
                <w:bCs w:val="1"/>
                <w:color w:val="auto"/>
                <w:shd w:val="clear" w:color="auto" w:fill="D7282F"/>
              </w:rPr>
              <w:t>n</w:t>
            </w:r>
          </w:p>
        </w:tc>
        <w:tc>
          <w:tcPr>
            <w:tcW w:w="2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-1631950</wp:posOffset>
            </wp:positionV>
            <wp:extent cx="4337685" cy="2057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337685" cy="205740"/>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-911860</wp:posOffset>
            </wp:positionV>
            <wp:extent cx="4354830" cy="2057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354830" cy="205740"/>
                    </a:xfrm>
                    <a:prstGeom prst="rect">
                      <a:avLst/>
                    </a:prstGeom>
                    <a:noFill/>
                  </pic:spPr>
                </pic:pic>
              </a:graphicData>
            </a:graphic>
          </wp:anchor>
        </w:drawing>
      </w:r>
    </w:p>
    <w:p>
      <w:pPr>
        <w:spacing w:after="0" w:line="221" w:lineRule="exact"/>
        <w:rPr>
          <w:sz w:val="20"/>
          <w:szCs w:val="20"/>
          <w:color w:val="auto"/>
        </w:rPr>
      </w:pPr>
    </w:p>
    <w:p>
      <w:pPr>
        <w:ind w:left="200" w:hanging="192"/>
        <w:spacing w:after="0"/>
        <w:tabs>
          <w:tab w:leader="none" w:pos="20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Effective January 1, 2024, Mr. Boldea transitioned to the role of President and CEO, Industrial Automation (IA).</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Represents base salary actually paid in 2023.</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Annual ICP payouts determined 80% based on calculation against pre-set ICP financial goals, 15% based on individual assessments, and 5% based on performance against 2023 ESG goals.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PSUs vest on the third anniversary of the grant date, if earned. Value for Mr. Currier includes performance cash units awarded prior to him becoming an NEO.</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Stock options vest ratably over four years, have a 10-year term, and are subject to stock ownership and post-exercise holding requirements.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34"/>
        </w:numPr>
        <w:rPr>
          <w:rFonts w:ascii="Arial" w:cs="Arial" w:eastAsia="Arial" w:hAnsi="Arial"/>
          <w:sz w:val="16"/>
          <w:szCs w:val="16"/>
          <w:color w:val="auto"/>
          <w:vertAlign w:val="superscript"/>
        </w:rPr>
      </w:pPr>
      <w:r>
        <w:rPr>
          <w:rFonts w:ascii="Arial" w:cs="Arial" w:eastAsia="Arial" w:hAnsi="Arial"/>
          <w:sz w:val="13"/>
          <w:szCs w:val="13"/>
          <w:color w:val="auto"/>
        </w:rPr>
        <w:t>RSUs vest over a four-year period and are subject to stock ownership and post-vesting holding requirements.</w:t>
      </w:r>
    </w:p>
    <w:p>
      <w:pPr>
        <w:spacing w:after="0" w:line="266" w:lineRule="exact"/>
        <w:rPr>
          <w:sz w:val="20"/>
          <w:szCs w:val="20"/>
          <w:color w:val="auto"/>
        </w:rPr>
      </w:pPr>
    </w:p>
    <w:tbl>
      <w:tblPr>
        <w:tblLayout w:type="fixed"/>
        <w:tblInd w:w="6840" w:type="dxa"/>
        <w:tblCellMar>
          <w:top w:w="0" w:type="dxa"/>
          <w:left w:w="0" w:type="dxa"/>
          <w:bottom w:w="0" w:type="dxa"/>
          <w:right w:w="0" w:type="dxa"/>
        </w:tblCellMar>
      </w:tblPr>
      <w:tr>
        <w:trPr>
          <w:trHeight w:val="247"/>
        </w:trPr>
        <w:tc>
          <w:tcPr>
            <w:tcW w:w="3460" w:type="dxa"/>
            <w:vAlign w:val="bottom"/>
          </w:tcPr>
          <w:p>
            <w:pPr>
              <w:spacing w:after="0"/>
              <w:rPr>
                <w:sz w:val="20"/>
                <w:szCs w:val="20"/>
                <w:color w:val="auto"/>
              </w:rPr>
            </w:pPr>
            <w:r>
              <w:rPr>
                <w:rFonts w:ascii="Arial" w:cs="Arial" w:eastAsia="Arial" w:hAnsi="Arial"/>
                <w:sz w:val="13"/>
                <w:szCs w:val="13"/>
                <w:b w:val="1"/>
                <w:bCs w:val="1"/>
                <w:color w:val="6D6E71"/>
              </w:rPr>
              <w:t>2024 NOTICE AND PROXY STATEMENT   |</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-127000</wp:posOffset>
            </wp:positionV>
            <wp:extent cx="548640" cy="1028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49" w:orient="portrait"/>
          <w:cols w:equalWidth="0" w:num="1">
            <w:col w:w="11240"/>
          </w:cols>
          <w:pgMar w:left="320" w:top="230" w:right="339" w:bottom="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256540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CEO COMPENSATION DECISIONS</w:t>
      </w:r>
    </w:p>
    <w:p>
      <w:pPr>
        <w:spacing w:after="0" w:line="12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As of the date on which Mr. Kapur became CEO, the independent directors approved a promotional compensation package for Mr. Kapur comprised of (a) a base salary of $1,500,000, (b) a target annual incentive compensation opportunity of 175% of base salary (prorated to 154.3% for 2023), and (c) an incremental long-term incentive award with a grant date value of $4,140,000 (50% in PSUs, 25% in RSUs, and 25% in stock options), which increased his total 2023 target long-term incentive value to $10,040,000 (after considering the LTI award he previously received as Chief Operating Officer in February 2023).</w:t>
      </w:r>
    </w:p>
    <w:p>
      <w:pPr>
        <w:spacing w:after="0" w:line="5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For 2024, Mr. Kapur's Target Total Compensation will be $17,125,000, made up of base salary of $1,500,000, short-term target incentive of 175% of base salary, and total long-term incentive award target value of $13,000,000, with no less than 50% being in the form of three-year performance stock units.</w:t>
      </w:r>
    </w:p>
    <w:p>
      <w:pPr>
        <w:spacing w:after="0" w:line="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determining the initial compensation for Mr. Kapur, the independent directors reviewed and referenced the elements and level of CEO compensation at the Compensation Peer Group companies and considered other factors, such as CEO tenure and the relative complexity of Honeywell’s multi-industry business profile. Mr. Kapur’s initial total direct compensation opportunity was set below the median of the Compensation Peer Group CEOs.</w:t>
      </w:r>
    </w:p>
    <w:p>
      <w:pPr>
        <w:spacing w:after="0" w:line="24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2023 BASE SALARY DECISIONS</w:t>
      </w:r>
    </w:p>
    <w:p>
      <w:pPr>
        <w:spacing w:after="0" w:line="12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In 2023, the MDCC approved base salary actions for each NEO based on an assessment of performance and pay positioning against comparable positions in Compensation Peer Group companies.</w:t>
      </w:r>
    </w:p>
    <w:p>
      <w:pPr>
        <w:spacing w:after="0" w:line="2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Coincident with his promotion to Chief Executive Officer on June 1, 2023, Mr. Kapur's base salary was increased to $1,500,000 (from $1,000,000) to better align his pay with comparable CEOs.</w:t>
      </w:r>
    </w:p>
    <w:p>
      <w:pPr>
        <w:spacing w:after="0" w:line="34"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Effective March 31, 2023, Mr. Lewis' base salary was adjusted upward by 10% to recognize sustained performance and the broad scope of his role in a complex global organization and to better align his base pay and total cash compensation with comparable CFOs at Compensation Peer Group companies.</w:t>
      </w:r>
    </w:p>
    <w:p>
      <w:pPr>
        <w:spacing w:after="0" w:line="20"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Effective March 31, 2023, Ms. Madden's base salary was increased by 3.5% to maintain her positioning and alignment with comparable peer company General Counsels.</w:t>
      </w:r>
    </w:p>
    <w:p>
      <w:pPr>
        <w:spacing w:after="0" w:line="34"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Coincident with his promotion to President and CEO, Aerospace in August, Mr. Currier's base salary was increased to $720,000 to align his pay with comparable business unit CEOs.</w:t>
      </w:r>
    </w:p>
    <w:p>
      <w:pPr>
        <w:spacing w:after="0" w:line="34"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Effective June 1, 2023, Mr. Adamczyk's base salary was reduced by 25% (from $1,700,000 to $1,275,000) when he transitioned from the position of Chairman and CEO, to the position of Executive Chairman of the Board.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Mr. Boldea did not receive a base pay adjustment in 2023.</w:t>
      </w:r>
    </w:p>
    <w:p>
      <w:pPr>
        <w:spacing w:after="0" w:line="10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part of the Company's cost saving initiatives, and at the request of management, the base salaries for Mr. Kapur and his staff (including the Other NEOs) were temporarily reduced by 10% from August 7, 2023 through December 31, 2023 (roughly equivalent to two weeks of annual base salary).</w:t>
      </w:r>
    </w:p>
    <w:p>
      <w:pPr>
        <w:spacing w:after="0" w:line="23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2023 ANNUAL INCENTIVE COMPENSATION PLAN DECISIONS</w:t>
      </w:r>
    </w:p>
    <w:p>
      <w:pPr>
        <w:spacing w:after="0" w:line="14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As prescribed in Honeywell's ICP program, 80% of the ICP awards earned by the NEOs was determined based on performance against financial targets established by the MDCC in early February 2023 (based on the mid-point of external guidance), 15% of the awards was determined based on the MDCC’s qualitative assessment of individual 2023 performance against objectives and their significant accomplishments (described beginning on page 63), and 5% of the awards was determined based on the MDCC's assessment of performance against ESG goals set for 2023. The potential attainment percentage for each of the formulaic, individual qualitative, and ESG portions of the award could range from 0% to 200% of target.</w:t>
      </w:r>
    </w:p>
    <w:p>
      <w:pPr>
        <w:spacing w:after="0" w:line="5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Individual 2023 ICP target amounts for the NEOs were determined by multiplying their 2023 ICP applicable base salary by their individual ICP target award percentage.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Individual ICP target award percentages for 2023 were:</w:t>
      </w:r>
    </w:p>
    <w:p>
      <w:pPr>
        <w:spacing w:after="0" w:line="100" w:lineRule="exact"/>
        <w:rPr>
          <w:sz w:val="20"/>
          <w:szCs w:val="20"/>
          <w:color w:val="auto"/>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Mr. Kapur: 154.3% (represents a proration of his current 175% ICP target and his prior target of 125%).</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Mr. Adamczyk: 161.3% (represents a proration of his current 152% target and his prior target of 175%).</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35"/>
        </w:numPr>
        <w:rPr>
          <w:rFonts w:ascii="Arial" w:cs="Arial" w:eastAsia="Arial" w:hAnsi="Arial"/>
          <w:sz w:val="16"/>
          <w:szCs w:val="16"/>
          <w:b w:val="1"/>
          <w:bCs w:val="1"/>
          <w:color w:val="D7282F"/>
        </w:rPr>
      </w:pPr>
      <w:r>
        <w:rPr>
          <w:rFonts w:ascii="Arial" w:cs="Arial" w:eastAsia="Arial" w:hAnsi="Arial"/>
          <w:sz w:val="16"/>
          <w:szCs w:val="16"/>
          <w:color w:val="auto"/>
        </w:rPr>
        <w:t>Other NEOs: 100%.</w:t>
      </w:r>
    </w:p>
    <w:p>
      <w:pPr>
        <w:spacing w:after="0" w:line="11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changes in individual ICP targets for Mr. Kapur and Mr. Adamczyk were approved by the MDCC and the independent directors, effective June 1, 2023, coincident with the CEO transition.</w:t>
      </w:r>
    </w:p>
    <w:p>
      <w:pPr>
        <w:spacing w:after="0" w:line="7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sz w:val="1"/>
          <w:szCs w:val="1"/>
          <w:color w:val="auto"/>
        </w:rPr>
        <w:drawing>
          <wp:inline distT="0" distB="0" distL="0" distR="0">
            <wp:extent cx="548640" cy="10287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ICP FORMULAIC PORTION (80% OF TARGET AWARD)</w:t>
      </w:r>
    </w:p>
    <w:p>
      <w:pPr>
        <w:spacing w:after="0" w:line="12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following table describes each of the financial ICP metrics and the relative weighting percentage for each metric that is included in the formulaic portion of the ICP payout (i.e., 80%) for each NEO.</w:t>
      </w:r>
    </w:p>
    <w:p>
      <w:pPr>
        <w:spacing w:after="0" w:line="33"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For Messrs. Kapur, Adamczyk, and Lewis and Ms. Madden (Corporate NEOs), the formulaic portion of their ICP award was based entirely on company-wide (Total Honeywell) adjusted EPS and free cash flow. For Messrs. Boldea and Currier (Business Unit NEOs), in addition to Total Honeywell adjusted EPS and free cash flow, the MDCC also established business unit targets, which were given equal weighting in the ICP formulaic calculation.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2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ICP Weighting</w:t>
            </w:r>
          </w:p>
        </w:tc>
      </w:tr>
      <w:tr>
        <w:trPr>
          <w:trHeight w:val="205"/>
        </w:trPr>
        <w:tc>
          <w:tcPr>
            <w:tcW w:w="20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(Formulaic)</w:t>
            </w:r>
          </w:p>
        </w:tc>
        <w:tc>
          <w:tcPr>
            <w:tcW w:w="720" w:type="dxa"/>
            <w:vAlign w:val="bottom"/>
            <w:tcBorders>
              <w:bottom w:val="single" w:sz="8" w:color="D7282F"/>
            </w:tcBorders>
          </w:tcPr>
          <w:p>
            <w:pPr>
              <w:spacing w:after="0"/>
              <w:rPr>
                <w:sz w:val="17"/>
                <w:szCs w:val="17"/>
                <w:color w:val="auto"/>
              </w:rPr>
            </w:pPr>
          </w:p>
        </w:tc>
      </w:tr>
      <w:tr>
        <w:trPr>
          <w:trHeight w:val="193"/>
        </w:trPr>
        <w:tc>
          <w:tcPr>
            <w:tcW w:w="20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520" w:type="dxa"/>
            <w:vAlign w:val="bottom"/>
          </w:tcPr>
          <w:p>
            <w:pPr>
              <w:jc w:val="right"/>
              <w:ind w:right="348"/>
              <w:spacing w:after="0"/>
              <w:rPr>
                <w:sz w:val="20"/>
                <w:szCs w:val="20"/>
                <w:color w:val="auto"/>
              </w:rPr>
            </w:pPr>
            <w:r>
              <w:rPr>
                <w:rFonts w:ascii="Arial" w:cs="Arial" w:eastAsia="Arial" w:hAnsi="Arial"/>
                <w:sz w:val="14"/>
                <w:szCs w:val="14"/>
                <w:b w:val="1"/>
                <w:bCs w:val="1"/>
                <w:color w:val="auto"/>
              </w:rPr>
              <w:t>Corporate</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Business</w:t>
            </w:r>
          </w:p>
        </w:tc>
      </w:tr>
      <w:tr>
        <w:trPr>
          <w:trHeight w:val="205"/>
        </w:trPr>
        <w:tc>
          <w:tcPr>
            <w:tcW w:w="2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Metric</w:t>
            </w:r>
          </w:p>
        </w:tc>
        <w:tc>
          <w:tcPr>
            <w:tcW w:w="696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Significance</w:t>
            </w:r>
          </w:p>
        </w:tc>
        <w:tc>
          <w:tcPr>
            <w:tcW w:w="15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NEOs</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Unit NEOs</w:t>
            </w:r>
          </w:p>
        </w:tc>
      </w:tr>
      <w:tr>
        <w:trPr>
          <w:trHeight w:val="193"/>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Adjusted Honeywell EPS</w:t>
            </w:r>
          </w:p>
        </w:tc>
        <w:tc>
          <w:tcPr>
            <w:tcW w:w="6960" w:type="dxa"/>
            <w:vAlign w:val="bottom"/>
          </w:tcPr>
          <w:p>
            <w:pPr>
              <w:ind w:left="200"/>
              <w:spacing w:after="0"/>
              <w:rPr>
                <w:sz w:val="20"/>
                <w:szCs w:val="20"/>
                <w:color w:val="auto"/>
              </w:rPr>
            </w:pPr>
            <w:r>
              <w:rPr>
                <w:rFonts w:ascii="Arial" w:cs="Arial" w:eastAsia="Arial" w:hAnsi="Arial"/>
                <w:sz w:val="14"/>
                <w:szCs w:val="14"/>
                <w:color w:val="auto"/>
              </w:rPr>
              <w:t>Viewed as the most important measure of near-term profitability that has a direct impact on stock price</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50 %</w:t>
            </w:r>
          </w:p>
        </w:tc>
        <w:tc>
          <w:tcPr>
            <w:tcW w:w="72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190"/>
        </w:trPr>
        <w:tc>
          <w:tcPr>
            <w:tcW w:w="2020" w:type="dxa"/>
            <w:vAlign w:val="bottom"/>
          </w:tcPr>
          <w:p>
            <w:pPr>
              <w:spacing w:after="0"/>
              <w:rPr>
                <w:sz w:val="16"/>
                <w:szCs w:val="16"/>
                <w:color w:val="auto"/>
              </w:rPr>
            </w:pPr>
          </w:p>
        </w:tc>
        <w:tc>
          <w:tcPr>
            <w:tcW w:w="6960" w:type="dxa"/>
            <w:vAlign w:val="bottom"/>
          </w:tcPr>
          <w:p>
            <w:pPr>
              <w:ind w:left="200"/>
              <w:spacing w:after="0"/>
              <w:rPr>
                <w:sz w:val="20"/>
                <w:szCs w:val="20"/>
                <w:color w:val="auto"/>
              </w:rPr>
            </w:pPr>
            <w:r>
              <w:rPr>
                <w:rFonts w:ascii="Arial" w:cs="Arial" w:eastAsia="Arial" w:hAnsi="Arial"/>
                <w:sz w:val="14"/>
                <w:szCs w:val="14"/>
                <w:color w:val="auto"/>
              </w:rPr>
              <w:t>and shareowner value creation.</w:t>
            </w:r>
          </w:p>
        </w:tc>
        <w:tc>
          <w:tcPr>
            <w:tcW w:w="15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
        </w:trPr>
        <w:tc>
          <w:tcPr>
            <w:tcW w:w="2020" w:type="dxa"/>
            <w:vAlign w:val="bottom"/>
            <w:tcBorders>
              <w:bottom w:val="single" w:sz="8" w:color="939598"/>
            </w:tcBorders>
          </w:tcPr>
          <w:p>
            <w:pPr>
              <w:spacing w:after="0" w:line="20" w:lineRule="exact"/>
              <w:rPr>
                <w:sz w:val="1"/>
                <w:szCs w:val="1"/>
                <w:color w:val="auto"/>
              </w:rPr>
            </w:pPr>
          </w:p>
        </w:tc>
        <w:tc>
          <w:tcPr>
            <w:tcW w:w="696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r>
      <w:tr>
        <w:trPr>
          <w:trHeight w:val="187"/>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Business Unit Metric 1:</w:t>
            </w:r>
          </w:p>
        </w:tc>
        <w:tc>
          <w:tcPr>
            <w:tcW w:w="6960" w:type="dxa"/>
            <w:vAlign w:val="bottom"/>
          </w:tcPr>
          <w:p>
            <w:pPr>
              <w:ind w:left="200"/>
              <w:spacing w:after="0"/>
              <w:rPr>
                <w:sz w:val="20"/>
                <w:szCs w:val="20"/>
                <w:color w:val="auto"/>
              </w:rPr>
            </w:pPr>
            <w:r>
              <w:rPr>
                <w:rFonts w:ascii="Arial" w:cs="Arial" w:eastAsia="Arial" w:hAnsi="Arial"/>
                <w:sz w:val="14"/>
                <w:szCs w:val="14"/>
                <w:color w:val="auto"/>
              </w:rPr>
              <w:t>Business unit measure of near-term profitability and contribution to overall Company performance.</w:t>
            </w:r>
          </w:p>
        </w:tc>
        <w:tc>
          <w:tcPr>
            <w:tcW w:w="152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05"/>
        </w:trPr>
        <w:tc>
          <w:tcPr>
            <w:tcW w:w="20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Income Contribution</w:t>
            </w:r>
          </w:p>
        </w:tc>
        <w:tc>
          <w:tcPr>
            <w:tcW w:w="6960" w:type="dxa"/>
            <w:vAlign w:val="bottom"/>
            <w:tcBorders>
              <w:bottom w:val="single" w:sz="8" w:color="939598"/>
            </w:tcBorders>
          </w:tcPr>
          <w:p>
            <w:pPr>
              <w:spacing w:after="0"/>
              <w:rPr>
                <w:sz w:val="17"/>
                <w:szCs w:val="17"/>
                <w:color w:val="auto"/>
              </w:rPr>
            </w:pPr>
          </w:p>
        </w:tc>
        <w:tc>
          <w:tcPr>
            <w:tcW w:w="152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r>
      <w:tr>
        <w:trPr>
          <w:trHeight w:val="193"/>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Total Honeywell Free Cash</w:t>
            </w:r>
          </w:p>
        </w:tc>
        <w:tc>
          <w:tcPr>
            <w:tcW w:w="6960" w:type="dxa"/>
            <w:vAlign w:val="bottom"/>
          </w:tcPr>
          <w:p>
            <w:pPr>
              <w:ind w:left="200"/>
              <w:spacing w:after="0"/>
              <w:rPr>
                <w:sz w:val="20"/>
                <w:szCs w:val="20"/>
                <w:color w:val="auto"/>
              </w:rPr>
            </w:pPr>
            <w:r>
              <w:rPr>
                <w:rFonts w:ascii="Arial" w:cs="Arial" w:eastAsia="Arial" w:hAnsi="Arial"/>
                <w:sz w:val="14"/>
                <w:szCs w:val="14"/>
                <w:color w:val="auto"/>
              </w:rPr>
              <w:t>Reflects quality of earnings and incremental cash generated from operations that may be reinvested in</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50 %</w:t>
            </w:r>
          </w:p>
        </w:tc>
        <w:tc>
          <w:tcPr>
            <w:tcW w:w="72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175"/>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Flow</w:t>
            </w:r>
          </w:p>
        </w:tc>
        <w:tc>
          <w:tcPr>
            <w:tcW w:w="6960" w:type="dxa"/>
            <w:vAlign w:val="bottom"/>
          </w:tcPr>
          <w:p>
            <w:pPr>
              <w:ind w:left="200"/>
              <w:spacing w:after="0"/>
              <w:rPr>
                <w:sz w:val="20"/>
                <w:szCs w:val="20"/>
                <w:color w:val="auto"/>
              </w:rPr>
            </w:pPr>
            <w:r>
              <w:rPr>
                <w:rFonts w:ascii="Arial" w:cs="Arial" w:eastAsia="Arial" w:hAnsi="Arial"/>
                <w:sz w:val="14"/>
                <w:szCs w:val="14"/>
                <w:color w:val="auto"/>
              </w:rPr>
              <w:t>our businesses, used to make acquisitions, or returned to shareowners in the form of dividends or share</w:t>
            </w:r>
          </w:p>
        </w:tc>
        <w:tc>
          <w:tcPr>
            <w:tcW w:w="1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4"/>
        </w:trPr>
        <w:tc>
          <w:tcPr>
            <w:tcW w:w="2020" w:type="dxa"/>
            <w:vAlign w:val="bottom"/>
            <w:tcBorders>
              <w:bottom w:val="single" w:sz="8" w:color="939598"/>
            </w:tcBorders>
          </w:tcPr>
          <w:p>
            <w:pPr>
              <w:spacing w:after="0"/>
              <w:rPr>
                <w:sz w:val="16"/>
                <w:szCs w:val="16"/>
                <w:color w:val="auto"/>
              </w:rPr>
            </w:pPr>
          </w:p>
        </w:tc>
        <w:tc>
          <w:tcPr>
            <w:tcW w:w="6960" w:type="dxa"/>
            <w:vAlign w:val="bottom"/>
            <w:tcBorders>
              <w:bottom w:val="single" w:sz="8" w:color="939598"/>
            </w:tcBorders>
          </w:tcPr>
          <w:p>
            <w:pPr>
              <w:ind w:left="200"/>
              <w:spacing w:after="0"/>
              <w:rPr>
                <w:sz w:val="20"/>
                <w:szCs w:val="20"/>
                <w:color w:val="auto"/>
              </w:rPr>
            </w:pPr>
            <w:r>
              <w:rPr>
                <w:rFonts w:ascii="Arial" w:cs="Arial" w:eastAsia="Arial" w:hAnsi="Arial"/>
                <w:sz w:val="14"/>
                <w:szCs w:val="14"/>
                <w:color w:val="auto"/>
              </w:rPr>
              <w:t>repurchases.</w:t>
            </w:r>
          </w:p>
        </w:tc>
        <w:tc>
          <w:tcPr>
            <w:tcW w:w="1520" w:type="dxa"/>
            <w:vAlign w:val="bottom"/>
            <w:tcBorders>
              <w:bottom w:val="single" w:sz="8" w:color="939598"/>
            </w:tcBorders>
          </w:tcPr>
          <w:p>
            <w:pPr>
              <w:spacing w:after="0"/>
              <w:rPr>
                <w:sz w:val="16"/>
                <w:szCs w:val="16"/>
                <w:color w:val="auto"/>
              </w:rPr>
            </w:pPr>
          </w:p>
        </w:tc>
        <w:tc>
          <w:tcPr>
            <w:tcW w:w="720" w:type="dxa"/>
            <w:vAlign w:val="bottom"/>
            <w:tcBorders>
              <w:bottom w:val="single" w:sz="8" w:color="939598"/>
            </w:tcBorders>
          </w:tcPr>
          <w:p>
            <w:pPr>
              <w:spacing w:after="0"/>
              <w:rPr>
                <w:sz w:val="16"/>
                <w:szCs w:val="16"/>
                <w:color w:val="auto"/>
              </w:rPr>
            </w:pPr>
          </w:p>
        </w:tc>
      </w:tr>
      <w:tr>
        <w:trPr>
          <w:trHeight w:val="191"/>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Business Unit Metric 2:</w:t>
            </w:r>
          </w:p>
        </w:tc>
        <w:tc>
          <w:tcPr>
            <w:tcW w:w="6960" w:type="dxa"/>
            <w:vAlign w:val="bottom"/>
          </w:tcPr>
          <w:p>
            <w:pPr>
              <w:ind w:left="200"/>
              <w:spacing w:after="0"/>
              <w:rPr>
                <w:sz w:val="20"/>
                <w:szCs w:val="20"/>
                <w:color w:val="auto"/>
              </w:rPr>
            </w:pPr>
            <w:r>
              <w:rPr>
                <w:rFonts w:ascii="Arial" w:cs="Arial" w:eastAsia="Arial" w:hAnsi="Arial"/>
                <w:sz w:val="14"/>
                <w:szCs w:val="14"/>
                <w:color w:val="auto"/>
              </w:rPr>
              <w:t>Business unit contribution to overall Company free cash flow performance.</w:t>
            </w:r>
          </w:p>
        </w:tc>
        <w:tc>
          <w:tcPr>
            <w:tcW w:w="152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205"/>
        </w:trPr>
        <w:tc>
          <w:tcPr>
            <w:tcW w:w="20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Free Cash Flow</w:t>
            </w:r>
          </w:p>
        </w:tc>
        <w:tc>
          <w:tcPr>
            <w:tcW w:w="6960" w:type="dxa"/>
            <w:vAlign w:val="bottom"/>
            <w:tcBorders>
              <w:bottom w:val="single" w:sz="8" w:color="939598"/>
            </w:tcBorders>
          </w:tcPr>
          <w:p>
            <w:pPr>
              <w:spacing w:after="0"/>
              <w:rPr>
                <w:sz w:val="17"/>
                <w:szCs w:val="17"/>
                <w:color w:val="auto"/>
              </w:rPr>
            </w:pPr>
          </w:p>
        </w:tc>
        <w:tc>
          <w:tcPr>
            <w:tcW w:w="1520" w:type="dxa"/>
            <w:vAlign w:val="bottom"/>
            <w:tcBorders>
              <w:bottom w:val="single" w:sz="8" w:color="939598"/>
            </w:tcBorders>
          </w:tcPr>
          <w:p>
            <w:pPr>
              <w:spacing w:after="0"/>
              <w:rPr>
                <w:sz w:val="17"/>
                <w:szCs w:val="17"/>
                <w:color w:val="auto"/>
              </w:rPr>
            </w:pPr>
          </w:p>
        </w:tc>
        <w:tc>
          <w:tcPr>
            <w:tcW w:w="720" w:type="dxa"/>
            <w:vAlign w:val="bottom"/>
            <w:tcBorders>
              <w:bottom w:val="single" w:sz="8" w:color="939598"/>
            </w:tcBorders>
          </w:tcPr>
          <w:p>
            <w:pPr>
              <w:spacing w:after="0"/>
              <w:rPr>
                <w:sz w:val="17"/>
                <w:szCs w:val="17"/>
                <w:color w:val="auto"/>
              </w:rPr>
            </w:pPr>
          </w:p>
        </w:tc>
      </w:tr>
      <w:tr>
        <w:trPr>
          <w:trHeight w:val="223"/>
        </w:trPr>
        <w:tc>
          <w:tcPr>
            <w:tcW w:w="2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w:t>
            </w:r>
          </w:p>
        </w:tc>
        <w:tc>
          <w:tcPr>
            <w:tcW w:w="6960" w:type="dxa"/>
            <w:vAlign w:val="bottom"/>
            <w:tcBorders>
              <w:bottom w:val="single" w:sz="8" w:color="D7282F"/>
            </w:tcBorders>
          </w:tcPr>
          <w:p>
            <w:pPr>
              <w:spacing w:after="0"/>
              <w:rPr>
                <w:sz w:val="19"/>
                <w:szCs w:val="19"/>
                <w:color w:val="auto"/>
              </w:rPr>
            </w:pPr>
          </w:p>
        </w:tc>
        <w:tc>
          <w:tcPr>
            <w:tcW w:w="15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100 %</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100 %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2023 ICP GOALS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For 2023, the Total Honeywell ICP targets for adjusted EPS and free cash flow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175260</wp:posOffset>
            </wp:positionV>
            <wp:extent cx="1877060" cy="110553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877060" cy="110553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2022 ICP</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b w:val="1"/>
                <w:bCs w:val="1"/>
                <w:color w:val="auto"/>
              </w:rPr>
              <w:t>Goal Actual</w:t>
            </w:r>
          </w:p>
        </w:tc>
        <w:tc>
          <w:tcPr>
            <w:tcW w:w="1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2023 Goal v.</w:t>
            </w: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7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ICP Goal</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Performance</w:t>
            </w:r>
          </w:p>
        </w:tc>
        <w:tc>
          <w:tcPr>
            <w:tcW w:w="13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 ICP Goal</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2022 Actual</w:t>
            </w:r>
          </w:p>
        </w:tc>
        <w:tc>
          <w:tcPr>
            <w:tcW w:w="25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Basis for 2023 Goals</w:t>
            </w:r>
          </w:p>
        </w:tc>
        <w:tc>
          <w:tcPr>
            <w:tcW w:w="0" w:type="dxa"/>
            <w:vAlign w:val="bottom"/>
          </w:tcPr>
          <w:p>
            <w:pPr>
              <w:spacing w:after="0"/>
              <w:rPr>
                <w:sz w:val="1"/>
                <w:szCs w:val="1"/>
                <w:color w:val="auto"/>
              </w:rPr>
            </w:pPr>
          </w:p>
        </w:tc>
      </w:tr>
      <w:tr>
        <w:trPr>
          <w:trHeight w:val="180"/>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Adjusted EPS</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1360" w:type="dxa"/>
            <w:vAlign w:val="bottom"/>
          </w:tcPr>
          <w:p>
            <w:pPr>
              <w:jc w:val="right"/>
              <w:ind w:right="68"/>
              <w:spacing w:after="0"/>
              <w:rPr>
                <w:sz w:val="20"/>
                <w:szCs w:val="20"/>
                <w:color w:val="auto"/>
              </w:rPr>
            </w:pPr>
            <w:r>
              <w:rPr>
                <w:rFonts w:ascii="Arial" w:cs="Arial" w:eastAsia="Arial" w:hAnsi="Arial"/>
                <w:sz w:val="14"/>
                <w:szCs w:val="14"/>
                <w:color w:val="auto"/>
              </w:rPr>
              <w:t>$9.00</w:t>
            </w:r>
          </w:p>
        </w:tc>
        <w:tc>
          <w:tcPr>
            <w:tcW w:w="1220" w:type="dxa"/>
            <w:vAlign w:val="bottom"/>
          </w:tcPr>
          <w:p>
            <w:pPr>
              <w:jc w:val="right"/>
              <w:spacing w:after="0"/>
              <w:rPr>
                <w:sz w:val="20"/>
                <w:szCs w:val="20"/>
                <w:color w:val="auto"/>
              </w:rPr>
            </w:pPr>
            <w:r>
              <w:rPr>
                <w:rFonts w:ascii="Arial" w:cs="Arial" w:eastAsia="Arial" w:hAnsi="Arial"/>
                <w:sz w:val="14"/>
                <w:szCs w:val="14"/>
                <w:color w:val="auto"/>
              </w:rPr>
              <w:t>2.7 %</w:t>
            </w:r>
          </w:p>
        </w:tc>
        <w:tc>
          <w:tcPr>
            <w:tcW w:w="2580" w:type="dxa"/>
            <w:vAlign w:val="bottom"/>
          </w:tcPr>
          <w:p>
            <w:pPr>
              <w:ind w:left="140"/>
              <w:spacing w:after="0"/>
              <w:rPr>
                <w:sz w:val="20"/>
                <w:szCs w:val="20"/>
                <w:color w:val="auto"/>
              </w:rPr>
            </w:pPr>
            <w:r>
              <w:rPr>
                <w:rFonts w:ascii="Arial" w:cs="Arial" w:eastAsia="Arial" w:hAnsi="Arial"/>
                <w:sz w:val="14"/>
                <w:szCs w:val="14"/>
                <w:color w:val="auto"/>
              </w:rPr>
              <w:t>Midpoint of initial guidance range</w:t>
            </w:r>
          </w:p>
        </w:tc>
        <w:tc>
          <w:tcPr>
            <w:tcW w:w="0" w:type="dxa"/>
            <w:vAlign w:val="bottom"/>
          </w:tcPr>
          <w:p>
            <w:pPr>
              <w:spacing w:after="0"/>
              <w:rPr>
                <w:sz w:val="1"/>
                <w:szCs w:val="1"/>
                <w:color w:val="auto"/>
              </w:rPr>
            </w:pPr>
          </w:p>
        </w:tc>
      </w:tr>
      <w:tr>
        <w:trPr>
          <w:trHeight w:val="50"/>
        </w:trPr>
        <w:tc>
          <w:tcPr>
            <w:tcW w:w="1760" w:type="dxa"/>
            <w:vAlign w:val="bottom"/>
            <w:tcBorders>
              <w:bottom w:val="single" w:sz="8" w:color="939598"/>
            </w:tcBorders>
          </w:tcPr>
          <w:p>
            <w:pPr>
              <w:spacing w:after="0"/>
              <w:rPr>
                <w:sz w:val="4"/>
                <w:szCs w:val="4"/>
                <w:color w:val="auto"/>
              </w:rPr>
            </w:pPr>
          </w:p>
        </w:tc>
        <w:tc>
          <w:tcPr>
            <w:tcW w:w="1220" w:type="dxa"/>
            <w:vAlign w:val="bottom"/>
            <w:tcBorders>
              <w:bottom w:val="single" w:sz="8" w:color="939598"/>
            </w:tcBorders>
          </w:tcPr>
          <w:p>
            <w:pPr>
              <w:spacing w:after="0"/>
              <w:rPr>
                <w:sz w:val="4"/>
                <w:szCs w:val="4"/>
                <w:color w:val="auto"/>
              </w:rPr>
            </w:pPr>
          </w:p>
        </w:tc>
        <w:tc>
          <w:tcPr>
            <w:tcW w:w="1360" w:type="dxa"/>
            <w:vAlign w:val="bottom"/>
            <w:tcBorders>
              <w:bottom w:val="single" w:sz="8" w:color="939598"/>
            </w:tcBorders>
          </w:tcPr>
          <w:p>
            <w:pPr>
              <w:spacing w:after="0"/>
              <w:rPr>
                <w:sz w:val="4"/>
                <w:szCs w:val="4"/>
                <w:color w:val="auto"/>
              </w:rPr>
            </w:pPr>
          </w:p>
        </w:tc>
        <w:tc>
          <w:tcPr>
            <w:tcW w:w="1220" w:type="dxa"/>
            <w:vAlign w:val="bottom"/>
            <w:tcBorders>
              <w:bottom w:val="single" w:sz="8" w:color="939598"/>
            </w:tcBorders>
          </w:tcPr>
          <w:p>
            <w:pPr>
              <w:spacing w:after="0"/>
              <w:rPr>
                <w:sz w:val="4"/>
                <w:szCs w:val="4"/>
                <w:color w:val="auto"/>
              </w:rPr>
            </w:pPr>
          </w:p>
        </w:tc>
        <w:tc>
          <w:tcPr>
            <w:tcW w:w="2580" w:type="dxa"/>
            <w:vAlign w:val="bottom"/>
            <w:vMerge w:val="restart"/>
          </w:tcPr>
          <w:p>
            <w:pPr>
              <w:ind w:left="140"/>
              <w:spacing w:after="0"/>
              <w:rPr>
                <w:sz w:val="20"/>
                <w:szCs w:val="20"/>
                <w:color w:val="auto"/>
              </w:rPr>
            </w:pPr>
            <w:r>
              <w:rPr>
                <w:rFonts w:ascii="Arial" w:cs="Arial" w:eastAsia="Arial" w:hAnsi="Arial"/>
                <w:sz w:val="14"/>
                <w:szCs w:val="14"/>
                <w:color w:val="auto"/>
              </w:rPr>
              <w:t>communicated to investors on</w:t>
            </w:r>
          </w:p>
        </w:tc>
        <w:tc>
          <w:tcPr>
            <w:tcW w:w="0" w:type="dxa"/>
            <w:vAlign w:val="bottom"/>
          </w:tcPr>
          <w:p>
            <w:pPr>
              <w:spacing w:after="0"/>
              <w:rPr>
                <w:sz w:val="1"/>
                <w:szCs w:val="1"/>
                <w:color w:val="auto"/>
              </w:rPr>
            </w:pPr>
          </w:p>
        </w:tc>
      </w:tr>
      <w:tr>
        <w:trPr>
          <w:trHeight w:val="155"/>
        </w:trPr>
        <w:tc>
          <w:tcPr>
            <w:tcW w:w="17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Honeywell Free</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$4.92 billion</w:t>
            </w:r>
          </w:p>
        </w:tc>
        <w:tc>
          <w:tcPr>
            <w:tcW w:w="13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$4.10 billion ($5.3B</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(16.7)%</w:t>
            </w:r>
          </w:p>
        </w:tc>
        <w:tc>
          <w:tcPr>
            <w:tcW w:w="2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Cash Flow</w:t>
            </w:r>
          </w:p>
        </w:tc>
        <w:tc>
          <w:tcPr>
            <w:tcW w:w="12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excluding the</w:t>
            </w:r>
          </w:p>
        </w:tc>
        <w:tc>
          <w:tcPr>
            <w:tcW w:w="1220" w:type="dxa"/>
            <w:vAlign w:val="bottom"/>
          </w:tcPr>
          <w:p>
            <w:pPr>
              <w:jc w:val="right"/>
              <w:spacing w:after="0"/>
              <w:rPr>
                <w:sz w:val="20"/>
                <w:szCs w:val="20"/>
                <w:color w:val="auto"/>
              </w:rPr>
            </w:pPr>
            <w:r>
              <w:rPr>
                <w:rFonts w:ascii="Arial" w:cs="Arial" w:eastAsia="Arial" w:hAnsi="Arial"/>
                <w:sz w:val="14"/>
                <w:szCs w:val="14"/>
                <w:color w:val="auto"/>
              </w:rPr>
              <w:t>(+7.7% excluding</w:t>
            </w:r>
          </w:p>
        </w:tc>
        <w:tc>
          <w:tcPr>
            <w:tcW w:w="2580" w:type="dxa"/>
            <w:vAlign w:val="bottom"/>
          </w:tcPr>
          <w:p>
            <w:pPr>
              <w:ind w:left="140"/>
              <w:spacing w:after="0"/>
              <w:rPr>
                <w:sz w:val="20"/>
                <w:szCs w:val="20"/>
                <w:color w:val="auto"/>
              </w:rPr>
            </w:pPr>
            <w:r>
              <w:rPr>
                <w:rFonts w:ascii="Arial" w:cs="Arial" w:eastAsia="Arial" w:hAnsi="Arial"/>
                <w:sz w:val="14"/>
                <w:szCs w:val="14"/>
                <w:color w:val="auto"/>
              </w:rPr>
              <w:t>February 2, 2023 (Guidance Range)</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impact of</w:t>
            </w:r>
          </w:p>
        </w:tc>
        <w:tc>
          <w:tcPr>
            <w:tcW w:w="1220" w:type="dxa"/>
            <w:vAlign w:val="bottom"/>
          </w:tcPr>
          <w:p>
            <w:pPr>
              <w:jc w:val="right"/>
              <w:spacing w:after="0"/>
              <w:rPr>
                <w:sz w:val="20"/>
                <w:szCs w:val="20"/>
                <w:color w:val="auto"/>
              </w:rPr>
            </w:pPr>
            <w:r>
              <w:rPr>
                <w:rFonts w:ascii="Arial" w:cs="Arial" w:eastAsia="Arial" w:hAnsi="Arial"/>
                <w:sz w:val="14"/>
                <w:szCs w:val="14"/>
                <w:color w:val="auto"/>
              </w:rPr>
              <w:t>the impact of</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settlements)</w:t>
            </w:r>
          </w:p>
        </w:tc>
        <w:tc>
          <w:tcPr>
            <w:tcW w:w="1220" w:type="dxa"/>
            <w:vAlign w:val="bottom"/>
          </w:tcPr>
          <w:p>
            <w:pPr>
              <w:jc w:val="right"/>
              <w:spacing w:after="0"/>
              <w:rPr>
                <w:sz w:val="20"/>
                <w:szCs w:val="20"/>
                <w:color w:val="auto"/>
              </w:rPr>
            </w:pPr>
            <w:r>
              <w:rPr>
                <w:rFonts w:ascii="Arial" w:cs="Arial" w:eastAsia="Arial" w:hAnsi="Arial"/>
                <w:sz w:val="14"/>
                <w:szCs w:val="14"/>
                <w:color w:val="auto"/>
              </w:rPr>
              <w:t>settlements)</w:t>
            </w: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516064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r>
      <w:tr>
        <w:trPr>
          <w:trHeight w:val="175"/>
        </w:trPr>
        <w:tc>
          <w:tcPr>
            <w:tcW w:w="1520" w:type="dxa"/>
            <w:vAlign w:val="bottom"/>
          </w:tcPr>
          <w:p>
            <w:pPr>
              <w:jc w:val="right"/>
              <w:ind w:right="108"/>
              <w:spacing w:after="0"/>
              <w:rPr>
                <w:sz w:val="20"/>
                <w:szCs w:val="20"/>
                <w:color w:val="auto"/>
              </w:rPr>
            </w:pPr>
            <w:r>
              <w:rPr>
                <w:rFonts w:ascii="Arial" w:cs="Arial" w:eastAsia="Arial" w:hAnsi="Arial"/>
                <w:sz w:val="14"/>
                <w:szCs w:val="14"/>
                <w:b w:val="1"/>
                <w:bCs w:val="1"/>
                <w:color w:val="auto"/>
              </w:rPr>
              <w:t>Threshold</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r>
      <w:tr>
        <w:trPr>
          <w:trHeight w:val="205"/>
        </w:trPr>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(50% Payout)</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(200% Payout)</w:t>
            </w:r>
          </w:p>
        </w:tc>
      </w:tr>
      <w:tr>
        <w:trPr>
          <w:trHeight w:val="208"/>
        </w:trPr>
        <w:tc>
          <w:tcPr>
            <w:tcW w:w="1520" w:type="dxa"/>
            <w:vAlign w:val="bottom"/>
          </w:tcPr>
          <w:p>
            <w:pPr>
              <w:jc w:val="right"/>
              <w:ind w:right="168"/>
              <w:spacing w:after="0"/>
              <w:rPr>
                <w:sz w:val="20"/>
                <w:szCs w:val="20"/>
                <w:color w:val="auto"/>
              </w:rPr>
            </w:pPr>
            <w:r>
              <w:rPr>
                <w:rFonts w:ascii="Arial" w:cs="Arial" w:eastAsia="Arial" w:hAnsi="Arial"/>
                <w:sz w:val="14"/>
                <w:szCs w:val="14"/>
                <w:color w:val="auto"/>
              </w:rPr>
              <w:t>$7.20</w:t>
            </w:r>
          </w:p>
        </w:tc>
        <w:tc>
          <w:tcPr>
            <w:tcW w:w="1200" w:type="dxa"/>
            <w:vAlign w:val="bottom"/>
          </w:tcPr>
          <w:p>
            <w:pPr>
              <w:jc w:val="right"/>
              <w:spacing w:after="0"/>
              <w:rPr>
                <w:sz w:val="20"/>
                <w:szCs w:val="20"/>
                <w:color w:val="auto"/>
              </w:rPr>
            </w:pPr>
            <w:r>
              <w:rPr>
                <w:rFonts w:ascii="Arial" w:cs="Arial" w:eastAsia="Arial" w:hAnsi="Arial"/>
                <w:sz w:val="14"/>
                <w:szCs w:val="14"/>
                <w:color w:val="auto"/>
              </w:rPr>
              <w:t>$10.80</w:t>
            </w:r>
          </w:p>
        </w:tc>
      </w:tr>
      <w:tr>
        <w:trPr>
          <w:trHeight w:val="22"/>
        </w:trPr>
        <w:tc>
          <w:tcPr>
            <w:tcW w:w="152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r>
      <w:tr>
        <w:trPr>
          <w:trHeight w:val="201"/>
        </w:trPr>
        <w:tc>
          <w:tcPr>
            <w:tcW w:w="1520" w:type="dxa"/>
            <w:vAlign w:val="bottom"/>
          </w:tcPr>
          <w:p>
            <w:pPr>
              <w:jc w:val="right"/>
              <w:ind w:right="108"/>
              <w:spacing w:after="0"/>
              <w:rPr>
                <w:sz w:val="20"/>
                <w:szCs w:val="20"/>
                <w:color w:val="auto"/>
              </w:rPr>
            </w:pPr>
            <w:r>
              <w:rPr>
                <w:rFonts w:ascii="Arial" w:cs="Arial" w:eastAsia="Arial" w:hAnsi="Arial"/>
                <w:sz w:val="14"/>
                <w:szCs w:val="14"/>
                <w:color w:val="auto"/>
              </w:rPr>
              <w:t>$3.28 billion</w:t>
            </w:r>
          </w:p>
        </w:tc>
        <w:tc>
          <w:tcPr>
            <w:tcW w:w="1200" w:type="dxa"/>
            <w:vAlign w:val="bottom"/>
          </w:tcPr>
          <w:p>
            <w:pPr>
              <w:jc w:val="right"/>
              <w:spacing w:after="0"/>
              <w:rPr>
                <w:sz w:val="20"/>
                <w:szCs w:val="20"/>
                <w:color w:val="auto"/>
              </w:rPr>
            </w:pPr>
            <w:r>
              <w:rPr>
                <w:rFonts w:ascii="Arial" w:cs="Arial" w:eastAsia="Arial" w:hAnsi="Arial"/>
                <w:sz w:val="14"/>
                <w:szCs w:val="14"/>
                <w:color w:val="auto"/>
              </w:rPr>
              <w:t>$4.92 billion</w:t>
            </w:r>
          </w:p>
        </w:tc>
      </w:tr>
    </w:tbl>
    <w:p>
      <w:pPr>
        <w:spacing w:after="0" w:line="712" w:lineRule="exact"/>
        <w:rPr>
          <w:sz w:val="20"/>
          <w:szCs w:val="20"/>
          <w:color w:val="auto"/>
        </w:rPr>
      </w:pPr>
    </w:p>
    <w:p>
      <w:pPr>
        <w:sectPr>
          <w:pgSz w:w="11900" w:h="16838" w:orient="portrait"/>
          <w:cols w:equalWidth="0" w:num="2">
            <w:col w:w="8140" w:space="260"/>
            <w:col w:w="2840"/>
          </w:cols>
          <w:pgMar w:left="320" w:top="230"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As discussed during the Q4 2022 and 2023 Outlook meeting with investors on February 2, 2023, while the 2023 targets assumed net income growth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between $0.4B million and $0.6B million over 2023, the total free cash flow target is lower than 2022 primarily due to the impact of a one-time charge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$1.2B to settle legacy legal matters. Excluding the impact of the settlement charge, the 2023 free cash flow target would have been $5.3 billion (midpoint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$5.1B to $5.5B range), which represents a 7.7% improvement over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ACTUAL PERFORMANCE AGAINST 2023 ICP GOALS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Corporate NEOs' formulaic payout portion of ICP (80% of ICP) was based on actual 2023 performance against 2023 ICP targets as follows:</w:t>
      </w:r>
    </w:p>
    <w:p>
      <w:pPr>
        <w:spacing w:after="0" w:line="293"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80" w:type="dxa"/>
            <w:vAlign w:val="bottom"/>
          </w:tcPr>
          <w:p>
            <w:pPr>
              <w:jc w:val="right"/>
              <w:ind w:right="168"/>
              <w:spacing w:after="0"/>
              <w:rPr>
                <w:sz w:val="20"/>
                <w:szCs w:val="20"/>
                <w:color w:val="auto"/>
              </w:rPr>
            </w:pPr>
            <w:r>
              <w:rPr>
                <w:rFonts w:ascii="Arial" w:cs="Arial" w:eastAsia="Arial" w:hAnsi="Arial"/>
                <w:sz w:val="14"/>
                <w:szCs w:val="14"/>
                <w:b w:val="1"/>
                <w:bCs w:val="1"/>
                <w:color w:val="auto"/>
              </w:rPr>
              <w:t>Metric</w:t>
            </w: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Corporate</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380" w:type="dxa"/>
            <w:vAlign w:val="bottom"/>
          </w:tcPr>
          <w:p>
            <w:pPr>
              <w:jc w:val="right"/>
              <w:ind w:right="168"/>
              <w:spacing w:after="0" w:line="122" w:lineRule="exact"/>
              <w:rPr>
                <w:sz w:val="20"/>
                <w:szCs w:val="20"/>
                <w:color w:val="auto"/>
              </w:rPr>
            </w:pPr>
            <w:r>
              <w:rPr>
                <w:rFonts w:ascii="Arial" w:cs="Arial" w:eastAsia="Arial" w:hAnsi="Arial"/>
                <w:sz w:val="14"/>
                <w:szCs w:val="14"/>
                <w:b w:val="1"/>
                <w:bCs w:val="1"/>
                <w:color w:val="auto"/>
              </w:rPr>
              <w:t>Payout</w:t>
            </w:r>
          </w:p>
        </w:tc>
        <w:tc>
          <w:tcPr>
            <w:tcW w:w="11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1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ICP Goal</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2023 ICP Goal</w:t>
            </w: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2023 Actual</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Achievement</w:t>
            </w:r>
          </w:p>
        </w:tc>
        <w:tc>
          <w:tcPr>
            <w:tcW w:w="2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2023 Performance</w:t>
            </w:r>
          </w:p>
        </w:tc>
        <w:tc>
          <w:tcPr>
            <w:tcW w:w="1380" w:type="dxa"/>
            <w:vAlign w:val="bottom"/>
          </w:tcPr>
          <w:p>
            <w:pPr>
              <w:jc w:val="right"/>
              <w:ind w:right="168"/>
              <w:spacing w:after="0" w:line="198" w:lineRule="exact"/>
              <w:rPr>
                <w:sz w:val="20"/>
                <w:szCs w:val="20"/>
                <w:color w:val="auto"/>
              </w:rPr>
            </w:pPr>
            <w:r>
              <w:rPr>
                <w:rFonts w:ascii="Arial" w:cs="Arial" w:eastAsia="Arial" w:hAnsi="Arial"/>
                <w:sz w:val="14"/>
                <w:szCs w:val="14"/>
                <w:b w:val="1"/>
                <w:bCs w:val="1"/>
                <w:color w:val="auto"/>
              </w:rPr>
              <w:t>Percentage</w:t>
            </w:r>
            <w:r>
              <w:rPr>
                <w:rFonts w:ascii="Arial" w:cs="Arial" w:eastAsia="Arial" w:hAnsi="Arial"/>
                <w:sz w:val="18"/>
                <w:szCs w:val="18"/>
                <w:b w:val="1"/>
                <w:bCs w:val="1"/>
                <w:color w:val="auto"/>
                <w:vertAlign w:val="superscript"/>
              </w:rPr>
              <w:t>(1)</w:t>
            </w: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NEO</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75"/>
        </w:trPr>
        <w:tc>
          <w:tcPr>
            <w:tcW w:w="1140" w:type="dxa"/>
            <w:vAlign w:val="bottom"/>
            <w:vMerge w:val="continue"/>
          </w:tcPr>
          <w:p>
            <w:pPr>
              <w:spacing w:after="0"/>
              <w:rPr>
                <w:sz w:val="15"/>
                <w:szCs w:val="15"/>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(Target)</w:t>
            </w: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Performance</w:t>
            </w: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27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Weighting</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1140" w:type="dxa"/>
            <w:vAlign w:val="bottom"/>
            <w:tcBorders>
              <w:top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EPS</w:t>
            </w:r>
          </w:p>
        </w:tc>
        <w:tc>
          <w:tcPr>
            <w:tcW w:w="1300" w:type="dxa"/>
            <w:vAlign w:val="bottom"/>
            <w:tcBorders>
              <w:top w:val="single" w:sz="8" w:color="D7282F"/>
            </w:tcBorders>
          </w:tcPr>
          <w:p>
            <w:pPr>
              <w:jc w:val="right"/>
              <w:ind w:right="168"/>
              <w:spacing w:after="0"/>
              <w:rPr>
                <w:sz w:val="20"/>
                <w:szCs w:val="20"/>
                <w:color w:val="auto"/>
              </w:rPr>
            </w:pPr>
            <w:r>
              <w:rPr>
                <w:rFonts w:ascii="Arial" w:cs="Arial" w:eastAsia="Arial" w:hAnsi="Arial"/>
                <w:sz w:val="14"/>
                <w:szCs w:val="14"/>
                <w:color w:val="auto"/>
              </w:rPr>
              <w:t>$9.00</w:t>
            </w:r>
          </w:p>
        </w:tc>
        <w:tc>
          <w:tcPr>
            <w:tcW w:w="1300" w:type="dxa"/>
            <w:vAlign w:val="bottom"/>
            <w:tcBorders>
              <w:top w:val="single" w:sz="8" w:color="D7282F"/>
            </w:tcBorders>
          </w:tcPr>
          <w:p>
            <w:pPr>
              <w:jc w:val="right"/>
              <w:ind w:right="208"/>
              <w:spacing w:after="0"/>
              <w:rPr>
                <w:sz w:val="20"/>
                <w:szCs w:val="20"/>
                <w:color w:val="auto"/>
              </w:rPr>
            </w:pPr>
            <w:r>
              <w:rPr>
                <w:rFonts w:ascii="Arial" w:cs="Arial" w:eastAsia="Arial" w:hAnsi="Arial"/>
                <w:sz w:val="14"/>
                <w:szCs w:val="14"/>
                <w:color w:val="auto"/>
              </w:rPr>
              <w:t>$9.16</w:t>
            </w:r>
          </w:p>
        </w:tc>
        <w:tc>
          <w:tcPr>
            <w:tcW w:w="1200" w:type="dxa"/>
            <w:vAlign w:val="bottom"/>
            <w:tcBorders>
              <w:top w:val="single" w:sz="8" w:color="D7282F"/>
            </w:tcBorders>
          </w:tcPr>
          <w:p>
            <w:pPr>
              <w:jc w:val="right"/>
              <w:ind w:right="8"/>
              <w:spacing w:after="0"/>
              <w:rPr>
                <w:sz w:val="20"/>
                <w:szCs w:val="20"/>
                <w:color w:val="auto"/>
              </w:rPr>
            </w:pPr>
            <w:r>
              <w:rPr>
                <w:rFonts w:ascii="Arial" w:cs="Arial" w:eastAsia="Arial" w:hAnsi="Arial"/>
                <w:sz w:val="14"/>
                <w:szCs w:val="14"/>
                <w:color w:val="auto"/>
              </w:rPr>
              <w:t>101.8 %</w:t>
            </w:r>
          </w:p>
        </w:tc>
        <w:tc>
          <w:tcPr>
            <w:tcW w:w="2700" w:type="dxa"/>
            <w:vAlign w:val="bottom"/>
            <w:tcBorders>
              <w:top w:val="single" w:sz="8" w:color="D7282F"/>
            </w:tcBorders>
          </w:tcPr>
          <w:p>
            <w:pPr>
              <w:ind w:left="60"/>
              <w:spacing w:after="0"/>
              <w:rPr>
                <w:sz w:val="20"/>
                <w:szCs w:val="20"/>
                <w:color w:val="auto"/>
              </w:rPr>
            </w:pPr>
            <w:r>
              <w:rPr>
                <w:rFonts w:ascii="Arial" w:cs="Arial" w:eastAsia="Arial" w:hAnsi="Arial"/>
                <w:sz w:val="14"/>
                <w:szCs w:val="14"/>
                <w:color w:val="auto"/>
              </w:rPr>
              <w:t>Annual Goal set in February 2023</w:t>
            </w:r>
          </w:p>
        </w:tc>
        <w:tc>
          <w:tcPr>
            <w:tcW w:w="1380" w:type="dxa"/>
            <w:vAlign w:val="bottom"/>
            <w:tcBorders>
              <w:top w:val="single" w:sz="8" w:color="D7282F"/>
            </w:tcBorders>
          </w:tcPr>
          <w:p>
            <w:pPr>
              <w:jc w:val="right"/>
              <w:ind w:right="168"/>
              <w:spacing w:after="0"/>
              <w:rPr>
                <w:sz w:val="20"/>
                <w:szCs w:val="20"/>
                <w:color w:val="auto"/>
              </w:rPr>
            </w:pPr>
            <w:r>
              <w:rPr>
                <w:rFonts w:ascii="Arial" w:cs="Arial" w:eastAsia="Arial" w:hAnsi="Arial"/>
                <w:sz w:val="14"/>
                <w:szCs w:val="14"/>
                <w:color w:val="auto"/>
              </w:rPr>
              <w:t>109 %</w:t>
            </w:r>
          </w:p>
        </w:tc>
        <w:tc>
          <w:tcPr>
            <w:tcW w:w="1180" w:type="dxa"/>
            <w:vAlign w:val="bottom"/>
            <w:tcBorders>
              <w:top w:val="single" w:sz="8" w:color="D7282F"/>
            </w:tcBorders>
          </w:tcPr>
          <w:p>
            <w:pPr>
              <w:jc w:val="right"/>
              <w:ind w:right="168"/>
              <w:spacing w:after="0"/>
              <w:rPr>
                <w:sz w:val="20"/>
                <w:szCs w:val="20"/>
                <w:color w:val="auto"/>
              </w:rPr>
            </w:pPr>
            <w:r>
              <w:rPr>
                <w:rFonts w:ascii="Arial" w:cs="Arial" w:eastAsia="Arial" w:hAnsi="Arial"/>
                <w:sz w:val="14"/>
                <w:szCs w:val="14"/>
                <w:color w:val="auto"/>
              </w:rPr>
              <w:t>50 %</w:t>
            </w:r>
          </w:p>
        </w:tc>
        <w:tc>
          <w:tcPr>
            <w:tcW w:w="1040" w:type="dxa"/>
            <w:vAlign w:val="bottom"/>
            <w:tcBorders>
              <w:top w:val="single" w:sz="8" w:color="D7282F"/>
            </w:tcBorders>
          </w:tcPr>
          <w:p>
            <w:pPr>
              <w:jc w:val="right"/>
              <w:spacing w:after="0"/>
              <w:rPr>
                <w:sz w:val="20"/>
                <w:szCs w:val="20"/>
                <w:color w:val="auto"/>
              </w:rPr>
            </w:pPr>
            <w:r>
              <w:rPr>
                <w:rFonts w:ascii="Arial" w:cs="Arial" w:eastAsia="Arial" w:hAnsi="Arial"/>
                <w:sz w:val="14"/>
                <w:szCs w:val="14"/>
                <w:color w:val="auto"/>
              </w:rPr>
              <w:t>54.5 %</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based on midpoint of the Guidance</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Range. Actual performance towards</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the top end of the Guidance Range of</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$8.80 — $9.20.</w:t>
            </w: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4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c>
          <w:tcPr>
            <w:tcW w:w="2700" w:type="dxa"/>
            <w:vAlign w:val="bottom"/>
            <w:tcBorders>
              <w:bottom w:val="single" w:sz="8" w:color="939598"/>
            </w:tcBorders>
          </w:tcPr>
          <w:p>
            <w:pPr>
              <w:spacing w:after="0" w:line="20" w:lineRule="exact"/>
              <w:rPr>
                <w:sz w:val="1"/>
                <w:szCs w:val="1"/>
                <w:color w:val="auto"/>
              </w:rPr>
            </w:pPr>
          </w:p>
        </w:tc>
        <w:tc>
          <w:tcPr>
            <w:tcW w:w="138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$4.10 billion</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$4.30 billion</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104.9 %</w:t>
            </w:r>
          </w:p>
        </w:tc>
        <w:tc>
          <w:tcPr>
            <w:tcW w:w="2700" w:type="dxa"/>
            <w:vAlign w:val="bottom"/>
          </w:tcPr>
          <w:p>
            <w:pPr>
              <w:ind w:left="60"/>
              <w:spacing w:after="0"/>
              <w:rPr>
                <w:sz w:val="20"/>
                <w:szCs w:val="20"/>
                <w:color w:val="auto"/>
              </w:rPr>
            </w:pPr>
            <w:r>
              <w:rPr>
                <w:rFonts w:ascii="Arial" w:cs="Arial" w:eastAsia="Arial" w:hAnsi="Arial"/>
                <w:sz w:val="14"/>
                <w:szCs w:val="14"/>
                <w:color w:val="auto"/>
              </w:rPr>
              <w:t>Annual Goal set in February 2023</w:t>
            </w:r>
          </w:p>
        </w:tc>
        <w:tc>
          <w:tcPr>
            <w:tcW w:w="1380" w:type="dxa"/>
            <w:vAlign w:val="bottom"/>
          </w:tcPr>
          <w:p>
            <w:pPr>
              <w:jc w:val="right"/>
              <w:ind w:right="168"/>
              <w:spacing w:after="0"/>
              <w:rPr>
                <w:sz w:val="20"/>
                <w:szCs w:val="20"/>
                <w:color w:val="auto"/>
              </w:rPr>
            </w:pPr>
            <w:r>
              <w:rPr>
                <w:rFonts w:ascii="Arial" w:cs="Arial" w:eastAsia="Arial" w:hAnsi="Arial"/>
                <w:sz w:val="14"/>
                <w:szCs w:val="14"/>
                <w:color w:val="auto"/>
              </w:rPr>
              <w:t>125 %</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50 %</w:t>
            </w:r>
          </w:p>
        </w:tc>
        <w:tc>
          <w:tcPr>
            <w:tcW w:w="1040" w:type="dxa"/>
            <w:vAlign w:val="bottom"/>
          </w:tcPr>
          <w:p>
            <w:pPr>
              <w:jc w:val="right"/>
              <w:spacing w:after="0"/>
              <w:rPr>
                <w:sz w:val="20"/>
                <w:szCs w:val="20"/>
                <w:color w:val="auto"/>
              </w:rPr>
            </w:pPr>
            <w:r>
              <w:rPr>
                <w:rFonts w:ascii="Arial" w:cs="Arial" w:eastAsia="Arial" w:hAnsi="Arial"/>
                <w:sz w:val="14"/>
                <w:szCs w:val="14"/>
                <w:color w:val="auto"/>
              </w:rPr>
              <w:t>62.3 %</w:t>
            </w:r>
          </w:p>
        </w:tc>
        <w:tc>
          <w:tcPr>
            <w:tcW w:w="0" w:type="dxa"/>
            <w:vAlign w:val="bottom"/>
          </w:tcPr>
          <w:p>
            <w:pPr>
              <w:spacing w:after="0"/>
              <w:rPr>
                <w:sz w:val="1"/>
                <w:szCs w:val="1"/>
                <w:color w:val="auto"/>
              </w:rPr>
            </w:pPr>
          </w:p>
        </w:tc>
      </w:tr>
      <w:tr>
        <w:trPr>
          <w:trHeight w:val="175"/>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Honeywell</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based on midpoint of the Guidance</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Free Cash</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Range. Actual performance at the top</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Flow</w:t>
            </w: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of the Guidance Range of $3.9B —</w:t>
            </w: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Arial" w:cs="Arial" w:eastAsia="Arial" w:hAnsi="Arial"/>
                <w:sz w:val="14"/>
                <w:szCs w:val="14"/>
                <w:color w:val="auto"/>
              </w:rPr>
              <w:t>$4.3B.</w:t>
            </w: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4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c>
          <w:tcPr>
            <w:tcW w:w="1300" w:type="dxa"/>
            <w:vAlign w:val="bottom"/>
            <w:tcBorders>
              <w:bottom w:val="single" w:sz="8" w:color="D7282F"/>
            </w:tcBorders>
          </w:tcPr>
          <w:p>
            <w:pPr>
              <w:spacing w:after="0" w:line="20" w:lineRule="exact"/>
              <w:rPr>
                <w:sz w:val="1"/>
                <w:szCs w:val="1"/>
                <w:color w:val="auto"/>
              </w:rPr>
            </w:pPr>
          </w:p>
        </w:tc>
        <w:tc>
          <w:tcPr>
            <w:tcW w:w="1200" w:type="dxa"/>
            <w:vAlign w:val="bottom"/>
            <w:tcBorders>
              <w:bottom w:val="single" w:sz="8" w:color="D7282F"/>
            </w:tcBorders>
          </w:tcPr>
          <w:p>
            <w:pPr>
              <w:spacing w:after="0" w:line="20" w:lineRule="exact"/>
              <w:rPr>
                <w:sz w:val="1"/>
                <w:szCs w:val="1"/>
                <w:color w:val="auto"/>
              </w:rPr>
            </w:pPr>
          </w:p>
        </w:tc>
        <w:tc>
          <w:tcPr>
            <w:tcW w:w="5260" w:type="dxa"/>
            <w:vAlign w:val="bottom"/>
            <w:tcBorders>
              <w:bottom w:val="single" w:sz="8" w:color="D7282F"/>
            </w:tcBorders>
            <w:gridSpan w:val="3"/>
          </w:tcPr>
          <w:p>
            <w:pPr>
              <w:spacing w:after="0" w:line="20" w:lineRule="exact"/>
              <w:rPr>
                <w:sz w:val="1"/>
                <w:szCs w:val="1"/>
                <w:color w:val="auto"/>
              </w:rPr>
            </w:pPr>
          </w:p>
        </w:tc>
        <w:tc>
          <w:tcPr>
            <w:tcW w:w="104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140" w:type="dxa"/>
            <w:vAlign w:val="bottom"/>
            <w:tcBorders>
              <w:left w:val="single" w:sz="8" w:color="D7282F"/>
              <w:bottom w:val="single" w:sz="8" w:color="D7282F"/>
            </w:tcBorders>
          </w:tcPr>
          <w:p>
            <w:pPr>
              <w:spacing w:after="0"/>
              <w:rPr>
                <w:sz w:val="18"/>
                <w:szCs w:val="18"/>
                <w:color w:val="auto"/>
              </w:rPr>
            </w:pPr>
          </w:p>
        </w:tc>
        <w:tc>
          <w:tcPr>
            <w:tcW w:w="1300" w:type="dxa"/>
            <w:vAlign w:val="bottom"/>
            <w:tcBorders>
              <w:bottom w:val="single" w:sz="8" w:color="D7282F"/>
            </w:tcBorders>
          </w:tcPr>
          <w:p>
            <w:pPr>
              <w:spacing w:after="0"/>
              <w:rPr>
                <w:sz w:val="18"/>
                <w:szCs w:val="18"/>
                <w:color w:val="auto"/>
              </w:rPr>
            </w:pPr>
          </w:p>
        </w:tc>
        <w:tc>
          <w:tcPr>
            <w:tcW w:w="1300" w:type="dxa"/>
            <w:vAlign w:val="bottom"/>
            <w:tcBorders>
              <w:bottom w:val="single" w:sz="8" w:color="D7282F"/>
            </w:tcBorders>
          </w:tcPr>
          <w:p>
            <w:pPr>
              <w:spacing w:after="0"/>
              <w:rPr>
                <w:sz w:val="18"/>
                <w:szCs w:val="18"/>
                <w:color w:val="auto"/>
              </w:rPr>
            </w:pPr>
          </w:p>
        </w:tc>
        <w:tc>
          <w:tcPr>
            <w:tcW w:w="1200" w:type="dxa"/>
            <w:vAlign w:val="bottom"/>
            <w:tcBorders>
              <w:bottom w:val="single" w:sz="8" w:color="D7282F"/>
            </w:tcBorders>
          </w:tcPr>
          <w:p>
            <w:pPr>
              <w:spacing w:after="0"/>
              <w:rPr>
                <w:sz w:val="18"/>
                <w:szCs w:val="18"/>
                <w:color w:val="auto"/>
              </w:rPr>
            </w:pPr>
          </w:p>
        </w:tc>
        <w:tc>
          <w:tcPr>
            <w:tcW w:w="526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Total Calculated (Formulaic) Payout: Corporate NEOs</w:t>
            </w:r>
          </w:p>
        </w:tc>
        <w:tc>
          <w:tcPr>
            <w:tcW w:w="104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4"/>
                <w:szCs w:val="14"/>
                <w:b w:val="1"/>
                <w:bCs w:val="1"/>
                <w:color w:val="auto"/>
              </w:rPr>
              <w:t>117 %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00" w:right="600" w:hanging="192"/>
        <w:spacing w:after="0" w:line="226" w:lineRule="auto"/>
        <w:tabs>
          <w:tab w:leader="none" w:pos="200" w:val="left"/>
        </w:tabs>
        <w:numPr>
          <w:ilvl w:val="0"/>
          <w:numId w:val="136"/>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9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Mr. Boldea's formulaic payout portion of ICP (80% of ICP) was based on actual 2023 performance against the 2023 ICP goals for both Total Honeywell and the PMT business unit (each weighted equally), as follows: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jc w:val="right"/>
              <w:ind w:right="168"/>
              <w:spacing w:after="0"/>
              <w:rPr>
                <w:sz w:val="20"/>
                <w:szCs w:val="20"/>
                <w:color w:val="auto"/>
              </w:rPr>
            </w:pPr>
            <w:r>
              <w:rPr>
                <w:rFonts w:ascii="Arial" w:cs="Arial" w:eastAsia="Arial" w:hAnsi="Arial"/>
                <w:sz w:val="14"/>
                <w:szCs w:val="14"/>
                <w:b w:val="1"/>
                <w:bCs w:val="1"/>
                <w:color w:val="auto"/>
              </w:rPr>
              <w:t>Metric</w:t>
            </w:r>
          </w:p>
        </w:tc>
        <w:tc>
          <w:tcPr>
            <w:tcW w:w="1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 ICP Goal</w:t>
            </w:r>
          </w:p>
        </w:tc>
        <w:tc>
          <w:tcPr>
            <w:tcW w:w="15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2023 Actual Plan</w:t>
            </w:r>
          </w:p>
        </w:tc>
        <w:tc>
          <w:tcPr>
            <w:tcW w:w="15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Achievement</w:t>
            </w:r>
          </w:p>
        </w:tc>
        <w:tc>
          <w:tcPr>
            <w:tcW w:w="13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Payout</w:t>
            </w:r>
          </w:p>
        </w:tc>
        <w:tc>
          <w:tcPr>
            <w:tcW w:w="1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ICP Goal</w:t>
            </w:r>
          </w:p>
        </w:tc>
        <w:tc>
          <w:tcPr>
            <w:tcW w:w="188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40" w:type="dxa"/>
            <w:vAlign w:val="bottom"/>
          </w:tcPr>
          <w:p>
            <w:pPr>
              <w:jc w:val="right"/>
              <w:ind w:right="168"/>
              <w:spacing w:after="0" w:line="145" w:lineRule="exact"/>
              <w:rPr>
                <w:sz w:val="20"/>
                <w:szCs w:val="20"/>
                <w:color w:val="auto"/>
              </w:rPr>
            </w:pPr>
            <w:r>
              <w:rPr>
                <w:rFonts w:ascii="Arial" w:cs="Arial" w:eastAsia="Arial" w:hAnsi="Arial"/>
                <w:sz w:val="14"/>
                <w:szCs w:val="14"/>
                <w:b w:val="1"/>
                <w:bCs w:val="1"/>
                <w:color w:val="auto"/>
              </w:rPr>
              <w:t>Percentage</w:t>
            </w:r>
            <w:r>
              <w:rPr>
                <w:rFonts w:ascii="Arial" w:cs="Arial" w:eastAsia="Arial" w:hAnsi="Arial"/>
                <w:sz w:val="9"/>
                <w:szCs w:val="9"/>
                <w:b w:val="1"/>
                <w:bCs w:val="1"/>
                <w:color w:val="auto"/>
              </w:rPr>
              <w:t>(1)</w:t>
            </w: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Weighting</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60" w:type="dxa"/>
            <w:vAlign w:val="bottom"/>
            <w:vMerge w:val="continue"/>
          </w:tcPr>
          <w:p>
            <w:pPr>
              <w:spacing w:after="0"/>
              <w:rPr>
                <w:sz w:val="15"/>
                <w:szCs w:val="15"/>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b w:val="1"/>
                <w:bCs w:val="1"/>
                <w:color w:val="auto"/>
              </w:rPr>
              <w:t>(Target)</w:t>
            </w:r>
          </w:p>
        </w:tc>
        <w:tc>
          <w:tcPr>
            <w:tcW w:w="1500" w:type="dxa"/>
            <w:vAlign w:val="bottom"/>
          </w:tcPr>
          <w:p>
            <w:pPr>
              <w:jc w:val="right"/>
              <w:ind w:right="48"/>
              <w:spacing w:after="0"/>
              <w:rPr>
                <w:sz w:val="20"/>
                <w:szCs w:val="20"/>
                <w:color w:val="auto"/>
              </w:rPr>
            </w:pPr>
            <w:r>
              <w:rPr>
                <w:rFonts w:ascii="Arial" w:cs="Arial" w:eastAsia="Arial" w:hAnsi="Arial"/>
                <w:sz w:val="14"/>
                <w:szCs w:val="14"/>
                <w:b w:val="1"/>
                <w:bCs w:val="1"/>
                <w:color w:val="auto"/>
              </w:rPr>
              <w:t>Performance</w:t>
            </w:r>
          </w:p>
        </w:tc>
        <w:tc>
          <w:tcPr>
            <w:tcW w:w="154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760" w:type="dxa"/>
            <w:vAlign w:val="bottom"/>
            <w:tcBorders>
              <w:top w:val="single" w:sz="8" w:color="D7282F"/>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Adjusted EPS</w:t>
            </w:r>
          </w:p>
        </w:tc>
        <w:tc>
          <w:tcPr>
            <w:tcW w:w="1880" w:type="dxa"/>
            <w:vAlign w:val="bottom"/>
            <w:tcBorders>
              <w:top w:val="single" w:sz="8" w:color="D7282F"/>
              <w:bottom w:val="single" w:sz="8" w:color="939598"/>
            </w:tcBorders>
          </w:tcPr>
          <w:p>
            <w:pPr>
              <w:jc w:val="right"/>
              <w:ind w:right="228"/>
              <w:spacing w:after="0"/>
              <w:rPr>
                <w:sz w:val="20"/>
                <w:szCs w:val="20"/>
                <w:color w:val="auto"/>
              </w:rPr>
            </w:pPr>
            <w:r>
              <w:rPr>
                <w:rFonts w:ascii="Arial" w:cs="Arial" w:eastAsia="Arial" w:hAnsi="Arial"/>
                <w:sz w:val="14"/>
                <w:szCs w:val="14"/>
                <w:color w:val="auto"/>
              </w:rPr>
              <w:t>$9.00</w:t>
            </w:r>
          </w:p>
        </w:tc>
        <w:tc>
          <w:tcPr>
            <w:tcW w:w="1500" w:type="dxa"/>
            <w:vAlign w:val="bottom"/>
            <w:tcBorders>
              <w:top w:val="single" w:sz="8" w:color="D7282F"/>
              <w:bottom w:val="single" w:sz="8" w:color="939598"/>
            </w:tcBorders>
          </w:tcPr>
          <w:p>
            <w:pPr>
              <w:jc w:val="right"/>
              <w:ind w:right="88"/>
              <w:spacing w:after="0"/>
              <w:rPr>
                <w:sz w:val="20"/>
                <w:szCs w:val="20"/>
                <w:color w:val="auto"/>
              </w:rPr>
            </w:pPr>
            <w:r>
              <w:rPr>
                <w:rFonts w:ascii="Arial" w:cs="Arial" w:eastAsia="Arial" w:hAnsi="Arial"/>
                <w:sz w:val="14"/>
                <w:szCs w:val="14"/>
                <w:color w:val="auto"/>
              </w:rPr>
              <w:t>$9.16</w:t>
            </w:r>
          </w:p>
        </w:tc>
        <w:tc>
          <w:tcPr>
            <w:tcW w:w="1540" w:type="dxa"/>
            <w:vAlign w:val="bottom"/>
            <w:tcBorders>
              <w:top w:val="single" w:sz="8" w:color="D7282F"/>
              <w:bottom w:val="single" w:sz="8" w:color="939598"/>
            </w:tcBorders>
          </w:tcPr>
          <w:p>
            <w:pPr>
              <w:jc w:val="right"/>
              <w:ind w:right="148"/>
              <w:spacing w:after="0"/>
              <w:rPr>
                <w:sz w:val="20"/>
                <w:szCs w:val="20"/>
                <w:color w:val="auto"/>
              </w:rPr>
            </w:pPr>
            <w:r>
              <w:rPr>
                <w:rFonts w:ascii="Arial" w:cs="Arial" w:eastAsia="Arial" w:hAnsi="Arial"/>
                <w:sz w:val="14"/>
                <w:szCs w:val="14"/>
                <w:color w:val="auto"/>
              </w:rPr>
              <w:t>101.8 %</w:t>
            </w:r>
          </w:p>
        </w:tc>
        <w:tc>
          <w:tcPr>
            <w:tcW w:w="1340" w:type="dxa"/>
            <w:vAlign w:val="bottom"/>
            <w:tcBorders>
              <w:top w:val="single" w:sz="8" w:color="D7282F"/>
              <w:bottom w:val="single" w:sz="8" w:color="939598"/>
            </w:tcBorders>
          </w:tcPr>
          <w:p>
            <w:pPr>
              <w:jc w:val="right"/>
              <w:ind w:right="168"/>
              <w:spacing w:after="0"/>
              <w:rPr>
                <w:sz w:val="20"/>
                <w:szCs w:val="20"/>
                <w:color w:val="auto"/>
              </w:rPr>
            </w:pPr>
            <w:r>
              <w:rPr>
                <w:rFonts w:ascii="Arial" w:cs="Arial" w:eastAsia="Arial" w:hAnsi="Arial"/>
                <w:sz w:val="14"/>
                <w:szCs w:val="14"/>
                <w:color w:val="auto"/>
              </w:rPr>
              <w:t>109 %</w:t>
            </w:r>
          </w:p>
        </w:tc>
        <w:tc>
          <w:tcPr>
            <w:tcW w:w="1180" w:type="dxa"/>
            <w:vAlign w:val="bottom"/>
            <w:tcBorders>
              <w:top w:val="single" w:sz="8" w:color="D7282F"/>
              <w:bottom w:val="single" w:sz="8" w:color="939598"/>
            </w:tcBorders>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Total Honeywell Free Cash Flow</w:t>
            </w: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$4.10 billion</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$4.30 billion</w:t>
            </w:r>
          </w:p>
        </w:tc>
        <w:tc>
          <w:tcPr>
            <w:tcW w:w="1540" w:type="dxa"/>
            <w:vAlign w:val="bottom"/>
          </w:tcPr>
          <w:p>
            <w:pPr>
              <w:jc w:val="right"/>
              <w:ind w:right="148"/>
              <w:spacing w:after="0"/>
              <w:rPr>
                <w:sz w:val="20"/>
                <w:szCs w:val="20"/>
                <w:color w:val="auto"/>
              </w:rPr>
            </w:pPr>
            <w:r>
              <w:rPr>
                <w:rFonts w:ascii="Arial" w:cs="Arial" w:eastAsia="Arial" w:hAnsi="Arial"/>
                <w:sz w:val="14"/>
                <w:szCs w:val="14"/>
                <w:color w:val="auto"/>
              </w:rPr>
              <w:t>104.9 %</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125 %</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Pr>
          <w:p>
            <w:pPr>
              <w:jc w:val="right"/>
              <w:spacing w:after="0"/>
              <w:rPr>
                <w:sz w:val="20"/>
                <w:szCs w:val="20"/>
                <w:color w:val="auto"/>
              </w:rPr>
            </w:pPr>
            <w:r>
              <w:rPr>
                <w:rFonts w:ascii="Arial" w:cs="Arial" w:eastAsia="Arial" w:hAnsi="Arial"/>
                <w:sz w:val="14"/>
                <w:szCs w:val="14"/>
                <w:color w:val="auto"/>
              </w:rPr>
              <w:t>31.1 %</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($5.3B excluding</w:t>
            </w:r>
          </w:p>
        </w:tc>
        <w:tc>
          <w:tcPr>
            <w:tcW w:w="1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the impact of</w:t>
            </w:r>
          </w:p>
        </w:tc>
        <w:tc>
          <w:tcPr>
            <w:tcW w:w="1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settlements)</w:t>
            </w:r>
          </w:p>
        </w:tc>
        <w:tc>
          <w:tcPr>
            <w:tcW w:w="1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760" w:type="dxa"/>
            <w:vAlign w:val="bottom"/>
            <w:tcBorders>
              <w:bottom w:val="single" w:sz="8" w:color="939598"/>
            </w:tcBorders>
          </w:tcPr>
          <w:p>
            <w:pPr>
              <w:spacing w:after="0" w:line="20" w:lineRule="exact"/>
              <w:rPr>
                <w:sz w:val="1"/>
                <w:szCs w:val="1"/>
                <w:color w:val="auto"/>
              </w:rPr>
            </w:pPr>
          </w:p>
        </w:tc>
        <w:tc>
          <w:tcPr>
            <w:tcW w:w="1880" w:type="dxa"/>
            <w:vAlign w:val="bottom"/>
            <w:tcBorders>
              <w:bottom w:val="single" w:sz="8" w:color="939598"/>
            </w:tcBorders>
          </w:tcPr>
          <w:p>
            <w:pPr>
              <w:spacing w:after="0" w:line="20" w:lineRule="exact"/>
              <w:rPr>
                <w:sz w:val="1"/>
                <w:szCs w:val="1"/>
                <w:color w:val="auto"/>
              </w:rPr>
            </w:pPr>
          </w:p>
        </w:tc>
        <w:tc>
          <w:tcPr>
            <w:tcW w:w="1500" w:type="dxa"/>
            <w:vAlign w:val="bottom"/>
            <w:tcBorders>
              <w:bottom w:val="single" w:sz="8" w:color="939598"/>
            </w:tcBorders>
          </w:tcPr>
          <w:p>
            <w:pPr>
              <w:spacing w:after="0" w:line="20" w:lineRule="exact"/>
              <w:rPr>
                <w:sz w:val="1"/>
                <w:szCs w:val="1"/>
                <w:color w:val="auto"/>
              </w:rPr>
            </w:pPr>
          </w:p>
        </w:tc>
        <w:tc>
          <w:tcPr>
            <w:tcW w:w="1540" w:type="dxa"/>
            <w:vAlign w:val="bottom"/>
            <w:tcBorders>
              <w:bottom w:val="single" w:sz="8" w:color="939598"/>
            </w:tcBorders>
          </w:tcPr>
          <w:p>
            <w:pPr>
              <w:spacing w:after="0" w:line="20" w:lineRule="exact"/>
              <w:rPr>
                <w:sz w:val="1"/>
                <w:szCs w:val="1"/>
                <w:color w:val="auto"/>
              </w:rPr>
            </w:pPr>
          </w:p>
        </w:tc>
        <w:tc>
          <w:tcPr>
            <w:tcW w:w="1340" w:type="dxa"/>
            <w:vAlign w:val="bottom"/>
            <w:tcBorders>
              <w:bottom w:val="single" w:sz="8" w:color="939598"/>
            </w:tcBorders>
          </w:tcPr>
          <w:p>
            <w:pPr>
              <w:spacing w:after="0" w:line="20" w:lineRule="exact"/>
              <w:rPr>
                <w:sz w:val="1"/>
                <w:szCs w:val="1"/>
                <w:color w:val="auto"/>
              </w:rPr>
            </w:pPr>
          </w:p>
        </w:tc>
        <w:tc>
          <w:tcPr>
            <w:tcW w:w="11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PMT Income Contribution</w:t>
            </w:r>
          </w:p>
        </w:tc>
        <w:tc>
          <w:tcPr>
            <w:tcW w:w="188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$2.015 billion</w:t>
            </w:r>
          </w:p>
        </w:tc>
        <w:tc>
          <w:tcPr>
            <w:tcW w:w="150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$2.161 billion</w:t>
            </w:r>
          </w:p>
        </w:tc>
        <w:tc>
          <w:tcPr>
            <w:tcW w:w="154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107.2 %</w:t>
            </w:r>
          </w:p>
        </w:tc>
        <w:tc>
          <w:tcPr>
            <w:tcW w:w="13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136 %</w:t>
            </w:r>
          </w:p>
        </w:tc>
        <w:tc>
          <w:tcPr>
            <w:tcW w:w="118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34.1 %</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PMT Free Cash Flow</w:t>
            </w:r>
          </w:p>
        </w:tc>
        <w:tc>
          <w:tcPr>
            <w:tcW w:w="1880" w:type="dxa"/>
            <w:vAlign w:val="bottom"/>
            <w:tcBorders>
              <w:bottom w:val="single" w:sz="8" w:color="EE2724"/>
            </w:tcBorders>
          </w:tcPr>
          <w:p>
            <w:pPr>
              <w:jc w:val="right"/>
              <w:ind w:right="168"/>
              <w:spacing w:after="0"/>
              <w:rPr>
                <w:sz w:val="20"/>
                <w:szCs w:val="20"/>
                <w:color w:val="auto"/>
              </w:rPr>
            </w:pPr>
            <w:r>
              <w:rPr>
                <w:rFonts w:ascii="Arial" w:cs="Arial" w:eastAsia="Arial" w:hAnsi="Arial"/>
                <w:sz w:val="14"/>
                <w:szCs w:val="14"/>
                <w:color w:val="auto"/>
              </w:rPr>
              <w:t>$1.860 billion</w:t>
            </w:r>
          </w:p>
        </w:tc>
        <w:tc>
          <w:tcPr>
            <w:tcW w:w="1500" w:type="dxa"/>
            <w:vAlign w:val="bottom"/>
            <w:tcBorders>
              <w:bottom w:val="single" w:sz="8" w:color="EE2724"/>
            </w:tcBorders>
          </w:tcPr>
          <w:p>
            <w:pPr>
              <w:jc w:val="right"/>
              <w:ind w:right="48"/>
              <w:spacing w:after="0"/>
              <w:rPr>
                <w:sz w:val="20"/>
                <w:szCs w:val="20"/>
                <w:color w:val="auto"/>
              </w:rPr>
            </w:pPr>
            <w:r>
              <w:rPr>
                <w:rFonts w:ascii="Arial" w:cs="Arial" w:eastAsia="Arial" w:hAnsi="Arial"/>
                <w:sz w:val="14"/>
                <w:szCs w:val="14"/>
                <w:color w:val="auto"/>
              </w:rPr>
              <w:t>$1.874 billion</w:t>
            </w:r>
          </w:p>
        </w:tc>
        <w:tc>
          <w:tcPr>
            <w:tcW w:w="1540" w:type="dxa"/>
            <w:vAlign w:val="bottom"/>
            <w:tcBorders>
              <w:bottom w:val="single" w:sz="8" w:color="EE2724"/>
            </w:tcBorders>
          </w:tcPr>
          <w:p>
            <w:pPr>
              <w:jc w:val="right"/>
              <w:ind w:right="148"/>
              <w:spacing w:after="0"/>
              <w:rPr>
                <w:sz w:val="20"/>
                <w:szCs w:val="20"/>
                <w:color w:val="auto"/>
              </w:rPr>
            </w:pPr>
            <w:r>
              <w:rPr>
                <w:rFonts w:ascii="Arial" w:cs="Arial" w:eastAsia="Arial" w:hAnsi="Arial"/>
                <w:sz w:val="14"/>
                <w:szCs w:val="14"/>
                <w:color w:val="auto"/>
              </w:rPr>
              <w:t>100.8 %</w:t>
            </w:r>
          </w:p>
        </w:tc>
        <w:tc>
          <w:tcPr>
            <w:tcW w:w="1340" w:type="dxa"/>
            <w:vAlign w:val="bottom"/>
            <w:tcBorders>
              <w:bottom w:val="single" w:sz="8" w:color="EE2724"/>
            </w:tcBorders>
          </w:tcPr>
          <w:p>
            <w:pPr>
              <w:jc w:val="right"/>
              <w:ind w:right="168"/>
              <w:spacing w:after="0"/>
              <w:rPr>
                <w:sz w:val="20"/>
                <w:szCs w:val="20"/>
                <w:color w:val="auto"/>
              </w:rPr>
            </w:pPr>
            <w:r>
              <w:rPr>
                <w:rFonts w:ascii="Arial" w:cs="Arial" w:eastAsia="Arial" w:hAnsi="Arial"/>
                <w:sz w:val="14"/>
                <w:szCs w:val="14"/>
                <w:color w:val="auto"/>
              </w:rPr>
              <w:t>104 %</w:t>
            </w:r>
          </w:p>
        </w:tc>
        <w:tc>
          <w:tcPr>
            <w:tcW w:w="1180" w:type="dxa"/>
            <w:vAlign w:val="bottom"/>
            <w:tcBorders>
              <w:bottom w:val="single" w:sz="8" w:color="EE2724"/>
            </w:tcBorders>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Borders>
              <w:bottom w:val="single" w:sz="8" w:color="EE2724"/>
            </w:tcBorders>
          </w:tcPr>
          <w:p>
            <w:pPr>
              <w:jc w:val="right"/>
              <w:spacing w:after="0"/>
              <w:rPr>
                <w:sz w:val="20"/>
                <w:szCs w:val="20"/>
                <w:color w:val="auto"/>
              </w:rPr>
            </w:pPr>
            <w:r>
              <w:rPr>
                <w:rFonts w:ascii="Arial" w:cs="Arial" w:eastAsia="Arial" w:hAnsi="Arial"/>
                <w:sz w:val="14"/>
                <w:szCs w:val="14"/>
                <w:color w:val="auto"/>
              </w:rPr>
              <w:t>25.9 %</w:t>
            </w:r>
          </w:p>
        </w:tc>
        <w:tc>
          <w:tcPr>
            <w:tcW w:w="0" w:type="dxa"/>
            <w:vAlign w:val="bottom"/>
          </w:tcPr>
          <w:p>
            <w:pPr>
              <w:spacing w:after="0"/>
              <w:rPr>
                <w:sz w:val="1"/>
                <w:szCs w:val="1"/>
                <w:color w:val="auto"/>
              </w:rPr>
            </w:pPr>
          </w:p>
        </w:tc>
      </w:tr>
      <w:tr>
        <w:trPr>
          <w:trHeight w:val="223"/>
        </w:trPr>
        <w:tc>
          <w:tcPr>
            <w:tcW w:w="2760" w:type="dxa"/>
            <w:vAlign w:val="bottom"/>
            <w:tcBorders>
              <w:left w:val="single" w:sz="8" w:color="EE2724"/>
              <w:bottom w:val="single" w:sz="8" w:color="EE2724"/>
            </w:tcBorders>
          </w:tcPr>
          <w:p>
            <w:pPr>
              <w:spacing w:after="0"/>
              <w:rPr>
                <w:sz w:val="19"/>
                <w:szCs w:val="19"/>
                <w:color w:val="auto"/>
              </w:rPr>
            </w:pPr>
          </w:p>
        </w:tc>
        <w:tc>
          <w:tcPr>
            <w:tcW w:w="1880" w:type="dxa"/>
            <w:vAlign w:val="bottom"/>
            <w:tcBorders>
              <w:bottom w:val="single" w:sz="8" w:color="EE2724"/>
            </w:tcBorders>
          </w:tcPr>
          <w:p>
            <w:pPr>
              <w:spacing w:after="0"/>
              <w:rPr>
                <w:sz w:val="19"/>
                <w:szCs w:val="19"/>
                <w:color w:val="auto"/>
              </w:rPr>
            </w:pPr>
          </w:p>
        </w:tc>
        <w:tc>
          <w:tcPr>
            <w:tcW w:w="1500" w:type="dxa"/>
            <w:vAlign w:val="bottom"/>
            <w:tcBorders>
              <w:bottom w:val="single" w:sz="8" w:color="EE2724"/>
            </w:tcBorders>
          </w:tcPr>
          <w:p>
            <w:pPr>
              <w:spacing w:after="0"/>
              <w:rPr>
                <w:sz w:val="19"/>
                <w:szCs w:val="19"/>
                <w:color w:val="auto"/>
              </w:rPr>
            </w:pPr>
          </w:p>
        </w:tc>
        <w:tc>
          <w:tcPr>
            <w:tcW w:w="4060" w:type="dxa"/>
            <w:vAlign w:val="bottom"/>
            <w:tcBorders>
              <w:bottom w:val="single" w:sz="8" w:color="EE2724"/>
            </w:tcBorders>
            <w:gridSpan w:val="3"/>
          </w:tcPr>
          <w:p>
            <w:pPr>
              <w:jc w:val="right"/>
              <w:ind w:right="168"/>
              <w:spacing w:after="0"/>
              <w:rPr>
                <w:sz w:val="20"/>
                <w:szCs w:val="20"/>
                <w:color w:val="auto"/>
              </w:rPr>
            </w:pPr>
            <w:r>
              <w:rPr>
                <w:rFonts w:ascii="Arial" w:cs="Arial" w:eastAsia="Arial" w:hAnsi="Arial"/>
                <w:sz w:val="14"/>
                <w:szCs w:val="14"/>
                <w:b w:val="1"/>
                <w:bCs w:val="1"/>
                <w:color w:val="auto"/>
              </w:rPr>
              <w:t>Total Calculated (Formulaic) Payout: PMT (Mr. Boldea)</w:t>
            </w:r>
          </w:p>
        </w:tc>
        <w:tc>
          <w:tcPr>
            <w:tcW w:w="1040" w:type="dxa"/>
            <w:vAlign w:val="bottom"/>
            <w:tcBorders>
              <w:bottom w:val="single" w:sz="8" w:color="EE2724"/>
              <w:right w:val="single" w:sz="8" w:color="EE2724"/>
            </w:tcBorders>
          </w:tcPr>
          <w:p>
            <w:pPr>
              <w:jc w:val="right"/>
              <w:spacing w:after="0"/>
              <w:rPr>
                <w:sz w:val="20"/>
                <w:szCs w:val="20"/>
                <w:color w:val="auto"/>
              </w:rPr>
            </w:pPr>
            <w:r>
              <w:rPr>
                <w:rFonts w:ascii="Arial" w:cs="Arial" w:eastAsia="Arial" w:hAnsi="Arial"/>
                <w:sz w:val="14"/>
                <w:szCs w:val="14"/>
                <w:b w:val="1"/>
                <w:bCs w:val="1"/>
                <w:color w:val="auto"/>
              </w:rPr>
              <w:t>118 %</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200" w:right="600" w:hanging="192"/>
        <w:spacing w:after="0" w:line="226" w:lineRule="auto"/>
        <w:tabs>
          <w:tab w:leader="none" w:pos="200" w:val="left"/>
        </w:tabs>
        <w:numPr>
          <w:ilvl w:val="0"/>
          <w:numId w:val="137"/>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95"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Mr. Currier's formulaic payout portion of ICP (80% of ICP) was based on actual 2023 performance against the 2023 ICP goals for both Total Honeywell and the AERO business unit (each weighted equally), as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jc w:val="right"/>
              <w:ind w:right="169"/>
              <w:spacing w:after="0"/>
              <w:rPr>
                <w:sz w:val="20"/>
                <w:szCs w:val="20"/>
                <w:color w:val="auto"/>
              </w:rPr>
            </w:pPr>
            <w:r>
              <w:rPr>
                <w:rFonts w:ascii="Arial" w:cs="Arial" w:eastAsia="Arial" w:hAnsi="Arial"/>
                <w:sz w:val="14"/>
                <w:szCs w:val="14"/>
                <w:b w:val="1"/>
                <w:bCs w:val="1"/>
                <w:color w:val="auto"/>
              </w:rPr>
              <w:t>Metric</w:t>
            </w:r>
          </w:p>
        </w:tc>
        <w:tc>
          <w:tcPr>
            <w:tcW w:w="1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Calculated</w:t>
            </w:r>
          </w:p>
        </w:tc>
        <w:tc>
          <w:tcPr>
            <w:tcW w:w="0" w:type="dxa"/>
            <w:vAlign w:val="bottom"/>
          </w:tcPr>
          <w:p>
            <w:pPr>
              <w:spacing w:after="0"/>
              <w:rPr>
                <w:sz w:val="1"/>
                <w:szCs w:val="1"/>
                <w:color w:val="auto"/>
              </w:rPr>
            </w:pPr>
          </w:p>
        </w:tc>
      </w:tr>
      <w:tr>
        <w:trPr>
          <w:trHeight w:val="108"/>
        </w:trPr>
        <w:tc>
          <w:tcPr>
            <w:tcW w:w="2760" w:type="dxa"/>
            <w:vAlign w:val="bottom"/>
          </w:tcPr>
          <w:p>
            <w:pPr>
              <w:spacing w:after="0"/>
              <w:rPr>
                <w:sz w:val="9"/>
                <w:szCs w:val="9"/>
                <w:color w:val="auto"/>
              </w:rPr>
            </w:pPr>
          </w:p>
        </w:tc>
        <w:tc>
          <w:tcPr>
            <w:tcW w:w="1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2023 ICP Goal</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 Actual Plan</w:t>
            </w:r>
          </w:p>
        </w:tc>
        <w:tc>
          <w:tcPr>
            <w:tcW w:w="1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Achievement</w:t>
            </w:r>
          </w:p>
        </w:tc>
        <w:tc>
          <w:tcPr>
            <w:tcW w:w="134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Payout</w:t>
            </w:r>
          </w:p>
        </w:tc>
        <w:tc>
          <w:tcPr>
            <w:tcW w:w="1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76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7"/>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ICP Goal</w:t>
            </w:r>
          </w:p>
        </w:tc>
        <w:tc>
          <w:tcPr>
            <w:tcW w:w="18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340" w:type="dxa"/>
            <w:vAlign w:val="bottom"/>
          </w:tcPr>
          <w:p>
            <w:pPr>
              <w:jc w:val="right"/>
              <w:ind w:right="169"/>
              <w:spacing w:after="0" w:line="147" w:lineRule="exact"/>
              <w:rPr>
                <w:sz w:val="20"/>
                <w:szCs w:val="20"/>
                <w:color w:val="auto"/>
              </w:rPr>
            </w:pPr>
            <w:r>
              <w:rPr>
                <w:rFonts w:ascii="Arial" w:cs="Arial" w:eastAsia="Arial" w:hAnsi="Arial"/>
                <w:sz w:val="14"/>
                <w:szCs w:val="14"/>
                <w:b w:val="1"/>
                <w:bCs w:val="1"/>
                <w:color w:val="auto"/>
              </w:rPr>
              <w:t>Percentage</w:t>
            </w:r>
            <w:r>
              <w:rPr>
                <w:rFonts w:ascii="Arial" w:cs="Arial" w:eastAsia="Arial" w:hAnsi="Arial"/>
                <w:sz w:val="17"/>
                <w:szCs w:val="17"/>
                <w:b w:val="1"/>
                <w:bCs w:val="1"/>
                <w:color w:val="auto"/>
                <w:vertAlign w:val="superscript"/>
              </w:rPr>
              <w:t>(1)</w:t>
            </w: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Weighting</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60" w:type="dxa"/>
            <w:vAlign w:val="bottom"/>
            <w:vMerge w:val="continue"/>
          </w:tcPr>
          <w:p>
            <w:pPr>
              <w:spacing w:after="0"/>
              <w:rPr>
                <w:sz w:val="14"/>
                <w:szCs w:val="14"/>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b w:val="1"/>
                <w:bCs w:val="1"/>
                <w:color w:val="auto"/>
              </w:rPr>
              <w:t>(Target)</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16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760" w:type="dxa"/>
            <w:vAlign w:val="bottom"/>
            <w:tcBorders>
              <w:top w:val="single" w:sz="8" w:color="D7282F"/>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Adjusted EPS</w:t>
            </w:r>
          </w:p>
        </w:tc>
        <w:tc>
          <w:tcPr>
            <w:tcW w:w="1880" w:type="dxa"/>
            <w:vAlign w:val="bottom"/>
            <w:tcBorders>
              <w:top w:val="single" w:sz="8" w:color="D7282F"/>
              <w:bottom w:val="single" w:sz="8" w:color="939598"/>
            </w:tcBorders>
          </w:tcPr>
          <w:p>
            <w:pPr>
              <w:jc w:val="right"/>
              <w:ind w:right="228"/>
              <w:spacing w:after="0"/>
              <w:rPr>
                <w:sz w:val="20"/>
                <w:szCs w:val="20"/>
                <w:color w:val="auto"/>
              </w:rPr>
            </w:pPr>
            <w:r>
              <w:rPr>
                <w:rFonts w:ascii="Arial" w:cs="Arial" w:eastAsia="Arial" w:hAnsi="Arial"/>
                <w:sz w:val="14"/>
                <w:szCs w:val="14"/>
                <w:color w:val="auto"/>
              </w:rPr>
              <w:t>$9.00</w:t>
            </w:r>
          </w:p>
        </w:tc>
        <w:tc>
          <w:tcPr>
            <w:tcW w:w="1440" w:type="dxa"/>
            <w:vAlign w:val="bottom"/>
            <w:tcBorders>
              <w:top w:val="single" w:sz="8" w:color="D7282F"/>
              <w:bottom w:val="single" w:sz="8" w:color="939598"/>
            </w:tcBorders>
          </w:tcPr>
          <w:p>
            <w:pPr>
              <w:jc w:val="right"/>
              <w:ind w:right="28"/>
              <w:spacing w:after="0"/>
              <w:rPr>
                <w:sz w:val="20"/>
                <w:szCs w:val="20"/>
                <w:color w:val="auto"/>
              </w:rPr>
            </w:pPr>
            <w:r>
              <w:rPr>
                <w:rFonts w:ascii="Arial" w:cs="Arial" w:eastAsia="Arial" w:hAnsi="Arial"/>
                <w:sz w:val="14"/>
                <w:szCs w:val="14"/>
                <w:color w:val="auto"/>
              </w:rPr>
              <w:t>$9.16</w:t>
            </w:r>
          </w:p>
        </w:tc>
        <w:tc>
          <w:tcPr>
            <w:tcW w:w="1600" w:type="dxa"/>
            <w:vAlign w:val="bottom"/>
            <w:tcBorders>
              <w:top w:val="single" w:sz="8" w:color="D7282F"/>
              <w:bottom w:val="single" w:sz="8" w:color="939598"/>
            </w:tcBorders>
          </w:tcPr>
          <w:p>
            <w:pPr>
              <w:jc w:val="right"/>
              <w:ind w:right="148"/>
              <w:spacing w:after="0"/>
              <w:rPr>
                <w:sz w:val="20"/>
                <w:szCs w:val="20"/>
                <w:color w:val="auto"/>
              </w:rPr>
            </w:pPr>
            <w:r>
              <w:rPr>
                <w:rFonts w:ascii="Arial" w:cs="Arial" w:eastAsia="Arial" w:hAnsi="Arial"/>
                <w:sz w:val="14"/>
                <w:szCs w:val="14"/>
                <w:color w:val="auto"/>
              </w:rPr>
              <w:t>101.8 %</w:t>
            </w:r>
          </w:p>
        </w:tc>
        <w:tc>
          <w:tcPr>
            <w:tcW w:w="1340" w:type="dxa"/>
            <w:vAlign w:val="bottom"/>
            <w:tcBorders>
              <w:top w:val="single" w:sz="8" w:color="D7282F"/>
              <w:bottom w:val="single" w:sz="8" w:color="939598"/>
            </w:tcBorders>
          </w:tcPr>
          <w:p>
            <w:pPr>
              <w:jc w:val="right"/>
              <w:ind w:right="169"/>
              <w:spacing w:after="0"/>
              <w:rPr>
                <w:sz w:val="20"/>
                <w:szCs w:val="20"/>
                <w:color w:val="auto"/>
              </w:rPr>
            </w:pPr>
            <w:r>
              <w:rPr>
                <w:rFonts w:ascii="Arial" w:cs="Arial" w:eastAsia="Arial" w:hAnsi="Arial"/>
                <w:sz w:val="14"/>
                <w:szCs w:val="14"/>
                <w:color w:val="auto"/>
              </w:rPr>
              <w:t>109 %</w:t>
            </w:r>
          </w:p>
        </w:tc>
        <w:tc>
          <w:tcPr>
            <w:tcW w:w="1180" w:type="dxa"/>
            <w:vAlign w:val="bottom"/>
            <w:tcBorders>
              <w:top w:val="single" w:sz="8" w:color="D7282F"/>
              <w:bottom w:val="single" w:sz="8" w:color="939598"/>
            </w:tcBorders>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27.3 %</w:t>
            </w:r>
          </w:p>
        </w:tc>
        <w:tc>
          <w:tcPr>
            <w:tcW w:w="0" w:type="dxa"/>
            <w:vAlign w:val="bottom"/>
          </w:tcPr>
          <w:p>
            <w:pPr>
              <w:spacing w:after="0"/>
              <w:rPr>
                <w:sz w:val="1"/>
                <w:szCs w:val="1"/>
                <w:color w:val="auto"/>
              </w:rPr>
            </w:pPr>
          </w:p>
        </w:tc>
      </w:tr>
      <w:tr>
        <w:trPr>
          <w:trHeight w:val="193"/>
        </w:trPr>
        <w:tc>
          <w:tcPr>
            <w:tcW w:w="2760" w:type="dxa"/>
            <w:vAlign w:val="bottom"/>
          </w:tcPr>
          <w:p>
            <w:pPr>
              <w:ind w:left="20"/>
              <w:spacing w:after="0"/>
              <w:rPr>
                <w:sz w:val="20"/>
                <w:szCs w:val="20"/>
                <w:color w:val="auto"/>
              </w:rPr>
            </w:pPr>
            <w:r>
              <w:rPr>
                <w:rFonts w:ascii="Arial" w:cs="Arial" w:eastAsia="Arial" w:hAnsi="Arial"/>
                <w:sz w:val="14"/>
                <w:szCs w:val="14"/>
                <w:b w:val="1"/>
                <w:bCs w:val="1"/>
                <w:color w:val="auto"/>
              </w:rPr>
              <w:t>Total Honeywell Free Cash Flow</w:t>
            </w: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$4.10 billion</w:t>
            </w:r>
          </w:p>
        </w:tc>
        <w:tc>
          <w:tcPr>
            <w:tcW w:w="1440" w:type="dxa"/>
            <w:vAlign w:val="bottom"/>
          </w:tcPr>
          <w:p>
            <w:pPr>
              <w:jc w:val="right"/>
              <w:spacing w:after="0"/>
              <w:rPr>
                <w:sz w:val="20"/>
                <w:szCs w:val="20"/>
                <w:color w:val="auto"/>
              </w:rPr>
            </w:pPr>
            <w:r>
              <w:rPr>
                <w:rFonts w:ascii="Arial" w:cs="Arial" w:eastAsia="Arial" w:hAnsi="Arial"/>
                <w:sz w:val="14"/>
                <w:szCs w:val="14"/>
                <w:color w:val="auto"/>
              </w:rPr>
              <w:t>$4.30 billion</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104.9 %</w:t>
            </w:r>
          </w:p>
        </w:tc>
        <w:tc>
          <w:tcPr>
            <w:tcW w:w="1340" w:type="dxa"/>
            <w:vAlign w:val="bottom"/>
          </w:tcPr>
          <w:p>
            <w:pPr>
              <w:jc w:val="right"/>
              <w:ind w:right="169"/>
              <w:spacing w:after="0"/>
              <w:rPr>
                <w:sz w:val="20"/>
                <w:szCs w:val="20"/>
                <w:color w:val="auto"/>
              </w:rPr>
            </w:pPr>
            <w:r>
              <w:rPr>
                <w:rFonts w:ascii="Arial" w:cs="Arial" w:eastAsia="Arial" w:hAnsi="Arial"/>
                <w:sz w:val="14"/>
                <w:szCs w:val="14"/>
                <w:color w:val="auto"/>
              </w:rPr>
              <w:t>125 %</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Pr>
          <w:p>
            <w:pPr>
              <w:jc w:val="right"/>
              <w:spacing w:after="0"/>
              <w:rPr>
                <w:sz w:val="20"/>
                <w:szCs w:val="20"/>
                <w:color w:val="auto"/>
              </w:rPr>
            </w:pPr>
            <w:r>
              <w:rPr>
                <w:rFonts w:ascii="Arial" w:cs="Arial" w:eastAsia="Arial" w:hAnsi="Arial"/>
                <w:sz w:val="14"/>
                <w:szCs w:val="14"/>
                <w:color w:val="auto"/>
              </w:rPr>
              <w:t>31.1 %</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($5.3B excluding</w:t>
            </w: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1880" w:type="dxa"/>
            <w:vAlign w:val="bottom"/>
          </w:tcPr>
          <w:p>
            <w:pPr>
              <w:jc w:val="right"/>
              <w:ind w:right="168"/>
              <w:spacing w:after="0"/>
              <w:rPr>
                <w:sz w:val="20"/>
                <w:szCs w:val="20"/>
                <w:color w:val="auto"/>
              </w:rPr>
            </w:pPr>
            <w:r>
              <w:rPr>
                <w:rFonts w:ascii="Arial" w:cs="Arial" w:eastAsia="Arial" w:hAnsi="Arial"/>
                <w:sz w:val="14"/>
                <w:szCs w:val="14"/>
                <w:color w:val="auto"/>
              </w:rPr>
              <w:t>the impact of</w:t>
            </w:r>
          </w:p>
        </w:tc>
        <w:tc>
          <w:tcPr>
            <w:tcW w:w="1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760" w:type="dxa"/>
            <w:vAlign w:val="bottom"/>
            <w:tcBorders>
              <w:bottom w:val="single" w:sz="8" w:color="939598"/>
            </w:tcBorders>
          </w:tcPr>
          <w:p>
            <w:pPr>
              <w:spacing w:after="0"/>
              <w:rPr>
                <w:sz w:val="16"/>
                <w:szCs w:val="16"/>
                <w:color w:val="auto"/>
              </w:rPr>
            </w:pPr>
          </w:p>
        </w:tc>
        <w:tc>
          <w:tcPr>
            <w:tcW w:w="188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settlements)</w:t>
            </w:r>
          </w:p>
        </w:tc>
        <w:tc>
          <w:tcPr>
            <w:tcW w:w="1440" w:type="dxa"/>
            <w:vAlign w:val="bottom"/>
            <w:tcBorders>
              <w:bottom w:val="single" w:sz="8" w:color="939598"/>
            </w:tcBorders>
          </w:tcPr>
          <w:p>
            <w:pPr>
              <w:spacing w:after="0"/>
              <w:rPr>
                <w:sz w:val="16"/>
                <w:szCs w:val="16"/>
                <w:color w:val="auto"/>
              </w:rPr>
            </w:pPr>
          </w:p>
        </w:tc>
        <w:tc>
          <w:tcPr>
            <w:tcW w:w="1600" w:type="dxa"/>
            <w:vAlign w:val="bottom"/>
            <w:tcBorders>
              <w:bottom w:val="single" w:sz="8" w:color="939598"/>
            </w:tcBorders>
          </w:tcPr>
          <w:p>
            <w:pPr>
              <w:spacing w:after="0"/>
              <w:rPr>
                <w:sz w:val="16"/>
                <w:szCs w:val="16"/>
                <w:color w:val="auto"/>
              </w:rPr>
            </w:pPr>
          </w:p>
        </w:tc>
        <w:tc>
          <w:tcPr>
            <w:tcW w:w="1340" w:type="dxa"/>
            <w:vAlign w:val="bottom"/>
            <w:tcBorders>
              <w:bottom w:val="single" w:sz="8" w:color="939598"/>
            </w:tcBorders>
          </w:tcPr>
          <w:p>
            <w:pPr>
              <w:spacing w:after="0"/>
              <w:rPr>
                <w:sz w:val="16"/>
                <w:szCs w:val="16"/>
                <w:color w:val="auto"/>
              </w:rPr>
            </w:pPr>
          </w:p>
        </w:tc>
        <w:tc>
          <w:tcPr>
            <w:tcW w:w="1180" w:type="dxa"/>
            <w:vAlign w:val="bottom"/>
            <w:tcBorders>
              <w:bottom w:val="single" w:sz="8" w:color="939598"/>
            </w:tcBorders>
          </w:tcPr>
          <w:p>
            <w:pPr>
              <w:spacing w:after="0"/>
              <w:rPr>
                <w:sz w:val="16"/>
                <w:szCs w:val="16"/>
                <w:color w:val="auto"/>
              </w:rPr>
            </w:pPr>
          </w:p>
        </w:tc>
        <w:tc>
          <w:tcPr>
            <w:tcW w:w="1040" w:type="dxa"/>
            <w:vAlign w:val="bottom"/>
            <w:tcBorders>
              <w:bottom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AERO Income Contribution</w:t>
            </w:r>
          </w:p>
        </w:tc>
        <w:tc>
          <w:tcPr>
            <w:tcW w:w="188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$2.896 billion</w:t>
            </w:r>
          </w:p>
        </w:tc>
        <w:tc>
          <w:tcPr>
            <w:tcW w:w="14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$3.067 billion</w:t>
            </w:r>
          </w:p>
        </w:tc>
        <w:tc>
          <w:tcPr>
            <w:tcW w:w="160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105.9 %</w:t>
            </w:r>
          </w:p>
        </w:tc>
        <w:tc>
          <w:tcPr>
            <w:tcW w:w="1340" w:type="dxa"/>
            <w:vAlign w:val="bottom"/>
            <w:tcBorders>
              <w:bottom w:val="single" w:sz="8" w:color="939598"/>
            </w:tcBorders>
          </w:tcPr>
          <w:p>
            <w:pPr>
              <w:jc w:val="right"/>
              <w:ind w:right="169"/>
              <w:spacing w:after="0"/>
              <w:rPr>
                <w:sz w:val="20"/>
                <w:szCs w:val="20"/>
                <w:color w:val="auto"/>
              </w:rPr>
            </w:pPr>
            <w:r>
              <w:rPr>
                <w:rFonts w:ascii="Arial" w:cs="Arial" w:eastAsia="Arial" w:hAnsi="Arial"/>
                <w:sz w:val="14"/>
                <w:szCs w:val="14"/>
                <w:color w:val="auto"/>
              </w:rPr>
              <w:t>130 %</w:t>
            </w:r>
          </w:p>
        </w:tc>
        <w:tc>
          <w:tcPr>
            <w:tcW w:w="118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32.4 %</w:t>
            </w:r>
          </w:p>
        </w:tc>
        <w:tc>
          <w:tcPr>
            <w:tcW w:w="0" w:type="dxa"/>
            <w:vAlign w:val="bottom"/>
          </w:tcPr>
          <w:p>
            <w:pPr>
              <w:spacing w:after="0"/>
              <w:rPr>
                <w:sz w:val="1"/>
                <w:szCs w:val="1"/>
                <w:color w:val="auto"/>
              </w:rPr>
            </w:pPr>
          </w:p>
        </w:tc>
      </w:tr>
      <w:tr>
        <w:trPr>
          <w:trHeight w:val="223"/>
        </w:trPr>
        <w:tc>
          <w:tcPr>
            <w:tcW w:w="276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AERO Free Cash Flow</w:t>
            </w:r>
          </w:p>
        </w:tc>
        <w:tc>
          <w:tcPr>
            <w:tcW w:w="1880" w:type="dxa"/>
            <w:vAlign w:val="bottom"/>
            <w:tcBorders>
              <w:bottom w:val="single" w:sz="8" w:color="EE2724"/>
            </w:tcBorders>
          </w:tcPr>
          <w:p>
            <w:pPr>
              <w:jc w:val="right"/>
              <w:ind w:right="168"/>
              <w:spacing w:after="0"/>
              <w:rPr>
                <w:sz w:val="20"/>
                <w:szCs w:val="20"/>
                <w:color w:val="auto"/>
              </w:rPr>
            </w:pPr>
            <w:r>
              <w:rPr>
                <w:rFonts w:ascii="Arial" w:cs="Arial" w:eastAsia="Arial" w:hAnsi="Arial"/>
                <w:sz w:val="14"/>
                <w:szCs w:val="14"/>
                <w:color w:val="auto"/>
              </w:rPr>
              <w:t>$2.897 billion</w:t>
            </w:r>
          </w:p>
        </w:tc>
        <w:tc>
          <w:tcPr>
            <w:tcW w:w="1440" w:type="dxa"/>
            <w:vAlign w:val="bottom"/>
            <w:tcBorders>
              <w:bottom w:val="single" w:sz="8" w:color="EE2724"/>
            </w:tcBorders>
          </w:tcPr>
          <w:p>
            <w:pPr>
              <w:jc w:val="right"/>
              <w:spacing w:after="0"/>
              <w:rPr>
                <w:sz w:val="20"/>
                <w:szCs w:val="20"/>
                <w:color w:val="auto"/>
              </w:rPr>
            </w:pPr>
            <w:r>
              <w:rPr>
                <w:rFonts w:ascii="Arial" w:cs="Arial" w:eastAsia="Arial" w:hAnsi="Arial"/>
                <w:sz w:val="14"/>
                <w:szCs w:val="14"/>
                <w:color w:val="auto"/>
              </w:rPr>
              <w:t>$2.731 billion</w:t>
            </w:r>
          </w:p>
        </w:tc>
        <w:tc>
          <w:tcPr>
            <w:tcW w:w="1600" w:type="dxa"/>
            <w:vAlign w:val="bottom"/>
            <w:tcBorders>
              <w:bottom w:val="single" w:sz="8" w:color="EE2724"/>
            </w:tcBorders>
          </w:tcPr>
          <w:p>
            <w:pPr>
              <w:jc w:val="right"/>
              <w:ind w:right="148"/>
              <w:spacing w:after="0"/>
              <w:rPr>
                <w:sz w:val="20"/>
                <w:szCs w:val="20"/>
                <w:color w:val="auto"/>
              </w:rPr>
            </w:pPr>
            <w:r>
              <w:rPr>
                <w:rFonts w:ascii="Arial" w:cs="Arial" w:eastAsia="Arial" w:hAnsi="Arial"/>
                <w:sz w:val="14"/>
                <w:szCs w:val="14"/>
                <w:color w:val="auto"/>
              </w:rPr>
              <w:t>94.3 %</w:t>
            </w:r>
          </w:p>
        </w:tc>
        <w:tc>
          <w:tcPr>
            <w:tcW w:w="1340" w:type="dxa"/>
            <w:vAlign w:val="bottom"/>
            <w:tcBorders>
              <w:bottom w:val="single" w:sz="8" w:color="EE2724"/>
            </w:tcBorders>
          </w:tcPr>
          <w:p>
            <w:pPr>
              <w:jc w:val="right"/>
              <w:ind w:right="169"/>
              <w:spacing w:after="0"/>
              <w:rPr>
                <w:sz w:val="20"/>
                <w:szCs w:val="20"/>
                <w:color w:val="auto"/>
              </w:rPr>
            </w:pPr>
            <w:r>
              <w:rPr>
                <w:rFonts w:ascii="Arial" w:cs="Arial" w:eastAsia="Arial" w:hAnsi="Arial"/>
                <w:sz w:val="14"/>
                <w:szCs w:val="14"/>
                <w:color w:val="auto"/>
              </w:rPr>
              <w:t>86 %</w:t>
            </w:r>
          </w:p>
        </w:tc>
        <w:tc>
          <w:tcPr>
            <w:tcW w:w="1180" w:type="dxa"/>
            <w:vAlign w:val="bottom"/>
            <w:tcBorders>
              <w:bottom w:val="single" w:sz="8" w:color="EE2724"/>
            </w:tcBorders>
          </w:tcPr>
          <w:p>
            <w:pPr>
              <w:jc w:val="right"/>
              <w:ind w:right="168"/>
              <w:spacing w:after="0"/>
              <w:rPr>
                <w:sz w:val="20"/>
                <w:szCs w:val="20"/>
                <w:color w:val="auto"/>
              </w:rPr>
            </w:pPr>
            <w:r>
              <w:rPr>
                <w:rFonts w:ascii="Arial" w:cs="Arial" w:eastAsia="Arial" w:hAnsi="Arial"/>
                <w:sz w:val="14"/>
                <w:szCs w:val="14"/>
                <w:color w:val="auto"/>
              </w:rPr>
              <w:t>25 %</w:t>
            </w:r>
          </w:p>
        </w:tc>
        <w:tc>
          <w:tcPr>
            <w:tcW w:w="1040" w:type="dxa"/>
            <w:vAlign w:val="bottom"/>
            <w:tcBorders>
              <w:bottom w:val="single" w:sz="8" w:color="EE2724"/>
            </w:tcBorders>
          </w:tcPr>
          <w:p>
            <w:pPr>
              <w:jc w:val="right"/>
              <w:spacing w:after="0"/>
              <w:rPr>
                <w:sz w:val="20"/>
                <w:szCs w:val="20"/>
                <w:color w:val="auto"/>
              </w:rPr>
            </w:pPr>
            <w:r>
              <w:rPr>
                <w:rFonts w:ascii="Arial" w:cs="Arial" w:eastAsia="Arial" w:hAnsi="Arial"/>
                <w:sz w:val="14"/>
                <w:szCs w:val="14"/>
                <w:color w:val="auto"/>
              </w:rPr>
              <w:t>21.4 %</w:t>
            </w:r>
          </w:p>
        </w:tc>
        <w:tc>
          <w:tcPr>
            <w:tcW w:w="0" w:type="dxa"/>
            <w:vAlign w:val="bottom"/>
          </w:tcPr>
          <w:p>
            <w:pPr>
              <w:spacing w:after="0"/>
              <w:rPr>
                <w:sz w:val="1"/>
                <w:szCs w:val="1"/>
                <w:color w:val="auto"/>
              </w:rPr>
            </w:pPr>
          </w:p>
        </w:tc>
      </w:tr>
      <w:tr>
        <w:trPr>
          <w:trHeight w:val="223"/>
        </w:trPr>
        <w:tc>
          <w:tcPr>
            <w:tcW w:w="2760" w:type="dxa"/>
            <w:vAlign w:val="bottom"/>
            <w:tcBorders>
              <w:left w:val="single" w:sz="8" w:color="EE2724"/>
              <w:bottom w:val="single" w:sz="8" w:color="EE2724"/>
            </w:tcBorders>
          </w:tcPr>
          <w:p>
            <w:pPr>
              <w:spacing w:after="0"/>
              <w:rPr>
                <w:sz w:val="19"/>
                <w:szCs w:val="19"/>
                <w:color w:val="auto"/>
              </w:rPr>
            </w:pPr>
          </w:p>
        </w:tc>
        <w:tc>
          <w:tcPr>
            <w:tcW w:w="1880" w:type="dxa"/>
            <w:vAlign w:val="bottom"/>
            <w:tcBorders>
              <w:bottom w:val="single" w:sz="8" w:color="EE2724"/>
            </w:tcBorders>
          </w:tcPr>
          <w:p>
            <w:pPr>
              <w:spacing w:after="0"/>
              <w:rPr>
                <w:sz w:val="19"/>
                <w:szCs w:val="19"/>
                <w:color w:val="auto"/>
              </w:rPr>
            </w:pPr>
          </w:p>
        </w:tc>
        <w:tc>
          <w:tcPr>
            <w:tcW w:w="1440" w:type="dxa"/>
            <w:vAlign w:val="bottom"/>
            <w:tcBorders>
              <w:bottom w:val="single" w:sz="8" w:color="EE2724"/>
            </w:tcBorders>
          </w:tcPr>
          <w:p>
            <w:pPr>
              <w:spacing w:after="0"/>
              <w:rPr>
                <w:sz w:val="19"/>
                <w:szCs w:val="19"/>
                <w:color w:val="auto"/>
              </w:rPr>
            </w:pPr>
          </w:p>
        </w:tc>
        <w:tc>
          <w:tcPr>
            <w:tcW w:w="4120" w:type="dxa"/>
            <w:vAlign w:val="bottom"/>
            <w:tcBorders>
              <w:bottom w:val="single" w:sz="8" w:color="EE2724"/>
            </w:tcBorders>
            <w:gridSpan w:val="3"/>
          </w:tcPr>
          <w:p>
            <w:pPr>
              <w:jc w:val="right"/>
              <w:ind w:right="168"/>
              <w:spacing w:after="0"/>
              <w:rPr>
                <w:sz w:val="20"/>
                <w:szCs w:val="20"/>
                <w:color w:val="auto"/>
              </w:rPr>
            </w:pPr>
            <w:r>
              <w:rPr>
                <w:rFonts w:ascii="Arial" w:cs="Arial" w:eastAsia="Arial" w:hAnsi="Arial"/>
                <w:sz w:val="14"/>
                <w:szCs w:val="14"/>
                <w:b w:val="1"/>
                <w:bCs w:val="1"/>
                <w:color w:val="auto"/>
              </w:rPr>
              <w:t>Total Calculated (Formulaic) Payout: AERO (Mr. Currier)</w:t>
            </w:r>
          </w:p>
        </w:tc>
        <w:tc>
          <w:tcPr>
            <w:tcW w:w="1040" w:type="dxa"/>
            <w:vAlign w:val="bottom"/>
            <w:tcBorders>
              <w:bottom w:val="single" w:sz="8" w:color="EE2724"/>
              <w:right w:val="single" w:sz="8" w:color="EE2724"/>
            </w:tcBorders>
          </w:tcPr>
          <w:p>
            <w:pPr>
              <w:jc w:val="right"/>
              <w:spacing w:after="0"/>
              <w:rPr>
                <w:sz w:val="20"/>
                <w:szCs w:val="20"/>
                <w:color w:val="auto"/>
              </w:rPr>
            </w:pPr>
            <w:r>
              <w:rPr>
                <w:rFonts w:ascii="Arial" w:cs="Arial" w:eastAsia="Arial" w:hAnsi="Arial"/>
                <w:sz w:val="14"/>
                <w:szCs w:val="14"/>
                <w:b w:val="1"/>
                <w:bCs w:val="1"/>
                <w:color w:val="auto"/>
              </w:rPr>
              <w:t>112 %</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200" w:right="600" w:hanging="192"/>
        <w:spacing w:after="0" w:line="226" w:lineRule="auto"/>
        <w:tabs>
          <w:tab w:leader="none" w:pos="200" w:val="left"/>
        </w:tabs>
        <w:numPr>
          <w:ilvl w:val="0"/>
          <w:numId w:val="138"/>
        </w:numPr>
        <w:rPr>
          <w:rFonts w:ascii="Arial" w:cs="Arial" w:eastAsia="Arial" w:hAnsi="Arial"/>
          <w:sz w:val="16"/>
          <w:szCs w:val="16"/>
          <w:color w:val="auto"/>
          <w:vertAlign w:val="superscript"/>
        </w:rPr>
      </w:pPr>
      <w:r>
        <w:rPr>
          <w:rFonts w:ascii="Arial" w:cs="Arial" w:eastAsia="Arial" w:hAnsi="Arial"/>
          <w:sz w:val="13"/>
          <w:szCs w:val="13"/>
          <w:color w:val="auto"/>
        </w:rPr>
        <w:t>Metric Payout Percentage based on ICP payout curve, which provides for a 5% increase in payout for each 1% of performance above target, and a 2.5% decrease in payout for each 1% of performance below target, with interpolation for intermediate points on the curve.</w:t>
      </w:r>
    </w:p>
    <w:p>
      <w:pPr>
        <w:spacing w:after="0" w:line="50" w:lineRule="exact"/>
        <w:rPr>
          <w:sz w:val="20"/>
          <w:szCs w:val="20"/>
          <w:color w:val="auto"/>
        </w:rPr>
      </w:pPr>
    </w:p>
    <w:p>
      <w:pPr>
        <w:ind w:right="20"/>
        <w:spacing w:after="0" w:line="286" w:lineRule="auto"/>
        <w:rPr>
          <w:sz w:val="20"/>
          <w:szCs w:val="20"/>
          <w:color w:val="auto"/>
        </w:rPr>
      </w:pPr>
      <w:r>
        <w:rPr>
          <w:rFonts w:ascii="Arial" w:cs="Arial" w:eastAsia="Arial" w:hAnsi="Arial"/>
          <w:sz w:val="13"/>
          <w:szCs w:val="13"/>
          <w:color w:val="auto"/>
        </w:rPr>
        <w:t>Reconciliation, notes, and definitions of non-GAAP financial measures used in the Compensation Discussion and Analysis section and elsewhere in this Proxy Statement, other than as part of disclosure of target levels, can be found on page 49 or in Appendix A.</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calculated payout percentages above were multiplied by 80% to arrive at the formulaic portion of the 2023 ICP award for each of the NEOs.</w:t>
      </w:r>
    </w:p>
    <w:p>
      <w:pPr>
        <w:spacing w:after="0" w:line="24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sz w:val="1"/>
          <w:szCs w:val="1"/>
          <w:color w:val="auto"/>
        </w:rPr>
        <w:drawing>
          <wp:inline distT="0" distB="0" distL="0" distR="0">
            <wp:extent cx="548640" cy="10287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ICP INDIVIDUAL QUALITATIVE PORTION (15% OF TARGET AWARD)</w:t>
      </w:r>
    </w:p>
    <w:p>
      <w:pPr>
        <w:spacing w:after="0" w:line="12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MDCC conducted a qualitative assessment to determine the individual qualitative portion of the ICP award payout, which accounted for 15% of the target award for each NEO in 2023. The MDCC first reviewed a scorecard of key performance indicators and business results against annual operating plan goals set at the beginning of 2023, and considered the impact changes in macroeconomic conditions throughout the year had on such results and how management responded to these challenges. The MDCC also reviewed Company performance against the Compensation Peer Group companies and other indices on key business metrics typically used to inform the ICP qualitative assessment.</w:t>
      </w:r>
    </w:p>
    <w:p>
      <w:pPr>
        <w:spacing w:after="0" w:line="64"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MDCC then reviewed and considered the key 2023 activities and accomplishments for Mr. Kapur and each of the Other NEOs, some of which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23430" cy="53238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23430" cy="532384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VIMAL KAPUR</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KAPUR — QUALITATIVE CONSIDERATIONS</w:t>
      </w:r>
    </w:p>
    <w:p>
      <w:pPr>
        <w:spacing w:after="0" w:line="91" w:lineRule="exact"/>
        <w:rPr>
          <w:sz w:val="20"/>
          <w:szCs w:val="20"/>
          <w:color w:val="auto"/>
        </w:rPr>
      </w:pPr>
    </w:p>
    <w:p>
      <w:pPr>
        <w:ind w:left="200" w:right="220" w:hanging="191"/>
        <w:spacing w:after="0" w:line="273"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Successfully realigned the portfolio to three compelling megatrends: automation, the future of aviation, and the energy transition, simplifying Honeywell's business objectives and enabling the company to invest more efficiently and accelerate our growth potential.</w:t>
      </w:r>
    </w:p>
    <w:p>
      <w:pPr>
        <w:spacing w:after="0" w:line="44" w:lineRule="exact"/>
        <w:rPr>
          <w:rFonts w:ascii="Arial" w:cs="Arial" w:eastAsia="Arial" w:hAnsi="Arial"/>
          <w:sz w:val="14"/>
          <w:szCs w:val="14"/>
          <w:b w:val="1"/>
          <w:bCs w:val="1"/>
          <w:color w:val="D7282F"/>
        </w:rPr>
      </w:pPr>
    </w:p>
    <w:p>
      <w:pPr>
        <w:ind w:left="200" w:right="120" w:hanging="191"/>
        <w:spacing w:after="0" w:line="28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Laid the groundwork to reorient the organization to focus on achieving accelerated organic growth by revamping our innovation playbook, bolstering our sustainability and digitalization offerings, and maintaining leadership positions in high-growth regions.</w:t>
      </w:r>
    </w:p>
    <w:p>
      <w:pPr>
        <w:spacing w:after="0" w:line="22" w:lineRule="exact"/>
        <w:rPr>
          <w:rFonts w:ascii="Arial" w:cs="Arial" w:eastAsia="Arial" w:hAnsi="Arial"/>
          <w:sz w:val="14"/>
          <w:szCs w:val="14"/>
          <w:b w:val="1"/>
          <w:bCs w:val="1"/>
          <w:color w:val="D7282F"/>
        </w:rPr>
      </w:pPr>
    </w:p>
    <w:p>
      <w:pPr>
        <w:ind w:left="200" w:right="100" w:hanging="191"/>
        <w:spacing w:after="0" w:line="30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Delivered 100 basis points of annual margin expansion in 2023, above our original guidance and long-term framework of 40–60 basis points through commercial excellence, volume leverage, and productivity measures.</w:t>
      </w:r>
    </w:p>
    <w:p>
      <w:pPr>
        <w:spacing w:after="0" w:line="9" w:lineRule="exact"/>
        <w:rPr>
          <w:rFonts w:ascii="Arial" w:cs="Arial" w:eastAsia="Arial" w:hAnsi="Arial"/>
          <w:sz w:val="14"/>
          <w:szCs w:val="14"/>
          <w:b w:val="1"/>
          <w:bCs w:val="1"/>
          <w:color w:val="D7282F"/>
        </w:rPr>
      </w:pPr>
    </w:p>
    <w:p>
      <w:pPr>
        <w:ind w:left="200" w:right="700" w:hanging="191"/>
        <w:spacing w:after="0" w:line="30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Continued focus on NPI vitality drove 29% of sales in 2023 by clarifying innovation objectives to focus on new product development for existing markets and offering existing solutions to new customer categories.</w:t>
      </w:r>
    </w:p>
    <w:p>
      <w:pPr>
        <w:spacing w:after="0" w:line="9" w:lineRule="exact"/>
        <w:rPr>
          <w:rFonts w:ascii="Arial" w:cs="Arial" w:eastAsia="Arial" w:hAnsi="Arial"/>
          <w:sz w:val="14"/>
          <w:szCs w:val="14"/>
          <w:b w:val="1"/>
          <w:bCs w:val="1"/>
          <w:color w:val="D7282F"/>
        </w:rPr>
      </w:pPr>
    </w:p>
    <w:p>
      <w:pPr>
        <w:ind w:left="200" w:right="180" w:hanging="191"/>
        <w:spacing w:after="0" w:line="30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Enabled mid-teens top-line growth at accretive margins in Honeywell Connected Enterprise, providing further evidence of Honeywell's strong software franchise across connected industrial, cybersecurity, connected buildings, and connected aircraft.</w:t>
      </w:r>
    </w:p>
    <w:p>
      <w:pPr>
        <w:spacing w:after="0" w:line="9" w:lineRule="exact"/>
        <w:rPr>
          <w:rFonts w:ascii="Arial" w:cs="Arial" w:eastAsia="Arial" w:hAnsi="Arial"/>
          <w:sz w:val="14"/>
          <w:szCs w:val="14"/>
          <w:b w:val="1"/>
          <w:bCs w:val="1"/>
          <w:color w:val="D7282F"/>
        </w:rPr>
      </w:pPr>
    </w:p>
    <w:p>
      <w:pPr>
        <w:ind w:left="200" w:right="100" w:hanging="191"/>
        <w:spacing w:after="0" w:line="283"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Announced the next phase of our Accelerator operating system (Accelerator 3.0), taking a large step toward standardizing our organization end-to-end across our four main business models — products, projects, aftermarket services, and software — and facilitating knowledge transfer on best practices to help drive incremental growth, margin expansion, and cash generation.</w:t>
      </w:r>
    </w:p>
    <w:p>
      <w:pPr>
        <w:spacing w:after="0" w:line="24" w:lineRule="exact"/>
        <w:rPr>
          <w:rFonts w:ascii="Arial" w:cs="Arial" w:eastAsia="Arial" w:hAnsi="Arial"/>
          <w:sz w:val="14"/>
          <w:szCs w:val="14"/>
          <w:b w:val="1"/>
          <w:bCs w:val="1"/>
          <w:color w:val="D7282F"/>
        </w:rPr>
      </w:pPr>
    </w:p>
    <w:p>
      <w:pPr>
        <w:ind w:left="200" w:right="300" w:hanging="191"/>
        <w:spacing w:after="0" w:line="30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Under Mr. Kapur's leadership, Honeywell's financial performance exceeded that of the Compensation Peer Group median in segment margin, margin expansion, and free cash flow margin.</w:t>
      </w:r>
    </w:p>
    <w:p>
      <w:pPr>
        <w:spacing w:after="0" w:line="9" w:lineRule="exact"/>
        <w:rPr>
          <w:rFonts w:ascii="Arial" w:cs="Arial" w:eastAsia="Arial" w:hAnsi="Arial"/>
          <w:sz w:val="14"/>
          <w:szCs w:val="14"/>
          <w:b w:val="1"/>
          <w:bCs w:val="1"/>
          <w:color w:val="D7282F"/>
        </w:rPr>
      </w:pPr>
    </w:p>
    <w:p>
      <w:pPr>
        <w:ind w:left="200" w:right="540" w:hanging="191"/>
        <w:spacing w:after="0" w:line="273"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Deployed over $700 million to acquire Compressor Controls Corporation (CCC) and SCADAfence and announced the acquisition of Carrier Global Corporation's Global Access Solutions for nearly $5 billion, delivering on our commitment to enhance our existing portfolio with attractive bolt-on M&amp;A through accelerated capital deployment.</w:t>
      </w:r>
    </w:p>
    <w:p>
      <w:pPr>
        <w:spacing w:after="0" w:line="44" w:lineRule="exact"/>
        <w:rPr>
          <w:rFonts w:ascii="Arial" w:cs="Arial" w:eastAsia="Arial" w:hAnsi="Arial"/>
          <w:sz w:val="14"/>
          <w:szCs w:val="14"/>
          <w:b w:val="1"/>
          <w:bCs w:val="1"/>
          <w:color w:val="D7282F"/>
        </w:rPr>
      </w:pPr>
    </w:p>
    <w:p>
      <w:pPr>
        <w:jc w:val="both"/>
        <w:ind w:left="200" w:right="360" w:hanging="191"/>
        <w:spacing w:after="0" w:line="273"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Effectively balanced our capital deployment strategy to maximize Honeywell's shareowner returns through a combination of capital investments, share repurchases, and dividends, including the Company's fourteenth dividend increase over thirteen consecutive years.</w:t>
      </w:r>
    </w:p>
    <w:p>
      <w:pPr>
        <w:spacing w:after="0" w:line="31" w:lineRule="exact"/>
        <w:rPr>
          <w:rFonts w:ascii="Arial" w:cs="Arial" w:eastAsia="Arial" w:hAnsi="Arial"/>
          <w:sz w:val="14"/>
          <w:szCs w:val="14"/>
          <w:b w:val="1"/>
          <w:bCs w:val="1"/>
          <w:color w:val="D7282F"/>
        </w:rPr>
      </w:pPr>
    </w:p>
    <w:p>
      <w:pPr>
        <w:jc w:val="both"/>
        <w:ind w:left="200" w:right="400" w:hanging="191"/>
        <w:spacing w:after="0" w:line="249"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Achieved our 10-10-10 environmental goals in 2023 reducing global Scope 1 and 2 greenhouse gas emissions intensity by &gt;20% from 2018 levels,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deploying 20 renewable energy opportunities, and achieving certification to ISO's 50001 Energy Management Standard at 28 facilities.</w:t>
      </w:r>
    </w:p>
    <w:p>
      <w:pPr>
        <w:spacing w:after="0" w:line="45" w:lineRule="exact"/>
        <w:rPr>
          <w:rFonts w:ascii="Arial" w:cs="Arial" w:eastAsia="Arial" w:hAnsi="Arial"/>
          <w:sz w:val="14"/>
          <w:szCs w:val="14"/>
          <w:b w:val="1"/>
          <w:bCs w:val="1"/>
          <w:color w:val="D7282F"/>
        </w:rPr>
      </w:pPr>
    </w:p>
    <w:p>
      <w:pPr>
        <w:ind w:left="200" w:right="240" w:hanging="191"/>
        <w:spacing w:after="0" w:line="27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Continued to invest approximately 60% of new product R&amp;D on ESG-oriented solutions, introducing cutting-edge offerings for global markets and industries helping to solve some of the world’s most complex ESG challenges.</w:t>
      </w:r>
      <w:r>
        <w:rPr>
          <w:rFonts w:ascii="Arial" w:cs="Arial" w:eastAsia="Arial" w:hAnsi="Arial"/>
          <w:sz w:val="18"/>
          <w:szCs w:val="18"/>
          <w:color w:val="auto"/>
          <w:vertAlign w:val="superscript"/>
        </w:rPr>
        <w:t>(2)</w:t>
      </w:r>
    </w:p>
    <w:p>
      <w:pPr>
        <w:spacing w:after="0" w:line="1" w:lineRule="exact"/>
        <w:rPr>
          <w:rFonts w:ascii="Arial" w:cs="Arial" w:eastAsia="Arial" w:hAnsi="Arial"/>
          <w:sz w:val="14"/>
          <w:szCs w:val="14"/>
          <w:b w:val="1"/>
          <w:bCs w:val="1"/>
          <w:color w:val="D7282F"/>
        </w:rPr>
      </w:pPr>
    </w:p>
    <w:p>
      <w:pPr>
        <w:ind w:left="200" w:right="140" w:hanging="191"/>
        <w:spacing w:after="0" w:line="298"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Launched the Sustainability Education Coalition with global leader Discovery Education in a first-of-its-kind partnership that will bring digital content and real-world sustainability education to more than 10 million students by 2026.</w:t>
      </w:r>
    </w:p>
    <w:p>
      <w:pPr>
        <w:spacing w:after="0" w:line="14" w:lineRule="exact"/>
        <w:rPr>
          <w:rFonts w:ascii="Arial" w:cs="Arial" w:eastAsia="Arial" w:hAnsi="Arial"/>
          <w:sz w:val="14"/>
          <w:szCs w:val="14"/>
          <w:b w:val="1"/>
          <w:bCs w:val="1"/>
          <w:color w:val="D7282F"/>
        </w:rPr>
      </w:pPr>
    </w:p>
    <w:p>
      <w:pPr>
        <w:ind w:left="200" w:right="300" w:hanging="191"/>
        <w:spacing w:after="0" w:line="305" w:lineRule="auto"/>
        <w:tabs>
          <w:tab w:leader="none" w:pos="191" w:val="left"/>
        </w:tabs>
        <w:numPr>
          <w:ilvl w:val="0"/>
          <w:numId w:val="139"/>
        </w:numPr>
        <w:rPr>
          <w:rFonts w:ascii="Arial" w:cs="Arial" w:eastAsia="Arial" w:hAnsi="Arial"/>
          <w:sz w:val="14"/>
          <w:szCs w:val="14"/>
          <w:b w:val="1"/>
          <w:bCs w:val="1"/>
          <w:color w:val="D7282F"/>
        </w:rPr>
      </w:pPr>
      <w:r>
        <w:rPr>
          <w:rFonts w:ascii="Arial" w:cs="Arial" w:eastAsia="Arial" w:hAnsi="Arial"/>
          <w:sz w:val="14"/>
          <w:szCs w:val="14"/>
          <w:color w:val="auto"/>
        </w:rPr>
        <w:t>Co-sponsor of the Global Inclusion and Diversity Steering Committee to support our global programs and inclusive culture to recruit, develop, retain, and promote diverse talent.</w:t>
      </w:r>
    </w:p>
    <w:p>
      <w:pPr>
        <w:spacing w:after="0" w:line="200" w:lineRule="exact"/>
        <w:rPr>
          <w:sz w:val="20"/>
          <w:szCs w:val="20"/>
          <w:color w:val="auto"/>
        </w:rPr>
      </w:pPr>
    </w:p>
    <w:p>
      <w:pPr>
        <w:sectPr>
          <w:pgSz w:w="11900" w:h="16838" w:orient="portrait"/>
          <w:cols w:equalWidth="0" w:num="2">
            <w:col w:w="2140" w:space="720"/>
            <w:col w:w="83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hanging="192"/>
        <w:spacing w:after="0"/>
        <w:tabs>
          <w:tab w:leader="none" w:pos="200" w:val="left"/>
        </w:tabs>
        <w:numPr>
          <w:ilvl w:val="0"/>
          <w:numId w:val="140"/>
        </w:numPr>
        <w:rPr>
          <w:rFonts w:ascii="Arial" w:cs="Arial" w:eastAsia="Arial" w:hAnsi="Arial"/>
          <w:sz w:val="16"/>
          <w:szCs w:val="16"/>
          <w:color w:val="auto"/>
          <w:vertAlign w:val="superscript"/>
        </w:rPr>
      </w:pPr>
      <w:r>
        <w:rPr>
          <w:rFonts w:ascii="Arial" w:cs="Arial" w:eastAsia="Arial" w:hAnsi="Arial"/>
          <w:sz w:val="13"/>
          <w:szCs w:val="13"/>
          <w:color w:val="auto"/>
        </w:rPr>
        <w:t>Subject to assurance.</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40"/>
        </w:numPr>
        <w:rPr>
          <w:rFonts w:ascii="Arial" w:cs="Arial" w:eastAsia="Arial" w:hAnsi="Arial"/>
          <w:sz w:val="16"/>
          <w:szCs w:val="16"/>
          <w:color w:val="auto"/>
          <w:vertAlign w:val="superscript"/>
        </w:rPr>
      </w:pPr>
      <w:r>
        <w:rPr>
          <w:rFonts w:ascii="Arial" w:cs="Arial" w:eastAsia="Arial" w:hAnsi="Arial"/>
          <w:sz w:val="13"/>
          <w:szCs w:val="13"/>
          <w:color w:val="auto"/>
        </w:rPr>
        <w:t>Methodology for identifying ESG-oriented solutions is available at investor.honeywell.com (see “ESG/ESG Information/Identification of ESG-Oriented Offerings”).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23430" cy="33604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23430" cy="336042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D7282F"/>
        </w:rPr>
        <w:t>GREGORY P. LEWIS</w:t>
      </w:r>
    </w:p>
    <w:p>
      <w:pPr>
        <w:spacing w:after="0" w:line="50" w:lineRule="exact"/>
        <w:rPr>
          <w:sz w:val="20"/>
          <w:szCs w:val="20"/>
          <w:color w:val="auto"/>
        </w:rPr>
      </w:pPr>
    </w:p>
    <w:p>
      <w:pPr>
        <w:ind w:left="20" w:right="280"/>
        <w:spacing w:after="0" w:line="293" w:lineRule="auto"/>
        <w:rPr>
          <w:sz w:val="20"/>
          <w:szCs w:val="20"/>
          <w:color w:val="auto"/>
        </w:rPr>
      </w:pPr>
      <w:r>
        <w:rPr>
          <w:rFonts w:ascii="Arial" w:cs="Arial" w:eastAsia="Arial" w:hAnsi="Arial"/>
          <w:sz w:val="14"/>
          <w:szCs w:val="14"/>
          <w:b w:val="1"/>
          <w:bCs w:val="1"/>
          <w:color w:val="auto"/>
        </w:rPr>
        <w:t>SENIOR VICE PRESIDENT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LEWIS — QUALITATIVE CONSIDERATIONS</w:t>
      </w:r>
    </w:p>
    <w:p>
      <w:pPr>
        <w:spacing w:after="0" w:line="88" w:lineRule="exact"/>
        <w:rPr>
          <w:sz w:val="20"/>
          <w:szCs w:val="20"/>
          <w:color w:val="auto"/>
        </w:rPr>
      </w:pPr>
    </w:p>
    <w:p>
      <w:pPr>
        <w:ind w:left="200" w:right="60" w:hanging="191"/>
        <w:spacing w:after="0"/>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Under Mr. Lewis's leadership, Honeywell met or exceeded financial commitments: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4% organic sales growth, 100 basis points of margin expansion, $9.16 adjusted EPS, $4.3 billion of free cash flow.</w:t>
      </w:r>
    </w:p>
    <w:p>
      <w:pPr>
        <w:spacing w:after="0" w:line="52" w:lineRule="exact"/>
        <w:rPr>
          <w:rFonts w:ascii="Arial" w:cs="Arial" w:eastAsia="Arial" w:hAnsi="Arial"/>
          <w:sz w:val="14"/>
          <w:szCs w:val="14"/>
          <w:b w:val="1"/>
          <w:bCs w:val="1"/>
          <w:color w:val="D7282F"/>
        </w:rPr>
      </w:pPr>
    </w:p>
    <w:p>
      <w:pPr>
        <w:ind w:left="200" w:right="340" w:hanging="191"/>
        <w:spacing w:after="0" w:line="285"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Navigated Honeywell's financial planning and execution during a period marked by a dynamic mini-regional banking crisis, international conflict, and the challenges posed by escalating interest rates.</w:t>
      </w:r>
    </w:p>
    <w:p>
      <w:pPr>
        <w:spacing w:after="0" w:line="36" w:lineRule="exact"/>
        <w:rPr>
          <w:rFonts w:ascii="Arial" w:cs="Arial" w:eastAsia="Arial" w:hAnsi="Arial"/>
          <w:sz w:val="14"/>
          <w:szCs w:val="14"/>
          <w:b w:val="1"/>
          <w:bCs w:val="1"/>
          <w:color w:val="D7282F"/>
        </w:rPr>
      </w:pPr>
    </w:p>
    <w:p>
      <w:pPr>
        <w:ind w:left="200" w:right="180" w:hanging="191"/>
        <w:spacing w:after="0" w:line="285"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Implemented a transformative, enterprise-wide six-quarter rolling forecast process, enhancing foresight into future outcomes, risks, and opportunities, guiding both operational and strategic decisions.</w:t>
      </w:r>
    </w:p>
    <w:p>
      <w:pPr>
        <w:spacing w:after="0" w:line="22" w:lineRule="exact"/>
        <w:rPr>
          <w:rFonts w:ascii="Arial" w:cs="Arial" w:eastAsia="Arial" w:hAnsi="Arial"/>
          <w:sz w:val="14"/>
          <w:szCs w:val="14"/>
          <w:b w:val="1"/>
          <w:bCs w:val="1"/>
          <w:color w:val="D7282F"/>
        </w:rPr>
      </w:pPr>
    </w:p>
    <w:p>
      <w:pPr>
        <w:ind w:left="200" w:right="20" w:hanging="191"/>
        <w:spacing w:after="0" w:line="305"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Deployed $8.3 billion of capital to share repurchases, dividends, capital expenditures, venture investments, and M&amp;A, including the acquisition of Compressor Controls Corporation (CCC) and SCADAfence.</w:t>
      </w:r>
    </w:p>
    <w:p>
      <w:pPr>
        <w:spacing w:after="0" w:line="9"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Drove cash discipline that resulted in working capital turns of 8.7x, best-in-class among peers.</w:t>
      </w:r>
    </w:p>
    <w:p>
      <w:pPr>
        <w:spacing w:after="0" w:line="95"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Successfully managed Honeywell’s balance sheet including the issuance of $3 billion of debt at attractive long-term rates.</w:t>
      </w:r>
    </w:p>
    <w:p>
      <w:pPr>
        <w:spacing w:after="0" w:line="82" w:lineRule="exact"/>
        <w:rPr>
          <w:rFonts w:ascii="Arial" w:cs="Arial" w:eastAsia="Arial" w:hAnsi="Arial"/>
          <w:sz w:val="14"/>
          <w:szCs w:val="14"/>
          <w:b w:val="1"/>
          <w:bCs w:val="1"/>
          <w:color w:val="D7282F"/>
        </w:rPr>
      </w:pPr>
    </w:p>
    <w:p>
      <w:pPr>
        <w:ind w:left="200" w:right="60" w:hanging="191"/>
        <w:spacing w:after="0" w:line="285"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Enhanced the strategic vision and evolution of Honeywell Accelerator, revitalizing our framework and enabling Honeywell to be an integrated operating company.</w:t>
      </w:r>
    </w:p>
    <w:p>
      <w:pPr>
        <w:spacing w:after="0" w:line="36" w:lineRule="exact"/>
        <w:rPr>
          <w:rFonts w:ascii="Arial" w:cs="Arial" w:eastAsia="Arial" w:hAnsi="Arial"/>
          <w:sz w:val="14"/>
          <w:szCs w:val="14"/>
          <w:b w:val="1"/>
          <w:bCs w:val="1"/>
          <w:color w:val="D7282F"/>
        </w:rPr>
      </w:pPr>
    </w:p>
    <w:p>
      <w:pPr>
        <w:ind w:left="200" w:right="680" w:hanging="191"/>
        <w:spacing w:after="0" w:line="285"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Conducted impactful investor communications, highlighted by a successful investor day in May. Proactively managed relationships with rating agencies to safeguard a robust credit rating.</w:t>
      </w:r>
    </w:p>
    <w:p>
      <w:pPr>
        <w:spacing w:after="0" w:line="36" w:lineRule="exact"/>
        <w:rPr>
          <w:rFonts w:ascii="Arial" w:cs="Arial" w:eastAsia="Arial" w:hAnsi="Arial"/>
          <w:sz w:val="14"/>
          <w:szCs w:val="14"/>
          <w:b w:val="1"/>
          <w:bCs w:val="1"/>
          <w:color w:val="D7282F"/>
        </w:rPr>
      </w:pPr>
    </w:p>
    <w:p>
      <w:pPr>
        <w:ind w:left="200" w:right="580" w:hanging="191"/>
        <w:spacing w:after="0" w:line="285"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Sponsored the Honeywell All Abilities Network, chaired the second annual Accessibility Ideathon and Ally Awards, and championed Honeywell’s cross-functional Accessibility Leadership Council.</w:t>
      </w:r>
    </w:p>
    <w:p>
      <w:pPr>
        <w:spacing w:after="0" w:line="22" w:lineRule="exact"/>
        <w:rPr>
          <w:rFonts w:ascii="Arial" w:cs="Arial" w:eastAsia="Arial" w:hAnsi="Arial"/>
          <w:sz w:val="14"/>
          <w:szCs w:val="14"/>
          <w:b w:val="1"/>
          <w:bCs w:val="1"/>
          <w:color w:val="D7282F"/>
        </w:rPr>
      </w:pPr>
    </w:p>
    <w:p>
      <w:pPr>
        <w:ind w:left="200" w:right="260" w:hanging="191"/>
        <w:spacing w:after="0" w:line="283" w:lineRule="auto"/>
        <w:tabs>
          <w:tab w:leader="none" w:pos="191" w:val="left"/>
        </w:tabs>
        <w:numPr>
          <w:ilvl w:val="0"/>
          <w:numId w:val="141"/>
        </w:numPr>
        <w:rPr>
          <w:rFonts w:ascii="Arial" w:cs="Arial" w:eastAsia="Arial" w:hAnsi="Arial"/>
          <w:sz w:val="14"/>
          <w:szCs w:val="14"/>
          <w:b w:val="1"/>
          <w:bCs w:val="1"/>
          <w:color w:val="D7282F"/>
        </w:rPr>
      </w:pPr>
      <w:r>
        <w:rPr>
          <w:rFonts w:ascii="Arial" w:cs="Arial" w:eastAsia="Arial" w:hAnsi="Arial"/>
          <w:sz w:val="14"/>
          <w:szCs w:val="14"/>
          <w:color w:val="auto"/>
        </w:rPr>
        <w:t>Served as a Board Member for Roof Above, a non-profit organization working to end homelessness in Charlotte, N.C. In addition to providing strategic guidance, Lewis mentors Roof Above leaders and sponsored a project to modernize the non-profit’s finance function.</w:t>
      </w:r>
    </w:p>
    <w:p>
      <w:pPr>
        <w:spacing w:after="0" w:line="200" w:lineRule="exact"/>
        <w:rPr>
          <w:sz w:val="20"/>
          <w:szCs w:val="20"/>
          <w:color w:val="auto"/>
        </w:rPr>
      </w:pPr>
    </w:p>
    <w:p>
      <w:pPr>
        <w:sectPr>
          <w:pgSz w:w="11900" w:h="16838" w:orient="portrait"/>
          <w:cols w:equalWidth="0" w:num="2">
            <w:col w:w="2440" w:space="420"/>
            <w:col w:w="8300"/>
          </w:cols>
          <w:pgMar w:left="320" w:top="2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hanging="192"/>
        <w:spacing w:after="0" w:line="230" w:lineRule="auto"/>
        <w:tabs>
          <w:tab w:leader="none" w:pos="200" w:val="left"/>
        </w:tabs>
        <w:numPr>
          <w:ilvl w:val="0"/>
          <w:numId w:val="142"/>
        </w:numPr>
        <w:rPr>
          <w:rFonts w:ascii="Arial" w:cs="Arial" w:eastAsia="Arial" w:hAnsi="Arial"/>
          <w:sz w:val="16"/>
          <w:szCs w:val="16"/>
          <w:color w:val="auto"/>
          <w:vertAlign w:val="superscript"/>
        </w:rPr>
      </w:pPr>
      <w:r>
        <w:rPr>
          <w:rFonts w:ascii="Arial" w:cs="Arial" w:eastAsia="Arial" w:hAnsi="Arial"/>
          <w:sz w:val="13"/>
          <w:szCs w:val="13"/>
          <w:color w:val="auto"/>
        </w:rPr>
        <w:t>Adjusted EPS excludes items identified in the non-GAAP reconciliation of adjusted EPS contained within Appendix A of this Proxy Statement. Reconciliation, notes, and definitions of non-GAAP financial measures used in the Compensation Discussion and Analysis section and elsewhere in this Proxy Statement, other than as part of disclosure of target levels, can be found on page 49 or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23430" cy="34201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23430" cy="3420110"/>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D7282F"/>
        </w:rPr>
        <w:t>ANNE T. MADDEN</w:t>
      </w:r>
    </w:p>
    <w:p>
      <w:pPr>
        <w:spacing w:after="0" w:line="50" w:lineRule="exact"/>
        <w:rPr>
          <w:sz w:val="20"/>
          <w:szCs w:val="20"/>
          <w:color w:val="auto"/>
        </w:rPr>
      </w:pPr>
    </w:p>
    <w:p>
      <w:pPr>
        <w:ind w:left="20" w:right="20"/>
        <w:spacing w:after="0" w:line="293" w:lineRule="auto"/>
        <w:rPr>
          <w:sz w:val="20"/>
          <w:szCs w:val="20"/>
          <w:color w:val="auto"/>
        </w:rPr>
      </w:pPr>
      <w:r>
        <w:rPr>
          <w:rFonts w:ascii="Arial" w:cs="Arial" w:eastAsia="Arial" w:hAnsi="Arial"/>
          <w:sz w:val="14"/>
          <w:szCs w:val="14"/>
          <w:b w:val="1"/>
          <w:bCs w:val="1"/>
          <w:color w:val="auto"/>
        </w:rPr>
        <w:t>SENIOR VICE PRESIDENT AND GENERAL COUNSEL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MS. MADDEN — QUALITATIVE CONSIDERATIONS</w:t>
      </w:r>
    </w:p>
    <w:p>
      <w:pPr>
        <w:spacing w:after="0" w:line="77" w:lineRule="exact"/>
        <w:rPr>
          <w:sz w:val="20"/>
          <w:szCs w:val="20"/>
          <w:color w:val="auto"/>
        </w:rPr>
      </w:pPr>
    </w:p>
    <w:p>
      <w:pPr>
        <w:ind w:left="200" w:right="200" w:hanging="191"/>
        <w:spacing w:after="0" w:line="276"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Championed Honeywell’s ESG and Sustainability program, including achievement of our 10-10-10 goals and Science Based Targets Initiative (SBTi) target validation to address Scope 3 emissions. Chaired ESG Review Board and enhanced ESG governance framework, including digitization initiatives to support disclosure controls. Drove a wide array of government relations efforts, including impacting legislation and regulation in support of the Company’s sustainability strategies.</w:t>
      </w:r>
    </w:p>
    <w:p>
      <w:pPr>
        <w:spacing w:after="0" w:line="28" w:lineRule="exact"/>
        <w:rPr>
          <w:rFonts w:ascii="Arial" w:cs="Arial" w:eastAsia="Arial" w:hAnsi="Arial"/>
          <w:sz w:val="14"/>
          <w:szCs w:val="14"/>
          <w:b w:val="1"/>
          <w:bCs w:val="1"/>
          <w:color w:val="D7282F"/>
        </w:rPr>
      </w:pPr>
    </w:p>
    <w:p>
      <w:pPr>
        <w:ind w:left="200" w:right="840" w:hanging="191"/>
        <w:spacing w:after="0" w:line="305"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Oversaw robust shareowner engagement program. Introduced new ESG metrics to qualitative portion of executive compensation based on shareowner feedback.</w:t>
      </w:r>
    </w:p>
    <w:p>
      <w:pPr>
        <w:spacing w:after="0" w:line="9" w:lineRule="exact"/>
        <w:rPr>
          <w:rFonts w:ascii="Arial" w:cs="Arial" w:eastAsia="Arial" w:hAnsi="Arial"/>
          <w:sz w:val="14"/>
          <w:szCs w:val="14"/>
          <w:b w:val="1"/>
          <w:bCs w:val="1"/>
          <w:color w:val="D7282F"/>
        </w:rPr>
      </w:pPr>
    </w:p>
    <w:p>
      <w:pPr>
        <w:jc w:val="both"/>
        <w:ind w:left="200" w:right="140" w:hanging="191"/>
        <w:spacing w:after="0" w:line="273"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Led key inclusion and diversity programs, including co-sponsorship of the Global Inclusion and Diversity Steering Committee, the Women’s Career Advancement Program, and the Diversity Career Advancement Program, and Executive Sponsorship of the LGBTQ+ employee resource network.</w:t>
      </w:r>
    </w:p>
    <w:p>
      <w:pPr>
        <w:spacing w:after="0" w:line="31" w:lineRule="exact"/>
        <w:rPr>
          <w:rFonts w:ascii="Arial" w:cs="Arial" w:eastAsia="Arial" w:hAnsi="Arial"/>
          <w:sz w:val="14"/>
          <w:szCs w:val="14"/>
          <w:b w:val="1"/>
          <w:bCs w:val="1"/>
          <w:color w:val="D7282F"/>
        </w:rPr>
      </w:pPr>
    </w:p>
    <w:p>
      <w:pPr>
        <w:ind w:left="200" w:right="140" w:hanging="191"/>
        <w:spacing w:after="0" w:line="276"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Oversaw our M&amp;A efforts including acquisitions of Compressor Controls Corporation and SCADAfence and the agreement to acquire Carrier’s Access Solutions business for nearly $5 billion. Drove a comprehensive annual portfolio review in support of the Company’s strategic plan. Closed on Quantinuum’s first equity fundraise, securing $300 million of capital at a pre-money valuation of $5 billion.</w:t>
      </w:r>
    </w:p>
    <w:p>
      <w:pPr>
        <w:spacing w:after="0" w:line="28" w:lineRule="exact"/>
        <w:rPr>
          <w:rFonts w:ascii="Arial" w:cs="Arial" w:eastAsia="Arial" w:hAnsi="Arial"/>
          <w:sz w:val="14"/>
          <w:szCs w:val="14"/>
          <w:b w:val="1"/>
          <w:bCs w:val="1"/>
          <w:color w:val="D7282F"/>
        </w:rPr>
      </w:pPr>
    </w:p>
    <w:p>
      <w:pPr>
        <w:ind w:left="200" w:right="160" w:hanging="191"/>
        <w:spacing w:after="0" w:line="269"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Continued to enhance the company’s compliance program. Established a compliance analytics tool using Honeywell Forge Analytics to early identify and escalate risks in critical compliance areas. Oversaw continued improvement in cyber security protection including augmented identification of opensource vulnerabilities for all products and enhanced our product security planning model.</w:t>
      </w:r>
    </w:p>
    <w:p>
      <w:pPr>
        <w:spacing w:after="0" w:line="34" w:lineRule="exact"/>
        <w:rPr>
          <w:rFonts w:ascii="Arial" w:cs="Arial" w:eastAsia="Arial" w:hAnsi="Arial"/>
          <w:sz w:val="14"/>
          <w:szCs w:val="14"/>
          <w:b w:val="1"/>
          <w:bCs w:val="1"/>
          <w:color w:val="D7282F"/>
        </w:rPr>
      </w:pPr>
    </w:p>
    <w:p>
      <w:pPr>
        <w:ind w:left="200" w:right="60" w:hanging="191"/>
        <w:spacing w:after="0" w:line="305"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Further enhanced Contracts Lifecycle Management digital tool, including the Gold Contract Standards program, to enable risk management through AI tools. Continued to drive working capital benefits, delivering material improvements in working capital.</w:t>
      </w:r>
    </w:p>
    <w:p>
      <w:pPr>
        <w:spacing w:after="0" w:line="9" w:lineRule="exact"/>
        <w:rPr>
          <w:rFonts w:ascii="Arial" w:cs="Arial" w:eastAsia="Arial" w:hAnsi="Arial"/>
          <w:sz w:val="14"/>
          <w:szCs w:val="14"/>
          <w:b w:val="1"/>
          <w:bCs w:val="1"/>
          <w:color w:val="D7282F"/>
        </w:rPr>
      </w:pPr>
    </w:p>
    <w:p>
      <w:pPr>
        <w:ind w:left="200" w:hanging="191"/>
        <w:spacing w:after="0" w:line="283" w:lineRule="auto"/>
        <w:tabs>
          <w:tab w:leader="none" w:pos="191" w:val="left"/>
        </w:tabs>
        <w:numPr>
          <w:ilvl w:val="0"/>
          <w:numId w:val="143"/>
        </w:numPr>
        <w:rPr>
          <w:rFonts w:ascii="Arial" w:cs="Arial" w:eastAsia="Arial" w:hAnsi="Arial"/>
          <w:sz w:val="14"/>
          <w:szCs w:val="14"/>
          <w:b w:val="1"/>
          <w:bCs w:val="1"/>
          <w:color w:val="D7282F"/>
        </w:rPr>
      </w:pPr>
      <w:r>
        <w:rPr>
          <w:rFonts w:ascii="Arial" w:cs="Arial" w:eastAsia="Arial" w:hAnsi="Arial"/>
          <w:sz w:val="14"/>
          <w:szCs w:val="14"/>
          <w:color w:val="auto"/>
        </w:rPr>
        <w:t>Continued to drive a world-class environmental remediation program, winning both National and EPA Region 2 Phoenix Awards for our remediation efforts. Drove continued improvements to our HS&amp;E systems and controls, including establishment of a Mechanical Integrity oversight program.</w:t>
      </w:r>
    </w:p>
    <w:p>
      <w:pPr>
        <w:spacing w:after="0" w:line="200" w:lineRule="exact"/>
        <w:rPr>
          <w:sz w:val="20"/>
          <w:szCs w:val="20"/>
          <w:color w:val="auto"/>
        </w:rPr>
      </w:pPr>
    </w:p>
    <w:p>
      <w:pPr>
        <w:sectPr>
          <w:pgSz w:w="11900" w:h="16838" w:orient="portrait"/>
          <w:cols w:equalWidth="0" w:num="2">
            <w:col w:w="2180" w:space="680"/>
            <w:col w:w="8300"/>
          </w:cols>
          <w:pgMar w:left="320" w:top="2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sz w:val="1"/>
          <w:szCs w:val="1"/>
          <w:color w:val="auto"/>
        </w:rPr>
        <w:drawing>
          <wp:inline distT="0" distB="0" distL="0" distR="0">
            <wp:extent cx="548640" cy="10287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0" w:right="419" w:bottom="1440" w:gutter="0" w:footer="0" w:header="0"/>
          <w:type w:val="continuous"/>
        </w:sectPr>
      </w:pPr>
    </w:p>
    <w:bookmarkStart w:id="70" w:name="page71"/>
    <w:bookmarkEnd w:id="70"/>
    <w:p>
      <w:pPr>
        <w:ind w:left="8440"/>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123430" cy="27349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23430" cy="27349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LUCIAN BOLDEA</w:t>
      </w:r>
    </w:p>
    <w:p>
      <w:pPr>
        <w:spacing w:after="0" w:line="39" w:lineRule="exact"/>
        <w:rPr>
          <w:sz w:val="20"/>
          <w:szCs w:val="20"/>
          <w:color w:val="auto"/>
        </w:rPr>
      </w:pPr>
    </w:p>
    <w:p>
      <w:pPr>
        <w:ind w:left="20"/>
        <w:spacing w:after="0" w:line="278" w:lineRule="auto"/>
        <w:rPr>
          <w:sz w:val="20"/>
          <w:szCs w:val="20"/>
          <w:color w:val="auto"/>
        </w:rPr>
      </w:pPr>
      <w:r>
        <w:rPr>
          <w:rFonts w:ascii="Arial" w:cs="Arial" w:eastAsia="Arial" w:hAnsi="Arial"/>
          <w:sz w:val="14"/>
          <w:szCs w:val="14"/>
          <w:b w:val="1"/>
          <w:bCs w:val="1"/>
          <w:color w:val="auto"/>
        </w:rPr>
        <w:t>PRESIDENT AND CEO, PERFORMANCE MATERIALS AND TECHNOLOGIES</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MR. BOLDEA — QUALITATIVE CONSIDERATIONS</w:t>
      </w:r>
    </w:p>
    <w:p>
      <w:pPr>
        <w:spacing w:after="0" w:line="35" w:lineRule="exact"/>
        <w:rPr>
          <w:sz w:val="20"/>
          <w:szCs w:val="20"/>
          <w:color w:val="auto"/>
        </w:rPr>
      </w:pPr>
    </w:p>
    <w:p>
      <w:pPr>
        <w:ind w:left="200" w:right="60" w:hanging="191"/>
        <w:spacing w:after="0" w:line="269" w:lineRule="auto"/>
        <w:tabs>
          <w:tab w:leader="none" w:pos="191"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Partnered with ExxonMobil to deploy Honeywell’s carbon capture technologies — CO</w:t>
      </w:r>
      <w:r>
        <w:rPr>
          <w:rFonts w:ascii="Arial" w:cs="Arial" w:eastAsia="Arial" w:hAnsi="Arial"/>
          <w:sz w:val="18"/>
          <w:szCs w:val="18"/>
          <w:color w:val="auto"/>
          <w:vertAlign w:val="subscript"/>
        </w:rPr>
        <w:t>2</w:t>
      </w:r>
      <w:r>
        <w:rPr>
          <w:rFonts w:ascii="Arial" w:cs="Arial" w:eastAsia="Arial" w:hAnsi="Arial"/>
          <w:sz w:val="14"/>
          <w:szCs w:val="14"/>
          <w:color w:val="auto"/>
        </w:rPr>
        <w:t xml:space="preserve"> Fractionation and Hydrogen Purification System — at its integrated complex in Baytown, Texas. This technology could help enable ExxonMobil to capture approximately 7 million tons of carbon dioxide (CO</w:t>
      </w:r>
      <w:r>
        <w:rPr>
          <w:rFonts w:ascii="Arial" w:cs="Arial" w:eastAsia="Arial" w:hAnsi="Arial"/>
          <w:sz w:val="9"/>
          <w:szCs w:val="9"/>
          <w:color w:val="auto"/>
        </w:rPr>
        <w:t>2</w:t>
      </w:r>
      <w:r>
        <w:rPr>
          <w:rFonts w:ascii="Arial" w:cs="Arial" w:eastAsia="Arial" w:hAnsi="Arial"/>
          <w:sz w:val="14"/>
          <w:szCs w:val="14"/>
          <w:color w:val="auto"/>
        </w:rPr>
        <w:t>) per year, the equivalent of the emission of 1.5 million automobiles for one year.</w:t>
      </w:r>
      <w:r>
        <w:rPr>
          <w:rFonts w:ascii="Arial" w:cs="Arial" w:eastAsia="Arial" w:hAnsi="Arial"/>
          <w:sz w:val="18"/>
          <w:szCs w:val="18"/>
          <w:color w:val="auto"/>
          <w:vertAlign w:val="superscript"/>
        </w:rPr>
        <w:t>(2)</w:t>
      </w:r>
    </w:p>
    <w:p>
      <w:pPr>
        <w:ind w:left="200" w:right="120" w:hanging="191"/>
        <w:spacing w:after="0" w:line="270" w:lineRule="auto"/>
        <w:tabs>
          <w:tab w:leader="none" w:pos="191"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Acquired Compressor Controls Corporation (CCC) for approximately $700 million. CCC is a leading provider of turbomachinery control and optimization solutions, including control hardware, software and services, and primarily serves the LNG, gas processing, refining, and petrochemical segments.</w:t>
      </w:r>
    </w:p>
    <w:p>
      <w:pPr>
        <w:spacing w:after="0" w:line="46" w:lineRule="exact"/>
        <w:rPr>
          <w:rFonts w:ascii="Arial" w:cs="Arial" w:eastAsia="Arial" w:hAnsi="Arial"/>
          <w:sz w:val="14"/>
          <w:szCs w:val="14"/>
          <w:b w:val="1"/>
          <w:bCs w:val="1"/>
          <w:color w:val="D7282F"/>
        </w:rPr>
      </w:pPr>
    </w:p>
    <w:p>
      <w:pPr>
        <w:ind w:left="200" w:right="180" w:hanging="191"/>
        <w:spacing w:after="0" w:line="285" w:lineRule="auto"/>
        <w:tabs>
          <w:tab w:leader="none" w:pos="191"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Announced strategic collaboration and investment in ESS Tech, Inc. to advance technology development and market adoption of iron flow battery energy storage systems.</w:t>
      </w:r>
    </w:p>
    <w:p>
      <w:pPr>
        <w:spacing w:after="0" w:line="22" w:lineRule="exact"/>
        <w:rPr>
          <w:rFonts w:ascii="Arial" w:cs="Arial" w:eastAsia="Arial" w:hAnsi="Arial"/>
          <w:sz w:val="14"/>
          <w:szCs w:val="14"/>
          <w:b w:val="1"/>
          <w:bCs w:val="1"/>
          <w:color w:val="D7282F"/>
        </w:rPr>
      </w:pPr>
    </w:p>
    <w:p>
      <w:pPr>
        <w:ind w:left="200" w:right="120" w:hanging="191"/>
        <w:spacing w:after="0" w:line="305" w:lineRule="auto"/>
        <w:tabs>
          <w:tab w:leader="none" w:pos="191"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Launched Honeywell Ionic</w:t>
      </w:r>
      <w:r>
        <w:rPr>
          <w:rFonts w:ascii="Arial" w:cs="Arial" w:eastAsia="Arial" w:hAnsi="Arial"/>
          <w:sz w:val="9"/>
          <w:szCs w:val="9"/>
          <w:color w:val="auto"/>
        </w:rPr>
        <w:t>TM</w:t>
      </w:r>
      <w:r>
        <w:rPr>
          <w:rFonts w:ascii="Arial" w:cs="Arial" w:eastAsia="Arial" w:hAnsi="Arial"/>
          <w:sz w:val="14"/>
          <w:szCs w:val="14"/>
          <w:color w:val="auto"/>
        </w:rPr>
        <w:t>, a compact, end-to-end modular battery energy storage system and energy management tool that offers improved energy density while delivering a significant reduction of installations costs.</w:t>
      </w:r>
    </w:p>
    <w:p>
      <w:pPr>
        <w:spacing w:after="0" w:line="9" w:lineRule="exact"/>
        <w:rPr>
          <w:rFonts w:ascii="Arial" w:cs="Arial" w:eastAsia="Arial" w:hAnsi="Arial"/>
          <w:sz w:val="14"/>
          <w:szCs w:val="14"/>
          <w:b w:val="1"/>
          <w:bCs w:val="1"/>
          <w:color w:val="D7282F"/>
        </w:rPr>
      </w:pPr>
    </w:p>
    <w:p>
      <w:pPr>
        <w:ind w:left="200" w:right="220" w:hanging="191"/>
        <w:spacing w:after="0" w:line="305" w:lineRule="auto"/>
        <w:tabs>
          <w:tab w:leader="none" w:pos="191"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Became the first company to integrate quantum-computing-hardened encryption keys into smart utility meters, helping protect end-user data from advanced cybersecurity threats.</w:t>
      </w:r>
    </w:p>
    <w:p>
      <w:pPr>
        <w:spacing w:after="0" w:line="9" w:lineRule="exact"/>
        <w:rPr>
          <w:rFonts w:ascii="Arial" w:cs="Arial" w:eastAsia="Arial" w:hAnsi="Arial"/>
          <w:sz w:val="14"/>
          <w:szCs w:val="14"/>
          <w:b w:val="1"/>
          <w:bCs w:val="1"/>
          <w:color w:val="D7282F"/>
        </w:rPr>
      </w:pPr>
    </w:p>
    <w:p>
      <w:pPr>
        <w:ind w:left="200" w:right="580" w:hanging="191"/>
        <w:spacing w:after="0" w:line="275" w:lineRule="auto"/>
        <w:tabs>
          <w:tab w:leader="none" w:pos="191"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Introduced innovative new UOP eFining™ technology for a new class of sustainable aviation fuel (SAF) that can reduce greenhouse gas emissions by 88% compared to conventional jet fuel.</w:t>
      </w:r>
      <w:r>
        <w:rPr>
          <w:rFonts w:ascii="Arial" w:cs="Arial" w:eastAsia="Arial" w:hAnsi="Arial"/>
          <w:sz w:val="18"/>
          <w:szCs w:val="18"/>
          <w:color w:val="auto"/>
          <w:vertAlign w:val="superscript"/>
        </w:rPr>
        <w:t>(3)</w:t>
      </w:r>
    </w:p>
    <w:p>
      <w:pPr>
        <w:spacing w:after="0" w:line="1"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4"/>
        </w:numPr>
        <w:rPr>
          <w:rFonts w:ascii="Arial" w:cs="Arial" w:eastAsia="Arial" w:hAnsi="Arial"/>
          <w:sz w:val="14"/>
          <w:szCs w:val="14"/>
          <w:b w:val="1"/>
          <w:bCs w:val="1"/>
          <w:color w:val="D7282F"/>
        </w:rPr>
      </w:pPr>
      <w:r>
        <w:rPr>
          <w:rFonts w:ascii="Arial" w:cs="Arial" w:eastAsia="Arial" w:hAnsi="Arial"/>
          <w:sz w:val="14"/>
          <w:szCs w:val="14"/>
          <w:color w:val="auto"/>
        </w:rPr>
        <w:t>TCIR exceeding target and 75+ days without an injury with treatment beyond first aid in the ICS manufacturing locations.</w:t>
      </w:r>
    </w:p>
    <w:p>
      <w:pPr>
        <w:spacing w:after="0" w:line="200" w:lineRule="exact"/>
        <w:rPr>
          <w:sz w:val="20"/>
          <w:szCs w:val="20"/>
          <w:color w:val="auto"/>
        </w:rPr>
      </w:pPr>
    </w:p>
    <w:p>
      <w:pPr>
        <w:sectPr>
          <w:pgSz w:w="11900" w:h="16838" w:orient="portrait"/>
          <w:cols w:equalWidth="0" w:num="2">
            <w:col w:w="2360" w:space="500"/>
            <w:col w:w="83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hanging="192"/>
        <w:spacing w:after="0"/>
        <w:tabs>
          <w:tab w:leader="none" w:pos="200" w:val="left"/>
        </w:tabs>
        <w:numPr>
          <w:ilvl w:val="0"/>
          <w:numId w:val="145"/>
        </w:numPr>
        <w:rPr>
          <w:rFonts w:ascii="Arial" w:cs="Arial" w:eastAsia="Arial" w:hAnsi="Arial"/>
          <w:sz w:val="16"/>
          <w:szCs w:val="16"/>
          <w:color w:val="auto"/>
          <w:vertAlign w:val="superscript"/>
        </w:rPr>
      </w:pPr>
      <w:r>
        <w:rPr>
          <w:rFonts w:ascii="Arial" w:cs="Arial" w:eastAsia="Arial" w:hAnsi="Arial"/>
          <w:sz w:val="13"/>
          <w:szCs w:val="13"/>
          <w:color w:val="auto"/>
        </w:rPr>
        <w:t>Effective January 1, 2024, Mr. Boldea transitioned to the role of President and CEO, Industrial Automation (IA).</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45"/>
        </w:numPr>
        <w:rPr>
          <w:rFonts w:ascii="Arial" w:cs="Arial" w:eastAsia="Arial" w:hAnsi="Arial"/>
          <w:sz w:val="16"/>
          <w:szCs w:val="16"/>
          <w:color w:val="auto"/>
          <w:vertAlign w:val="superscript"/>
        </w:rPr>
      </w:pPr>
      <w:r>
        <w:rPr>
          <w:rFonts w:ascii="Arial" w:cs="Arial" w:eastAsia="Arial" w:hAnsi="Arial"/>
          <w:sz w:val="13"/>
          <w:szCs w:val="13"/>
          <w:color w:val="auto"/>
        </w:rPr>
        <w:t>Based on the EPA's GHG equivalency calculator comparing nearly 7 million tons of CO2 per year with gasoline-powered passenger vehicles on the road.</w:t>
      </w:r>
    </w:p>
    <w:p>
      <w:pPr>
        <w:spacing w:after="0" w:line="50" w:lineRule="exact"/>
        <w:rPr>
          <w:rFonts w:ascii="Arial" w:cs="Arial" w:eastAsia="Arial" w:hAnsi="Arial"/>
          <w:sz w:val="16"/>
          <w:szCs w:val="16"/>
          <w:color w:val="auto"/>
          <w:vertAlign w:val="superscript"/>
        </w:rPr>
      </w:pPr>
    </w:p>
    <w:p>
      <w:pPr>
        <w:ind w:left="200" w:right="320" w:hanging="192"/>
        <w:spacing w:after="0" w:line="226" w:lineRule="auto"/>
        <w:tabs>
          <w:tab w:leader="none" w:pos="200" w:val="left"/>
        </w:tabs>
        <w:numPr>
          <w:ilvl w:val="0"/>
          <w:numId w:val="145"/>
        </w:numPr>
        <w:rPr>
          <w:rFonts w:ascii="Arial" w:cs="Arial" w:eastAsia="Arial" w:hAnsi="Arial"/>
          <w:sz w:val="16"/>
          <w:szCs w:val="16"/>
          <w:color w:val="auto"/>
          <w:vertAlign w:val="superscript"/>
        </w:rPr>
      </w:pPr>
      <w:r>
        <w:rPr>
          <w:rFonts w:ascii="Arial" w:cs="Arial" w:eastAsia="Arial" w:hAnsi="Arial"/>
          <w:sz w:val="13"/>
          <w:szCs w:val="13"/>
          <w:color w:val="auto"/>
        </w:rPr>
        <w:t>Reduced GHG emissions is based on UOP carbon intensity analysis, derived from a 3rd-party study of methanol production from green hydrogen and CO</w:t>
      </w:r>
      <w:r>
        <w:rPr>
          <w:rFonts w:ascii="Arial" w:cs="Arial" w:eastAsia="Arial" w:hAnsi="Arial"/>
          <w:sz w:val="8"/>
          <w:szCs w:val="8"/>
          <w:color w:val="auto"/>
        </w:rPr>
        <w:t>2</w:t>
      </w:r>
      <w:r>
        <w:rPr>
          <w:rFonts w:ascii="Arial" w:cs="Arial" w:eastAsia="Arial" w:hAnsi="Arial"/>
          <w:sz w:val="13"/>
          <w:szCs w:val="13"/>
          <w:color w:val="auto"/>
        </w:rPr>
        <w:t xml:space="preserve"> captured from biomass processing, in comparison to fossil fuels.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23430" cy="29146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23430" cy="291465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JAMES CURRIER</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PRESIDENT AND CEO, AEROSPACE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MR. CURRIER — QUALITATIVE CONSIDERATIONS</w:t>
      </w:r>
    </w:p>
    <w:p>
      <w:pPr>
        <w:spacing w:after="0" w:line="91" w:lineRule="exact"/>
        <w:rPr>
          <w:sz w:val="20"/>
          <w:szCs w:val="20"/>
          <w:color w:val="auto"/>
        </w:rPr>
      </w:pPr>
    </w:p>
    <w:p>
      <w:pPr>
        <w:ind w:left="200" w:right="260" w:hanging="191"/>
        <w:spacing w:after="0" w:line="305" w:lineRule="auto"/>
        <w:tabs>
          <w:tab w:leader="none" w:pos="191"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Delivered exceptional Aerospace financial performance with 15% year-over-year growth at revenues exceeding $13.6 billion, while expanding margin rate by 40 basis points to 28.1%.</w:t>
      </w:r>
    </w:p>
    <w:p>
      <w:pPr>
        <w:spacing w:after="0" w:line="9" w:lineRule="exact"/>
        <w:rPr>
          <w:rFonts w:ascii="Arial" w:cs="Arial" w:eastAsia="Arial" w:hAnsi="Arial"/>
          <w:sz w:val="14"/>
          <w:szCs w:val="14"/>
          <w:b w:val="1"/>
          <w:bCs w:val="1"/>
          <w:color w:val="D7282F"/>
        </w:rPr>
      </w:pPr>
    </w:p>
    <w:p>
      <w:pPr>
        <w:ind w:left="200" w:right="320" w:hanging="191"/>
        <w:spacing w:after="0" w:line="285" w:lineRule="auto"/>
        <w:tabs>
          <w:tab w:leader="none" w:pos="191"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Achieved first flight with Honeywell Anthem cockpit, which secures path to full certification. Won two key aircraft platforms in Business Aviation and Air Transport segments — expanding from the current advanced air mobility market segment.</w:t>
      </w:r>
    </w:p>
    <w:p>
      <w:pPr>
        <w:spacing w:after="0" w:line="36" w:lineRule="exact"/>
        <w:rPr>
          <w:rFonts w:ascii="Arial" w:cs="Arial" w:eastAsia="Arial" w:hAnsi="Arial"/>
          <w:sz w:val="14"/>
          <w:szCs w:val="14"/>
          <w:b w:val="1"/>
          <w:bCs w:val="1"/>
          <w:color w:val="D7282F"/>
        </w:rPr>
      </w:pPr>
    </w:p>
    <w:p>
      <w:pPr>
        <w:ind w:left="200" w:right="180" w:hanging="191"/>
        <w:spacing w:after="0" w:line="265" w:lineRule="auto"/>
        <w:tabs>
          <w:tab w:leader="none" w:pos="191"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Successfully led key growth initiatives in Advanced Air Mobility (AAM) with products (e.g., actuation, Anthem, mVCS, and navigation) on various aircraft platforms (e.g., Beta, Wisk, Supernal, AiBOT, and Lilium) — the total value of these initiatives is over $10 billion.</w:t>
      </w:r>
      <w:r>
        <w:rPr>
          <w:rFonts w:ascii="Arial" w:cs="Arial" w:eastAsia="Arial" w:hAnsi="Arial"/>
          <w:sz w:val="18"/>
          <w:szCs w:val="18"/>
          <w:color w:val="auto"/>
          <w:vertAlign w:val="superscript"/>
        </w:rPr>
        <w:t>(1)</w:t>
      </w:r>
    </w:p>
    <w:p>
      <w:pPr>
        <w:ind w:left="200" w:right="200" w:hanging="191"/>
        <w:spacing w:after="0" w:line="280" w:lineRule="auto"/>
        <w:tabs>
          <w:tab w:leader="none" w:pos="191"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Successfully secured over $18 billion in total wins in 2023 across original equipment manufacturers, aftermarket, and defense and space. This includes over 2,600 avionics/auxiliary power unit (APU) aircraft selections, led by the largest selection deal (650 aircraft) with United Airlines.</w:t>
      </w:r>
    </w:p>
    <w:p>
      <w:pPr>
        <w:spacing w:after="0" w:line="26" w:lineRule="exact"/>
        <w:rPr>
          <w:rFonts w:ascii="Arial" w:cs="Arial" w:eastAsia="Arial" w:hAnsi="Arial"/>
          <w:sz w:val="14"/>
          <w:szCs w:val="14"/>
          <w:b w:val="1"/>
          <w:bCs w:val="1"/>
          <w:color w:val="D7282F"/>
        </w:rPr>
      </w:pPr>
    </w:p>
    <w:p>
      <w:pPr>
        <w:ind w:left="200" w:right="500" w:hanging="191"/>
        <w:spacing w:after="0" w:line="305" w:lineRule="auto"/>
        <w:tabs>
          <w:tab w:leader="none" w:pos="191"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Completed critical development programs to enable Falcon 6X Entry into Service with Honeywell avionics, environmental controls, and APUs. Also completed certification of Honeywell avionics for Gulfstream G700 platform.</w:t>
      </w:r>
    </w:p>
    <w:p>
      <w:pPr>
        <w:spacing w:after="0" w:line="9" w:lineRule="exact"/>
        <w:rPr>
          <w:rFonts w:ascii="Arial" w:cs="Arial" w:eastAsia="Arial" w:hAnsi="Arial"/>
          <w:sz w:val="14"/>
          <w:szCs w:val="14"/>
          <w:b w:val="1"/>
          <w:bCs w:val="1"/>
          <w:color w:val="D7282F"/>
        </w:rPr>
      </w:pPr>
    </w:p>
    <w:p>
      <w:pPr>
        <w:ind w:left="200" w:right="220" w:hanging="191"/>
        <w:spacing w:after="0" w:line="305" w:lineRule="auto"/>
        <w:tabs>
          <w:tab w:leader="none" w:pos="191"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Demonstrated 100% SAF operation on HTF Engines while operating on Embraer Praetor Aircraft and Honeywell APUs on Air Transport platforms.</w:t>
      </w:r>
    </w:p>
    <w:p>
      <w:pPr>
        <w:spacing w:after="0" w:line="9"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Deployed (for use in the field) APU High Efficiency Mode (HEM) software for Boeing 131-9B APU on MAX aircraft platform.</w:t>
      </w:r>
    </w:p>
    <w:p>
      <w:pPr>
        <w:spacing w:after="0" w:line="82"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6"/>
        </w:numPr>
        <w:rPr>
          <w:rFonts w:ascii="Arial" w:cs="Arial" w:eastAsia="Arial" w:hAnsi="Arial"/>
          <w:sz w:val="14"/>
          <w:szCs w:val="14"/>
          <w:b w:val="1"/>
          <w:bCs w:val="1"/>
          <w:color w:val="D7282F"/>
        </w:rPr>
      </w:pPr>
      <w:r>
        <w:rPr>
          <w:rFonts w:ascii="Arial" w:cs="Arial" w:eastAsia="Arial" w:hAnsi="Arial"/>
          <w:sz w:val="14"/>
          <w:szCs w:val="14"/>
          <w:color w:val="auto"/>
        </w:rPr>
        <w:t>Secured position to launch 1MW generator for Flying Whales Airship to enable operation with sustainable technologies.</w:t>
      </w:r>
    </w:p>
    <w:p>
      <w:pPr>
        <w:spacing w:after="0" w:line="200" w:lineRule="exact"/>
        <w:rPr>
          <w:sz w:val="20"/>
          <w:szCs w:val="20"/>
          <w:color w:val="auto"/>
        </w:rPr>
      </w:pPr>
    </w:p>
    <w:p>
      <w:pPr>
        <w:sectPr>
          <w:pgSz w:w="11900" w:h="16838" w:orient="portrait"/>
          <w:cols w:equalWidth="0" w:num="2">
            <w:col w:w="2540" w:space="320"/>
            <w:col w:w="838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0" w:hanging="192"/>
        <w:spacing w:after="0"/>
        <w:tabs>
          <w:tab w:leader="none" w:pos="200" w:val="left"/>
        </w:tabs>
        <w:numPr>
          <w:ilvl w:val="0"/>
          <w:numId w:val="147"/>
        </w:numPr>
        <w:rPr>
          <w:rFonts w:ascii="Arial" w:cs="Arial" w:eastAsia="Arial" w:hAnsi="Arial"/>
          <w:sz w:val="16"/>
          <w:szCs w:val="16"/>
          <w:color w:val="auto"/>
          <w:vertAlign w:val="superscript"/>
        </w:rPr>
      </w:pPr>
      <w:r>
        <w:rPr>
          <w:rFonts w:ascii="Arial" w:cs="Arial" w:eastAsia="Arial" w:hAnsi="Arial"/>
          <w:sz w:val="13"/>
          <w:szCs w:val="13"/>
          <w:color w:val="auto"/>
        </w:rPr>
        <w:t>The $10 billion in wins represents Honeywell's assessment of the lifetime value of awards using an internal forecast of the number of AAM vehicles the Company expects to be built.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2"/>
          <w:szCs w:val="12"/>
          <w:b w:val="1"/>
          <w:bCs w:val="1"/>
          <w:color w:val="6D6E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7003415" cy="33172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003415" cy="3317240"/>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D7282F"/>
        </w:rPr>
        <w:t>DARIUS ADAMCZYK</w:t>
      </w:r>
    </w:p>
    <w:p>
      <w:pPr>
        <w:spacing w:after="0" w:line="39" w:lineRule="exact"/>
        <w:rPr>
          <w:sz w:val="20"/>
          <w:szCs w:val="20"/>
          <w:color w:val="auto"/>
        </w:rPr>
      </w:pPr>
    </w:p>
    <w:p>
      <w:pPr>
        <w:ind w:left="20" w:right="840"/>
        <w:spacing w:after="0" w:line="293" w:lineRule="auto"/>
        <w:rPr>
          <w:sz w:val="20"/>
          <w:szCs w:val="20"/>
          <w:color w:val="auto"/>
        </w:rPr>
      </w:pPr>
      <w:r>
        <w:rPr>
          <w:rFonts w:ascii="Arial" w:cs="Arial" w:eastAsia="Arial" w:hAnsi="Arial"/>
          <w:sz w:val="14"/>
          <w:szCs w:val="14"/>
          <w:b w:val="1"/>
          <w:bCs w:val="1"/>
          <w:color w:val="auto"/>
        </w:rPr>
        <w:t>EXECUTIVE CHAIRMAN AND FORMER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MR. ADAMCZYK — QUALITATIVE CONSIDERATIONS</w:t>
      </w:r>
    </w:p>
    <w:p>
      <w:pPr>
        <w:spacing w:after="0" w:line="82" w:lineRule="exact"/>
        <w:rPr>
          <w:sz w:val="20"/>
          <w:szCs w:val="20"/>
          <w:color w:val="auto"/>
        </w:rPr>
      </w:pPr>
    </w:p>
    <w:p>
      <w:pPr>
        <w:ind w:left="200" w:hanging="191"/>
        <w:spacing w:after="0" w:line="305" w:lineRule="auto"/>
        <w:tabs>
          <w:tab w:leader="none" w:pos="191" w:val="left"/>
        </w:tabs>
        <w:numPr>
          <w:ilvl w:val="0"/>
          <w:numId w:val="148"/>
        </w:numPr>
        <w:rPr>
          <w:rFonts w:ascii="Arial" w:cs="Arial" w:eastAsia="Arial" w:hAnsi="Arial"/>
          <w:sz w:val="14"/>
          <w:szCs w:val="14"/>
          <w:b w:val="1"/>
          <w:bCs w:val="1"/>
          <w:color w:val="EE2724"/>
        </w:rPr>
      </w:pPr>
      <w:r>
        <w:rPr>
          <w:rFonts w:ascii="Arial" w:cs="Arial" w:eastAsia="Arial" w:hAnsi="Arial"/>
          <w:sz w:val="14"/>
          <w:szCs w:val="14"/>
          <w:color w:val="auto"/>
        </w:rPr>
        <w:t>Seamlessly transitioned to serve as Executive Chairman, supporting talent development and succession planning, deepening customer relationships, and advancing corporate development objectives.</w:t>
      </w:r>
    </w:p>
    <w:p>
      <w:pPr>
        <w:spacing w:after="0" w:line="9" w:lineRule="exact"/>
        <w:rPr>
          <w:rFonts w:ascii="Arial" w:cs="Arial" w:eastAsia="Arial" w:hAnsi="Arial"/>
          <w:sz w:val="14"/>
          <w:szCs w:val="14"/>
          <w:b w:val="1"/>
          <w:bCs w:val="1"/>
          <w:color w:val="EE2724"/>
        </w:rPr>
      </w:pPr>
    </w:p>
    <w:p>
      <w:pPr>
        <w:ind w:left="200" w:right="520" w:hanging="191"/>
        <w:spacing w:after="0" w:line="305" w:lineRule="auto"/>
        <w:tabs>
          <w:tab w:leader="none" w:pos="191" w:val="left"/>
        </w:tabs>
        <w:numPr>
          <w:ilvl w:val="0"/>
          <w:numId w:val="148"/>
        </w:numPr>
        <w:rPr>
          <w:rFonts w:ascii="Arial" w:cs="Arial" w:eastAsia="Arial" w:hAnsi="Arial"/>
          <w:sz w:val="14"/>
          <w:szCs w:val="14"/>
          <w:b w:val="1"/>
          <w:bCs w:val="1"/>
          <w:color w:val="EE2724"/>
        </w:rPr>
      </w:pPr>
      <w:r>
        <w:rPr>
          <w:rFonts w:ascii="Arial" w:cs="Arial" w:eastAsia="Arial" w:hAnsi="Arial"/>
          <w:sz w:val="14"/>
          <w:szCs w:val="14"/>
          <w:color w:val="auto"/>
        </w:rPr>
        <w:t>Executed the successful change in Chief Executive Officer with the appointment of Vimal Kapur, a 35-year Honeywell veteran, demonstrating the strength of our succession planning.</w:t>
      </w:r>
    </w:p>
    <w:p>
      <w:pPr>
        <w:spacing w:after="0" w:line="9" w:lineRule="exact"/>
        <w:rPr>
          <w:rFonts w:ascii="Arial" w:cs="Arial" w:eastAsia="Arial" w:hAnsi="Arial"/>
          <w:sz w:val="14"/>
          <w:szCs w:val="14"/>
          <w:b w:val="1"/>
          <w:bCs w:val="1"/>
          <w:color w:val="EE2724"/>
        </w:rPr>
      </w:pPr>
    </w:p>
    <w:p>
      <w:pPr>
        <w:ind w:left="200" w:right="100" w:hanging="191"/>
        <w:spacing w:after="0" w:line="283" w:lineRule="auto"/>
        <w:tabs>
          <w:tab w:leader="none" w:pos="191" w:val="left"/>
        </w:tabs>
        <w:numPr>
          <w:ilvl w:val="0"/>
          <w:numId w:val="148"/>
        </w:numPr>
        <w:rPr>
          <w:rFonts w:ascii="Arial" w:cs="Arial" w:eastAsia="Arial" w:hAnsi="Arial"/>
          <w:sz w:val="14"/>
          <w:szCs w:val="14"/>
          <w:b w:val="1"/>
          <w:bCs w:val="1"/>
          <w:color w:val="EE2724"/>
        </w:rPr>
      </w:pPr>
      <w:r>
        <w:rPr>
          <w:rFonts w:ascii="Arial" w:cs="Arial" w:eastAsia="Arial" w:hAnsi="Arial"/>
          <w:sz w:val="14"/>
          <w:szCs w:val="14"/>
          <w:color w:val="auto"/>
        </w:rPr>
        <w:t>Closed the acquisitions of Compressor Controls Corporation (CCC) and SCADAfence and entered into an agreement to acquire Carrier Global Corporation's Global Access Solutions for nearly $5 billion, delivering on our commitment to enhance our existing portfolio with attractive bolt-on M&amp;A through accelerated capital deployment.</w:t>
      </w:r>
    </w:p>
    <w:p>
      <w:pPr>
        <w:spacing w:after="0" w:line="24" w:lineRule="exact"/>
        <w:rPr>
          <w:rFonts w:ascii="Arial" w:cs="Arial" w:eastAsia="Arial" w:hAnsi="Arial"/>
          <w:sz w:val="14"/>
          <w:szCs w:val="14"/>
          <w:b w:val="1"/>
          <w:bCs w:val="1"/>
          <w:color w:val="EE2724"/>
        </w:rPr>
      </w:pPr>
    </w:p>
    <w:p>
      <w:pPr>
        <w:ind w:left="400" w:right="200" w:hanging="197"/>
        <w:spacing w:after="0" w:line="285" w:lineRule="auto"/>
        <w:tabs>
          <w:tab w:leader="none" w:pos="391" w:val="left"/>
        </w:tabs>
        <w:numPr>
          <w:ilvl w:val="1"/>
          <w:numId w:val="148"/>
        </w:numPr>
        <w:rPr>
          <w:rFonts w:ascii="Arial" w:cs="Arial" w:eastAsia="Arial" w:hAnsi="Arial"/>
          <w:sz w:val="14"/>
          <w:szCs w:val="14"/>
          <w:b w:val="1"/>
          <w:bCs w:val="1"/>
          <w:color w:val="EE2724"/>
        </w:rPr>
      </w:pPr>
      <w:r>
        <w:rPr>
          <w:rFonts w:ascii="Arial" w:cs="Arial" w:eastAsia="Arial" w:hAnsi="Arial"/>
          <w:sz w:val="14"/>
          <w:szCs w:val="14"/>
          <w:color w:val="auto"/>
        </w:rPr>
        <w:t>CCC strengthens our process solutions portfolio with the addition of turbomachinery controls and optimization expertise already recognized in LNG, gas processing, refining, and petrochemical segments.</w:t>
      </w:r>
    </w:p>
    <w:p>
      <w:pPr>
        <w:spacing w:after="0" w:line="36" w:lineRule="exact"/>
        <w:rPr>
          <w:rFonts w:ascii="Arial" w:cs="Arial" w:eastAsia="Arial" w:hAnsi="Arial"/>
          <w:sz w:val="14"/>
          <w:szCs w:val="14"/>
          <w:b w:val="1"/>
          <w:bCs w:val="1"/>
          <w:color w:val="EE2724"/>
        </w:rPr>
      </w:pPr>
    </w:p>
    <w:p>
      <w:pPr>
        <w:ind w:left="400" w:right="240" w:hanging="197"/>
        <w:spacing w:after="0" w:line="285" w:lineRule="auto"/>
        <w:tabs>
          <w:tab w:leader="none" w:pos="391" w:val="left"/>
        </w:tabs>
        <w:numPr>
          <w:ilvl w:val="1"/>
          <w:numId w:val="148"/>
        </w:numPr>
        <w:rPr>
          <w:rFonts w:ascii="Arial" w:cs="Arial" w:eastAsia="Arial" w:hAnsi="Arial"/>
          <w:sz w:val="14"/>
          <w:szCs w:val="14"/>
          <w:b w:val="1"/>
          <w:bCs w:val="1"/>
          <w:color w:val="EE2724"/>
        </w:rPr>
      </w:pPr>
      <w:r>
        <w:rPr>
          <w:rFonts w:ascii="Arial" w:cs="Arial" w:eastAsia="Arial" w:hAnsi="Arial"/>
          <w:sz w:val="14"/>
          <w:szCs w:val="14"/>
          <w:color w:val="auto"/>
        </w:rPr>
        <w:t>SCADAfence complements Honeywell's existing cybersecurity business by providing best-in-class network monitoring, asset discovery, threat detection, and security governance.</w:t>
      </w:r>
    </w:p>
    <w:p>
      <w:pPr>
        <w:spacing w:after="0" w:line="36" w:lineRule="exact"/>
        <w:rPr>
          <w:rFonts w:ascii="Arial" w:cs="Arial" w:eastAsia="Arial" w:hAnsi="Arial"/>
          <w:sz w:val="14"/>
          <w:szCs w:val="14"/>
          <w:b w:val="1"/>
          <w:bCs w:val="1"/>
          <w:color w:val="EE2724"/>
        </w:rPr>
      </w:pPr>
    </w:p>
    <w:p>
      <w:pPr>
        <w:ind w:left="400" w:right="380" w:hanging="197"/>
        <w:spacing w:after="0" w:line="285" w:lineRule="auto"/>
        <w:tabs>
          <w:tab w:leader="none" w:pos="391" w:val="left"/>
        </w:tabs>
        <w:numPr>
          <w:ilvl w:val="1"/>
          <w:numId w:val="148"/>
        </w:numPr>
        <w:rPr>
          <w:rFonts w:ascii="Arial" w:cs="Arial" w:eastAsia="Arial" w:hAnsi="Arial"/>
          <w:sz w:val="14"/>
          <w:szCs w:val="14"/>
          <w:b w:val="1"/>
          <w:bCs w:val="1"/>
          <w:color w:val="EE2724"/>
        </w:rPr>
      </w:pPr>
      <w:r>
        <w:rPr>
          <w:rFonts w:ascii="Arial" w:cs="Arial" w:eastAsia="Arial" w:hAnsi="Arial"/>
          <w:sz w:val="14"/>
          <w:szCs w:val="14"/>
          <w:color w:val="auto"/>
        </w:rPr>
        <w:t>Carrier Global Corporation's Global Access Solutions will enable Honeywell to become a leading provider of security solutions for the digital age with a portfolio of high-value products that are critical for buildings.</w:t>
      </w:r>
    </w:p>
    <w:p>
      <w:pPr>
        <w:spacing w:after="0" w:line="22" w:lineRule="exact"/>
        <w:rPr>
          <w:rFonts w:ascii="Arial" w:cs="Arial" w:eastAsia="Arial" w:hAnsi="Arial"/>
          <w:sz w:val="14"/>
          <w:szCs w:val="14"/>
          <w:b w:val="1"/>
          <w:bCs w:val="1"/>
          <w:color w:val="EE2724"/>
        </w:rPr>
      </w:pPr>
    </w:p>
    <w:p>
      <w:pPr>
        <w:ind w:left="200" w:right="540" w:hanging="191"/>
        <w:spacing w:after="0" w:line="305" w:lineRule="auto"/>
        <w:tabs>
          <w:tab w:leader="none" w:pos="191" w:val="left"/>
        </w:tabs>
        <w:numPr>
          <w:ilvl w:val="0"/>
          <w:numId w:val="148"/>
        </w:numPr>
        <w:rPr>
          <w:rFonts w:ascii="Arial" w:cs="Arial" w:eastAsia="Arial" w:hAnsi="Arial"/>
          <w:sz w:val="14"/>
          <w:szCs w:val="14"/>
          <w:b w:val="1"/>
          <w:bCs w:val="1"/>
          <w:color w:val="EE2724"/>
        </w:rPr>
      </w:pPr>
      <w:r>
        <w:rPr>
          <w:rFonts w:ascii="Arial" w:cs="Arial" w:eastAsia="Arial" w:hAnsi="Arial"/>
          <w:sz w:val="14"/>
          <w:szCs w:val="14"/>
          <w:color w:val="auto"/>
        </w:rPr>
        <w:t>Personally engaged with more than 50 of our top customers, deepening our relationships with strategic accounts and identifying incremental areas where Honeywell's solutions can help solve our customers toughest challenges.</w:t>
      </w:r>
    </w:p>
    <w:p>
      <w:pPr>
        <w:spacing w:after="0" w:line="9" w:lineRule="exact"/>
        <w:rPr>
          <w:rFonts w:ascii="Arial" w:cs="Arial" w:eastAsia="Arial" w:hAnsi="Arial"/>
          <w:sz w:val="14"/>
          <w:szCs w:val="14"/>
          <w:b w:val="1"/>
          <w:bCs w:val="1"/>
          <w:color w:val="EE2724"/>
        </w:rPr>
      </w:pPr>
    </w:p>
    <w:p>
      <w:pPr>
        <w:ind w:left="200" w:hanging="191"/>
        <w:spacing w:after="0"/>
        <w:tabs>
          <w:tab w:leader="none" w:pos="200" w:val="left"/>
        </w:tabs>
        <w:numPr>
          <w:ilvl w:val="0"/>
          <w:numId w:val="148"/>
        </w:numPr>
        <w:rPr>
          <w:rFonts w:ascii="Arial" w:cs="Arial" w:eastAsia="Arial" w:hAnsi="Arial"/>
          <w:sz w:val="14"/>
          <w:szCs w:val="14"/>
          <w:b w:val="1"/>
          <w:bCs w:val="1"/>
          <w:color w:val="D7282F"/>
        </w:rPr>
      </w:pPr>
      <w:r>
        <w:rPr>
          <w:rFonts w:ascii="Arial" w:cs="Arial" w:eastAsia="Arial" w:hAnsi="Arial"/>
          <w:sz w:val="14"/>
          <w:szCs w:val="14"/>
          <w:color w:val="auto"/>
        </w:rPr>
        <w:t>Provided support and counsel to Mr. Kapur during his first year as CEO.</w:t>
      </w:r>
    </w:p>
    <w:p>
      <w:pPr>
        <w:spacing w:after="0" w:line="95"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8"/>
        </w:numPr>
        <w:rPr>
          <w:rFonts w:ascii="Arial" w:cs="Arial" w:eastAsia="Arial" w:hAnsi="Arial"/>
          <w:sz w:val="14"/>
          <w:szCs w:val="14"/>
          <w:b w:val="1"/>
          <w:bCs w:val="1"/>
          <w:color w:val="D7282F"/>
        </w:rPr>
      </w:pPr>
      <w:r>
        <w:rPr>
          <w:rFonts w:ascii="Arial" w:cs="Arial" w:eastAsia="Arial" w:hAnsi="Arial"/>
          <w:sz w:val="14"/>
          <w:szCs w:val="14"/>
          <w:color w:val="auto"/>
        </w:rPr>
        <w:t>Transitioned key government, customer, investor, and other relationships to Mr. Kapur.</w:t>
      </w:r>
    </w:p>
    <w:p>
      <w:pPr>
        <w:spacing w:after="0" w:line="82" w:lineRule="exact"/>
        <w:rPr>
          <w:rFonts w:ascii="Arial" w:cs="Arial" w:eastAsia="Arial" w:hAnsi="Arial"/>
          <w:sz w:val="14"/>
          <w:szCs w:val="14"/>
          <w:b w:val="1"/>
          <w:bCs w:val="1"/>
          <w:color w:val="D7282F"/>
        </w:rPr>
      </w:pPr>
    </w:p>
    <w:p>
      <w:pPr>
        <w:ind w:left="200" w:hanging="191"/>
        <w:spacing w:after="0"/>
        <w:tabs>
          <w:tab w:leader="none" w:pos="200" w:val="left"/>
        </w:tabs>
        <w:numPr>
          <w:ilvl w:val="0"/>
          <w:numId w:val="148"/>
        </w:numPr>
        <w:rPr>
          <w:rFonts w:ascii="Arial" w:cs="Arial" w:eastAsia="Arial" w:hAnsi="Arial"/>
          <w:sz w:val="14"/>
          <w:szCs w:val="14"/>
          <w:b w:val="1"/>
          <w:bCs w:val="1"/>
          <w:color w:val="D7282F"/>
        </w:rPr>
      </w:pPr>
      <w:r>
        <w:rPr>
          <w:rFonts w:ascii="Arial" w:cs="Arial" w:eastAsia="Arial" w:hAnsi="Arial"/>
          <w:sz w:val="14"/>
          <w:szCs w:val="14"/>
          <w:color w:val="auto"/>
        </w:rPr>
        <w:t>Helped secure valuation of Quantinuum business while serving as Chairman of Quantinuum.</w:t>
      </w:r>
    </w:p>
    <w:p>
      <w:pPr>
        <w:spacing w:after="0" w:line="200" w:lineRule="exact"/>
        <w:rPr>
          <w:sz w:val="20"/>
          <w:szCs w:val="20"/>
          <w:color w:val="auto"/>
        </w:rPr>
      </w:pPr>
    </w:p>
    <w:p>
      <w:pPr>
        <w:sectPr>
          <w:pgSz w:w="11900" w:h="16838" w:orient="portrait"/>
          <w:cols w:equalWidth="0" w:num="2">
            <w:col w:w="2500" w:space="320"/>
            <w:col w:w="8160"/>
          </w:cols>
          <w:pgMar w:left="320" w:top="230"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sz w:val="1"/>
          <w:szCs w:val="1"/>
          <w:color w:val="auto"/>
        </w:rPr>
        <w:drawing>
          <wp:inline distT="0" distB="0" distL="0" distR="0">
            <wp:extent cx="548640" cy="10287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230" w:right="59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ICP ESG PORTION (5% OF TARGET AWARD)</w:t>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Honeywell takes seriously its commitment to corporate social responsibility, protection of the environment, and maintenance of sound and effective governance practices. This commitment starts at the top with our executive officers, and is demonstrated through collective progress toward achieving our publicly disclosed sustainability goals, visible contributions to society, and overall progress in our internal goals related to good governance.</w:t>
      </w:r>
    </w:p>
    <w:p>
      <w:pPr>
        <w:spacing w:after="0" w:line="7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order to emphasize the Company's commitment and need for the leadership team to work collectively to achieve business-critical ESG objectives, beginning in 2023, 5% of the ICP awards for the NEOs was based on the MDCC's assessment of performance against certain pre-established ESG goals, the results of which were applied collectively to all the NEOs.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Performance against the 2023 environmental and social goals was tracked and reported as either (i) Exceeded, (ii) Achieved, or (iii) Not Achieved.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Performance on the governance goal was reported as (i) Achieved, or (ii) Not Achieved.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ESG Goal Pillar</w:t>
            </w:r>
          </w:p>
        </w:tc>
        <w:tc>
          <w:tcPr>
            <w:tcW w:w="3920" w:type="dxa"/>
            <w:vAlign w:val="bottom"/>
            <w:tcBorders>
              <w:bottom w:val="single" w:sz="8" w:color="D7282F"/>
            </w:tcBorders>
          </w:tcPr>
          <w:p>
            <w:pPr>
              <w:ind w:left="540"/>
              <w:spacing w:after="0"/>
              <w:rPr>
                <w:sz w:val="20"/>
                <w:szCs w:val="20"/>
                <w:color w:val="auto"/>
              </w:rPr>
            </w:pPr>
            <w:r>
              <w:rPr>
                <w:rFonts w:ascii="Arial" w:cs="Arial" w:eastAsia="Arial" w:hAnsi="Arial"/>
                <w:sz w:val="14"/>
                <w:szCs w:val="14"/>
                <w:b w:val="1"/>
                <w:bCs w:val="1"/>
                <w:color w:val="auto"/>
              </w:rPr>
              <w:t>2023 ESG Goal Description</w:t>
            </w:r>
            <w:r>
              <w:rPr>
                <w:rFonts w:ascii="Arial" w:cs="Arial" w:eastAsia="Arial" w:hAnsi="Arial"/>
                <w:sz w:val="18"/>
                <w:szCs w:val="18"/>
                <w:b w:val="1"/>
                <w:bCs w:val="1"/>
                <w:color w:val="auto"/>
                <w:vertAlign w:val="superscript"/>
              </w:rPr>
              <w:t>(1)</w:t>
            </w:r>
          </w:p>
        </w:tc>
        <w:tc>
          <w:tcPr>
            <w:tcW w:w="37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Strategic Rationale</w:t>
            </w:r>
          </w:p>
        </w:tc>
        <w:tc>
          <w:tcPr>
            <w:tcW w:w="1820" w:type="dxa"/>
            <w:vAlign w:val="bottom"/>
            <w:tcBorders>
              <w:bottom w:val="single" w:sz="8" w:color="D7282F"/>
            </w:tcBorders>
          </w:tcPr>
          <w:p>
            <w:pPr>
              <w:ind w:left="80"/>
              <w:spacing w:after="0"/>
              <w:rPr>
                <w:sz w:val="20"/>
                <w:szCs w:val="20"/>
                <w:color w:val="auto"/>
              </w:rPr>
            </w:pPr>
            <w:r>
              <w:rPr>
                <w:rFonts w:ascii="Arial" w:cs="Arial" w:eastAsia="Arial" w:hAnsi="Arial"/>
                <w:sz w:val="14"/>
                <w:szCs w:val="14"/>
                <w:b w:val="1"/>
                <w:bCs w:val="1"/>
                <w:color w:val="auto"/>
              </w:rPr>
              <w:t>Result</w:t>
            </w:r>
          </w:p>
        </w:tc>
        <w:tc>
          <w:tcPr>
            <w:tcW w:w="0" w:type="dxa"/>
            <w:vAlign w:val="bottom"/>
          </w:tcPr>
          <w:p>
            <w:pPr>
              <w:spacing w:after="0"/>
              <w:rPr>
                <w:sz w:val="1"/>
                <w:szCs w:val="1"/>
                <w:color w:val="auto"/>
              </w:rPr>
            </w:pPr>
          </w:p>
        </w:tc>
      </w:tr>
      <w:tr>
        <w:trPr>
          <w:trHeight w:val="220"/>
        </w:trPr>
        <w:tc>
          <w:tcPr>
            <w:tcW w:w="1700" w:type="dxa"/>
            <w:vAlign w:val="bottom"/>
          </w:tcPr>
          <w:p>
            <w:pPr>
              <w:ind w:left="20"/>
              <w:spacing w:after="0"/>
              <w:rPr>
                <w:sz w:val="20"/>
                <w:szCs w:val="20"/>
                <w:color w:val="auto"/>
              </w:rPr>
            </w:pPr>
            <w:r>
              <w:rPr>
                <w:rFonts w:ascii="Arial" w:cs="Arial" w:eastAsia="Arial" w:hAnsi="Arial"/>
                <w:sz w:val="14"/>
                <w:szCs w:val="14"/>
                <w:color w:val="auto"/>
              </w:rPr>
              <w:t>Environmental #1</w:t>
            </w:r>
          </w:p>
        </w:tc>
        <w:tc>
          <w:tcPr>
            <w:tcW w:w="3920" w:type="dxa"/>
            <w:vAlign w:val="bottom"/>
          </w:tcPr>
          <w:p>
            <w:pPr>
              <w:ind w:left="540"/>
              <w:spacing w:after="0"/>
              <w:rPr>
                <w:sz w:val="20"/>
                <w:szCs w:val="20"/>
                <w:color w:val="auto"/>
              </w:rPr>
            </w:pPr>
            <w:r>
              <w:rPr>
                <w:rFonts w:ascii="Arial" w:cs="Arial" w:eastAsia="Arial" w:hAnsi="Arial"/>
                <w:sz w:val="14"/>
                <w:szCs w:val="14"/>
                <w:color w:val="auto"/>
              </w:rPr>
              <w:t>Reduce greenhouse gas emission intensity by an</w:t>
            </w:r>
          </w:p>
        </w:tc>
        <w:tc>
          <w:tcPr>
            <w:tcW w:w="3780" w:type="dxa"/>
            <w:vAlign w:val="bottom"/>
          </w:tcPr>
          <w:p>
            <w:pPr>
              <w:ind w:left="2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Leadership in the energy transition is an important</w:t>
            </w:r>
          </w:p>
        </w:tc>
        <w:tc>
          <w:tcPr>
            <w:tcW w:w="1820" w:type="dxa"/>
            <w:vAlign w:val="bottom"/>
          </w:tcPr>
          <w:p>
            <w:pPr>
              <w:ind w:left="80"/>
              <w:spacing w:after="0"/>
              <w:rPr>
                <w:sz w:val="20"/>
                <w:szCs w:val="20"/>
                <w:color w:val="auto"/>
              </w:rPr>
            </w:pPr>
            <w:r>
              <w:rPr>
                <w:rFonts w:ascii="Arial" w:cs="Arial" w:eastAsia="Arial" w:hAnsi="Arial"/>
                <w:sz w:val="14"/>
                <w:szCs w:val="14"/>
                <w:color w:val="auto"/>
              </w:rPr>
              <w:t>Exceeded</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920" w:type="dxa"/>
            <w:vAlign w:val="bottom"/>
          </w:tcPr>
          <w:p>
            <w:pPr>
              <w:ind w:left="540"/>
              <w:spacing w:after="0"/>
              <w:rPr>
                <w:sz w:val="20"/>
                <w:szCs w:val="20"/>
                <w:color w:val="auto"/>
              </w:rPr>
            </w:pPr>
            <w:r>
              <w:rPr>
                <w:rFonts w:ascii="Arial" w:cs="Arial" w:eastAsia="Arial" w:hAnsi="Arial"/>
                <w:sz w:val="14"/>
                <w:szCs w:val="14"/>
                <w:color w:val="auto"/>
              </w:rPr>
              <w:t>additional 10% from 2018 levels</w:t>
            </w:r>
          </w:p>
        </w:tc>
        <w:tc>
          <w:tcPr>
            <w:tcW w:w="3780" w:type="dxa"/>
            <w:vAlign w:val="bottom"/>
          </w:tcPr>
          <w:p>
            <w:pPr>
              <w:ind w:left="440"/>
              <w:spacing w:after="0"/>
              <w:rPr>
                <w:sz w:val="20"/>
                <w:szCs w:val="20"/>
                <w:color w:val="auto"/>
              </w:rPr>
            </w:pPr>
            <w:r>
              <w:rPr>
                <w:rFonts w:ascii="Arial" w:cs="Arial" w:eastAsia="Arial" w:hAnsi="Arial"/>
                <w:sz w:val="14"/>
                <w:szCs w:val="14"/>
                <w:color w:val="auto"/>
              </w:rPr>
              <w:t>enabler of Honeywell's long-term growth.</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Environmental #2</w:t>
            </w:r>
          </w:p>
        </w:tc>
        <w:tc>
          <w:tcPr>
            <w:tcW w:w="3920" w:type="dxa"/>
            <w:vAlign w:val="bottom"/>
            <w:vMerge w:val="restart"/>
          </w:tcPr>
          <w:p>
            <w:pPr>
              <w:ind w:left="540"/>
              <w:spacing w:after="0"/>
              <w:rPr>
                <w:sz w:val="20"/>
                <w:szCs w:val="20"/>
                <w:color w:val="auto"/>
              </w:rPr>
            </w:pPr>
            <w:r>
              <w:rPr>
                <w:rFonts w:ascii="Arial" w:cs="Arial" w:eastAsia="Arial" w:hAnsi="Arial"/>
                <w:sz w:val="14"/>
                <w:szCs w:val="14"/>
                <w:color w:val="auto"/>
              </w:rPr>
              <w:t>Deploy 10 renewable energy projects</w:t>
            </w:r>
          </w:p>
        </w:tc>
        <w:tc>
          <w:tcPr>
            <w:tcW w:w="3780" w:type="dxa"/>
            <w:vAlign w:val="bottom"/>
          </w:tcPr>
          <w:p>
            <w:pPr>
              <w:ind w:left="2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Since 2004, Honeywell has been a leader in</w:t>
            </w:r>
          </w:p>
        </w:tc>
        <w:tc>
          <w:tcPr>
            <w:tcW w:w="1820" w:type="dxa"/>
            <w:vAlign w:val="bottom"/>
            <w:vMerge w:val="restart"/>
          </w:tcPr>
          <w:p>
            <w:pPr>
              <w:ind w:left="80"/>
              <w:spacing w:after="0"/>
              <w:rPr>
                <w:sz w:val="20"/>
                <w:szCs w:val="20"/>
                <w:color w:val="auto"/>
              </w:rPr>
            </w:pPr>
            <w:r>
              <w:rPr>
                <w:rFonts w:ascii="Arial" w:cs="Arial" w:eastAsia="Arial" w:hAnsi="Arial"/>
                <w:sz w:val="14"/>
                <w:szCs w:val="14"/>
                <w:color w:val="auto"/>
              </w:rPr>
              <w:t>Exceeded</w:t>
            </w:r>
          </w:p>
        </w:tc>
        <w:tc>
          <w:tcPr>
            <w:tcW w:w="0" w:type="dxa"/>
            <w:vAlign w:val="bottom"/>
          </w:tcPr>
          <w:p>
            <w:pPr>
              <w:spacing w:after="0"/>
              <w:rPr>
                <w:sz w:val="1"/>
                <w:szCs w:val="1"/>
                <w:color w:val="auto"/>
              </w:rPr>
            </w:pPr>
          </w:p>
        </w:tc>
      </w:tr>
      <w:tr>
        <w:trPr>
          <w:trHeight w:val="109"/>
        </w:trPr>
        <w:tc>
          <w:tcPr>
            <w:tcW w:w="1700" w:type="dxa"/>
            <w:vAlign w:val="bottom"/>
            <w:vMerge w:val="continue"/>
          </w:tcPr>
          <w:p>
            <w:pPr>
              <w:spacing w:after="0"/>
              <w:rPr>
                <w:sz w:val="9"/>
                <w:szCs w:val="9"/>
                <w:color w:val="auto"/>
              </w:rPr>
            </w:pPr>
          </w:p>
        </w:tc>
        <w:tc>
          <w:tcPr>
            <w:tcW w:w="3920" w:type="dxa"/>
            <w:vAlign w:val="bottom"/>
            <w:vMerge w:val="continue"/>
          </w:tcPr>
          <w:p>
            <w:pPr>
              <w:spacing w:after="0"/>
              <w:rPr>
                <w:sz w:val="9"/>
                <w:szCs w:val="9"/>
                <w:color w:val="auto"/>
              </w:rPr>
            </w:pPr>
          </w:p>
        </w:tc>
        <w:tc>
          <w:tcPr>
            <w:tcW w:w="3780" w:type="dxa"/>
            <w:vAlign w:val="bottom"/>
            <w:vMerge w:val="restart"/>
          </w:tcPr>
          <w:p>
            <w:pPr>
              <w:ind w:left="440"/>
              <w:spacing w:after="0"/>
              <w:rPr>
                <w:sz w:val="20"/>
                <w:szCs w:val="20"/>
                <w:color w:val="auto"/>
              </w:rPr>
            </w:pPr>
            <w:r>
              <w:rPr>
                <w:rFonts w:ascii="Arial" w:cs="Arial" w:eastAsia="Arial" w:hAnsi="Arial"/>
                <w:sz w:val="14"/>
                <w:szCs w:val="14"/>
                <w:color w:val="auto"/>
              </w:rPr>
              <w:t>establishing and exceeding ambitious sustainability</w:t>
            </w: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700" w:type="dxa"/>
            <w:vAlign w:val="bottom"/>
          </w:tcPr>
          <w:p>
            <w:pPr>
              <w:spacing w:after="0"/>
              <w:rPr>
                <w:sz w:val="5"/>
                <w:szCs w:val="5"/>
                <w:color w:val="auto"/>
              </w:rPr>
            </w:pPr>
          </w:p>
        </w:tc>
        <w:tc>
          <w:tcPr>
            <w:tcW w:w="392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7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780" w:type="dxa"/>
            <w:vAlign w:val="bottom"/>
          </w:tcPr>
          <w:p>
            <w:pPr>
              <w:ind w:left="440"/>
              <w:spacing w:after="0"/>
              <w:rPr>
                <w:sz w:val="20"/>
                <w:szCs w:val="20"/>
                <w:color w:val="auto"/>
              </w:rPr>
            </w:pPr>
            <w:r>
              <w:rPr>
                <w:rFonts w:ascii="Arial" w:cs="Arial" w:eastAsia="Arial" w:hAnsi="Arial"/>
                <w:sz w:val="14"/>
                <w:szCs w:val="14"/>
                <w:color w:val="auto"/>
              </w:rPr>
              <w:t>targets.</w:t>
            </w: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99"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4"/>
          <w:szCs w:val="14"/>
          <w:color w:val="auto"/>
        </w:rPr>
        <w:t>Environmental #3</w:t>
      </w:r>
      <w:r>
        <w:rPr>
          <w:sz w:val="20"/>
          <w:szCs w:val="20"/>
          <w:color w:val="auto"/>
        </w:rPr>
        <w:tab/>
      </w:r>
      <w:r>
        <w:rPr>
          <w:rFonts w:ascii="Arial" w:cs="Arial" w:eastAsia="Arial" w:hAnsi="Arial"/>
          <w:sz w:val="14"/>
          <w:szCs w:val="14"/>
          <w:color w:val="auto"/>
        </w:rPr>
        <w:t>Achieve certification to ISO's 50001 Energy</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Management Standard at 10 sites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Continuing to do so is a critical growth enabler.</w:t>
            </w:r>
          </w:p>
        </w:tc>
        <w:tc>
          <w:tcPr>
            <w:tcW w:w="860" w:type="dxa"/>
            <w:vAlign w:val="bottom"/>
            <w:vMerge w:val="restart"/>
          </w:tcPr>
          <w:p>
            <w:pPr>
              <w:ind w:left="220"/>
              <w:spacing w:after="0"/>
              <w:rPr>
                <w:sz w:val="20"/>
                <w:szCs w:val="20"/>
                <w:color w:val="auto"/>
              </w:rPr>
            </w:pPr>
            <w:r>
              <w:rPr>
                <w:rFonts w:ascii="Arial" w:cs="Arial" w:eastAsia="Arial" w:hAnsi="Arial"/>
                <w:sz w:val="14"/>
                <w:szCs w:val="14"/>
                <w:color w:val="auto"/>
                <w:w w:val="99"/>
              </w:rPr>
              <w:t>Exceeded</w:t>
            </w:r>
          </w:p>
        </w:tc>
        <w:tc>
          <w:tcPr>
            <w:tcW w:w="0" w:type="dxa"/>
            <w:vAlign w:val="bottom"/>
          </w:tcPr>
          <w:p>
            <w:pPr>
              <w:spacing w:after="0"/>
              <w:rPr>
                <w:sz w:val="1"/>
                <w:szCs w:val="1"/>
                <w:color w:val="auto"/>
              </w:rPr>
            </w:pPr>
          </w:p>
        </w:tc>
      </w:tr>
      <w:tr>
        <w:trPr>
          <w:trHeight w:val="67"/>
        </w:trPr>
        <w:tc>
          <w:tcPr>
            <w:tcW w:w="34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271145</wp:posOffset>
            </wp:positionV>
            <wp:extent cx="712343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5140" w:space="720"/>
            <w:col w:w="5380"/>
          </w:cols>
          <w:pgMar w:left="320" w:top="230" w:right="339" w:bottom="1440" w:gutter="0" w:footer="0" w:header="0"/>
          <w:type w:val="continuous"/>
        </w:sectPr>
      </w:pP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1300" w:type="dxa"/>
            <w:vAlign w:val="bottom"/>
          </w:tcPr>
          <w:p>
            <w:pPr>
              <w:spacing w:after="0"/>
              <w:rPr>
                <w:sz w:val="20"/>
                <w:szCs w:val="20"/>
                <w:color w:val="auto"/>
              </w:rPr>
            </w:pPr>
            <w:r>
              <w:rPr>
                <w:rFonts w:ascii="Arial" w:cs="Arial" w:eastAsia="Arial" w:hAnsi="Arial"/>
                <w:sz w:val="14"/>
                <w:szCs w:val="14"/>
                <w:color w:val="auto"/>
              </w:rPr>
              <w:t>Social</w:t>
            </w:r>
          </w:p>
        </w:tc>
        <w:tc>
          <w:tcPr>
            <w:tcW w:w="4500" w:type="dxa"/>
            <w:vAlign w:val="bottom"/>
          </w:tcPr>
          <w:p>
            <w:pPr>
              <w:ind w:left="920"/>
              <w:spacing w:after="0"/>
              <w:rPr>
                <w:sz w:val="20"/>
                <w:szCs w:val="20"/>
                <w:color w:val="auto"/>
              </w:rPr>
            </w:pPr>
            <w:r>
              <w:rPr>
                <w:rFonts w:ascii="Arial" w:cs="Arial" w:eastAsia="Arial" w:hAnsi="Arial"/>
                <w:sz w:val="14"/>
                <w:szCs w:val="14"/>
                <w:color w:val="auto"/>
              </w:rPr>
              <w:t>Maintain or increase the percentage of candidate slates</w:t>
            </w:r>
          </w:p>
        </w:tc>
        <w:tc>
          <w:tcPr>
            <w:tcW w:w="348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A diverse and inclusive workforce enables better</w:t>
            </w:r>
          </w:p>
        </w:tc>
        <w:tc>
          <w:tcPr>
            <w:tcW w:w="760" w:type="dxa"/>
            <w:vAlign w:val="bottom"/>
          </w:tcPr>
          <w:p>
            <w:pPr>
              <w:ind w:left="180"/>
              <w:spacing w:after="0"/>
              <w:rPr>
                <w:sz w:val="20"/>
                <w:szCs w:val="20"/>
                <w:color w:val="auto"/>
              </w:rPr>
            </w:pPr>
            <w:r>
              <w:rPr>
                <w:rFonts w:ascii="Arial" w:cs="Arial" w:eastAsia="Arial" w:hAnsi="Arial"/>
                <w:sz w:val="14"/>
                <w:szCs w:val="14"/>
                <w:color w:val="auto"/>
                <w:w w:val="97"/>
              </w:rPr>
              <w:t>Achieved</w:t>
            </w:r>
          </w:p>
        </w:tc>
        <w:tc>
          <w:tcPr>
            <w:tcW w:w="0" w:type="dxa"/>
            <w:vAlign w:val="bottom"/>
          </w:tcPr>
          <w:p>
            <w:pPr>
              <w:spacing w:after="0"/>
              <w:rPr>
                <w:sz w:val="1"/>
                <w:szCs w:val="1"/>
                <w:color w:val="auto"/>
              </w:rPr>
            </w:pPr>
          </w:p>
        </w:tc>
      </w:tr>
      <w:tr>
        <w:trPr>
          <w:trHeight w:val="175"/>
        </w:trPr>
        <w:tc>
          <w:tcPr>
            <w:tcW w:w="1300" w:type="dxa"/>
            <w:vAlign w:val="bottom"/>
          </w:tcPr>
          <w:p>
            <w:pPr>
              <w:spacing w:after="0"/>
              <w:rPr>
                <w:sz w:val="15"/>
                <w:szCs w:val="15"/>
                <w:color w:val="auto"/>
              </w:rPr>
            </w:pPr>
          </w:p>
        </w:tc>
        <w:tc>
          <w:tcPr>
            <w:tcW w:w="4500" w:type="dxa"/>
            <w:vAlign w:val="bottom"/>
          </w:tcPr>
          <w:p>
            <w:pPr>
              <w:ind w:left="920"/>
              <w:spacing w:after="0"/>
              <w:rPr>
                <w:sz w:val="20"/>
                <w:szCs w:val="20"/>
                <w:color w:val="auto"/>
              </w:rPr>
            </w:pPr>
            <w:r>
              <w:rPr>
                <w:rFonts w:ascii="Arial" w:cs="Arial" w:eastAsia="Arial" w:hAnsi="Arial"/>
                <w:sz w:val="14"/>
                <w:szCs w:val="14"/>
                <w:color w:val="auto"/>
              </w:rPr>
              <w:t>that have diverse candidates at the interview stage</w:t>
            </w:r>
          </w:p>
        </w:tc>
        <w:tc>
          <w:tcPr>
            <w:tcW w:w="3480" w:type="dxa"/>
            <w:vAlign w:val="bottom"/>
            <w:vMerge w:val="restart"/>
          </w:tcPr>
          <w:p>
            <w:pPr>
              <w:ind w:left="240"/>
              <w:spacing w:after="0"/>
              <w:rPr>
                <w:sz w:val="20"/>
                <w:szCs w:val="20"/>
                <w:color w:val="auto"/>
              </w:rPr>
            </w:pPr>
            <w:r>
              <w:rPr>
                <w:rFonts w:ascii="Arial" w:cs="Arial" w:eastAsia="Arial" w:hAnsi="Arial"/>
                <w:sz w:val="14"/>
                <w:szCs w:val="14"/>
                <w:color w:val="auto"/>
              </w:rPr>
              <w:t>decision-making and innovation, helps build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1300" w:type="dxa"/>
            <w:vAlign w:val="bottom"/>
          </w:tcPr>
          <w:p>
            <w:pPr>
              <w:spacing w:after="0"/>
              <w:rPr>
                <w:sz w:val="2"/>
                <w:szCs w:val="2"/>
                <w:color w:val="auto"/>
              </w:rPr>
            </w:pPr>
          </w:p>
        </w:tc>
        <w:tc>
          <w:tcPr>
            <w:tcW w:w="450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480" w:type="dxa"/>
            <w:vAlign w:val="bottom"/>
          </w:tcPr>
          <w:p>
            <w:pPr>
              <w:ind w:left="240"/>
              <w:spacing w:after="0"/>
              <w:rPr>
                <w:sz w:val="20"/>
                <w:szCs w:val="20"/>
                <w:color w:val="auto"/>
              </w:rPr>
            </w:pPr>
            <w:r>
              <w:rPr>
                <w:rFonts w:ascii="Arial" w:cs="Arial" w:eastAsia="Arial" w:hAnsi="Arial"/>
                <w:sz w:val="14"/>
                <w:szCs w:val="14"/>
                <w:color w:val="auto"/>
              </w:rPr>
              <w:t>competitive advantage, and furthers our long-</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480" w:type="dxa"/>
            <w:vAlign w:val="bottom"/>
          </w:tcPr>
          <w:p>
            <w:pPr>
              <w:ind w:left="240"/>
              <w:spacing w:after="0"/>
              <w:rPr>
                <w:sz w:val="20"/>
                <w:szCs w:val="20"/>
                <w:color w:val="auto"/>
              </w:rPr>
            </w:pPr>
            <w:r>
              <w:rPr>
                <w:rFonts w:ascii="Arial" w:cs="Arial" w:eastAsia="Arial" w:hAnsi="Arial"/>
                <w:sz w:val="14"/>
                <w:szCs w:val="14"/>
                <w:color w:val="auto"/>
              </w:rPr>
              <w:t>term success.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2343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120" w:lineRule="exact"/>
        <w:rPr>
          <w:sz w:val="20"/>
          <w:szCs w:val="20"/>
          <w:color w:val="auto"/>
        </w:rPr>
      </w:pPr>
    </w:p>
    <w:p>
      <w:pPr>
        <w:ind w:left="20"/>
        <w:spacing w:after="0"/>
        <w:tabs>
          <w:tab w:leader="none" w:pos="2220" w:val="left"/>
        </w:tabs>
        <w:rPr>
          <w:sz w:val="20"/>
          <w:szCs w:val="20"/>
          <w:color w:val="auto"/>
        </w:rPr>
      </w:pPr>
      <w:r>
        <w:rPr>
          <w:rFonts w:ascii="Arial" w:cs="Arial" w:eastAsia="Arial" w:hAnsi="Arial"/>
          <w:sz w:val="14"/>
          <w:szCs w:val="14"/>
          <w:color w:val="auto"/>
        </w:rPr>
        <w:t>Governance</w:t>
      </w:r>
      <w:r>
        <w:rPr>
          <w:sz w:val="20"/>
          <w:szCs w:val="20"/>
          <w:color w:val="auto"/>
        </w:rPr>
        <w:tab/>
      </w:r>
      <w:r>
        <w:rPr>
          <w:rFonts w:ascii="Arial" w:cs="Arial" w:eastAsia="Arial" w:hAnsi="Arial"/>
          <w:sz w:val="14"/>
          <w:szCs w:val="14"/>
          <w:color w:val="auto"/>
        </w:rPr>
        <w:t>Ensure 100% of eligible employees complete Code of</w:t>
      </w:r>
    </w:p>
    <w:p>
      <w:pPr>
        <w:spacing w:after="0" w:line="15" w:lineRule="exact"/>
        <w:rPr>
          <w:sz w:val="20"/>
          <w:szCs w:val="20"/>
          <w:color w:val="auto"/>
        </w:rPr>
      </w:pPr>
    </w:p>
    <w:p>
      <w:pPr>
        <w:ind w:left="2240"/>
        <w:spacing w:after="0"/>
        <w:rPr>
          <w:sz w:val="20"/>
          <w:szCs w:val="20"/>
          <w:color w:val="auto"/>
        </w:rPr>
      </w:pPr>
      <w:r>
        <w:rPr>
          <w:rFonts w:ascii="Arial" w:cs="Arial" w:eastAsia="Arial" w:hAnsi="Arial"/>
          <w:sz w:val="14"/>
          <w:szCs w:val="14"/>
          <w:color w:val="auto"/>
        </w:rPr>
        <w:t>Business Conduct certification and related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12343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94"/>
        </w:trPr>
        <w:tc>
          <w:tcPr>
            <w:tcW w:w="3400" w:type="dxa"/>
            <w:vAlign w:val="bottom"/>
          </w:tcPr>
          <w:p>
            <w:pPr>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4"/>
                <w:szCs w:val="14"/>
                <w:color w:val="000000"/>
              </w:rPr>
              <w:t>The Code of Business Conduct establishes the</w:t>
            </w:r>
          </w:p>
        </w:tc>
        <w:tc>
          <w:tcPr>
            <w:tcW w:w="800" w:type="dxa"/>
            <w:vAlign w:val="bottom"/>
          </w:tcPr>
          <w:p>
            <w:pPr>
              <w:ind w:left="220"/>
              <w:spacing w:after="0"/>
              <w:rPr>
                <w:sz w:val="20"/>
                <w:szCs w:val="20"/>
                <w:color w:val="auto"/>
              </w:rPr>
            </w:pPr>
            <w:r>
              <w:rPr>
                <w:rFonts w:ascii="Arial" w:cs="Arial" w:eastAsia="Arial" w:hAnsi="Arial"/>
                <w:sz w:val="14"/>
                <w:szCs w:val="14"/>
                <w:color w:val="auto"/>
                <w:w w:val="97"/>
              </w:rPr>
              <w:t>Achieved</w:t>
            </w:r>
          </w:p>
        </w:tc>
      </w:tr>
      <w:tr>
        <w:trPr>
          <w:trHeight w:val="175"/>
        </w:trPr>
        <w:tc>
          <w:tcPr>
            <w:tcW w:w="3400" w:type="dxa"/>
            <w:vAlign w:val="bottom"/>
          </w:tcPr>
          <w:p>
            <w:pPr>
              <w:ind w:left="200"/>
              <w:spacing w:after="0"/>
              <w:rPr>
                <w:sz w:val="20"/>
                <w:szCs w:val="20"/>
                <w:color w:val="auto"/>
              </w:rPr>
            </w:pPr>
            <w:r>
              <w:rPr>
                <w:rFonts w:ascii="Arial" w:cs="Arial" w:eastAsia="Arial" w:hAnsi="Arial"/>
                <w:sz w:val="14"/>
                <w:szCs w:val="14"/>
                <w:color w:val="auto"/>
              </w:rPr>
              <w:t>Foundational Principles and ethical conduct</w:t>
            </w:r>
          </w:p>
        </w:tc>
        <w:tc>
          <w:tcPr>
            <w:tcW w:w="800" w:type="dxa"/>
            <w:vAlign w:val="bottom"/>
          </w:tcPr>
          <w:p>
            <w:pPr>
              <w:spacing w:after="0"/>
              <w:rPr>
                <w:sz w:val="15"/>
                <w:szCs w:val="15"/>
                <w:color w:val="auto"/>
              </w:rPr>
            </w:pPr>
          </w:p>
        </w:tc>
      </w:tr>
      <w:tr>
        <w:trPr>
          <w:trHeight w:val="190"/>
        </w:trPr>
        <w:tc>
          <w:tcPr>
            <w:tcW w:w="3400" w:type="dxa"/>
            <w:vAlign w:val="bottom"/>
          </w:tcPr>
          <w:p>
            <w:pPr>
              <w:ind w:left="200"/>
              <w:spacing w:after="0"/>
              <w:rPr>
                <w:sz w:val="20"/>
                <w:szCs w:val="20"/>
                <w:color w:val="auto"/>
              </w:rPr>
            </w:pPr>
            <w:r>
              <w:rPr>
                <w:rFonts w:ascii="Arial" w:cs="Arial" w:eastAsia="Arial" w:hAnsi="Arial"/>
                <w:sz w:val="14"/>
                <w:szCs w:val="14"/>
                <w:color w:val="auto"/>
              </w:rPr>
              <w:t>expectations for our global workforce.</w:t>
            </w:r>
          </w:p>
        </w:tc>
        <w:tc>
          <w:tcPr>
            <w:tcW w:w="800" w:type="dxa"/>
            <w:vAlign w:val="bottom"/>
          </w:tcPr>
          <w:p>
            <w:pPr>
              <w:spacing w:after="0"/>
              <w:rPr>
                <w:sz w:val="16"/>
                <w:szCs w:val="16"/>
                <w:color w:val="auto"/>
              </w:rPr>
            </w:pPr>
          </w:p>
        </w:tc>
      </w:tr>
    </w:tbl>
    <w:p>
      <w:pPr>
        <w:spacing w:after="0" w:line="66" w:lineRule="exact"/>
        <w:rPr>
          <w:sz w:val="20"/>
          <w:szCs w:val="20"/>
          <w:color w:val="auto"/>
        </w:rPr>
      </w:pPr>
    </w:p>
    <w:p>
      <w:pPr>
        <w:ind w:left="202" w:right="2020" w:hanging="202"/>
        <w:spacing w:after="0" w:line="263" w:lineRule="auto"/>
        <w:tabs>
          <w:tab w:leader="none" w:pos="199" w:val="left"/>
        </w:tabs>
        <w:numPr>
          <w:ilvl w:val="0"/>
          <w:numId w:val="149"/>
        </w:numPr>
        <w:rPr>
          <w:rFonts w:ascii="Arial" w:cs="Arial" w:eastAsia="Arial" w:hAnsi="Arial"/>
          <w:sz w:val="16"/>
          <w:szCs w:val="16"/>
          <w:b w:val="1"/>
          <w:bCs w:val="1"/>
          <w:color w:val="D7282F"/>
        </w:rPr>
      </w:pPr>
      <w:r>
        <w:rPr>
          <w:rFonts w:ascii="Arial" w:cs="Arial" w:eastAsia="Arial" w:hAnsi="Arial"/>
          <w:sz w:val="14"/>
          <w:szCs w:val="14"/>
          <w:color w:val="auto"/>
        </w:rPr>
        <w:t>Achieving 100% certification throughout the organization helps mitigate the risk of reputational and financial harm and encourages employees to report their concerns.</w:t>
      </w:r>
    </w:p>
    <w:p>
      <w:pPr>
        <w:spacing w:after="0" w:line="200" w:lineRule="exact"/>
        <w:rPr>
          <w:sz w:val="20"/>
          <w:szCs w:val="20"/>
          <w:color w:val="auto"/>
        </w:rPr>
      </w:pPr>
    </w:p>
    <w:p>
      <w:pPr>
        <w:sectPr>
          <w:pgSz w:w="11900" w:h="16838" w:orient="portrait"/>
          <w:cols w:equalWidth="0" w:num="2">
            <w:col w:w="5660" w:space="198"/>
            <w:col w:w="5382"/>
          </w:cols>
          <w:pgMar w:left="320" w:top="230" w:right="339" w:bottom="1440" w:gutter="0" w:footer="0" w:header="0"/>
          <w:type w:val="continuous"/>
        </w:sectPr>
      </w:pPr>
    </w:p>
    <w:p>
      <w:pPr>
        <w:spacing w:after="0" w:line="1" w:lineRule="exact"/>
        <w:rPr>
          <w:sz w:val="20"/>
          <w:szCs w:val="20"/>
          <w:color w:val="auto"/>
        </w:rPr>
      </w:pPr>
    </w:p>
    <w:p>
      <w:pPr>
        <w:ind w:left="240" w:hanging="232"/>
        <w:spacing w:after="0"/>
        <w:tabs>
          <w:tab w:leader="none" w:pos="240" w:val="left"/>
        </w:tabs>
        <w:numPr>
          <w:ilvl w:val="0"/>
          <w:numId w:val="150"/>
        </w:numPr>
        <w:rPr>
          <w:rFonts w:ascii="Arial" w:cs="Arial" w:eastAsia="Arial" w:hAnsi="Arial"/>
          <w:sz w:val="16"/>
          <w:szCs w:val="16"/>
          <w:color w:val="auto"/>
          <w:vertAlign w:val="superscript"/>
        </w:rPr>
      </w:pPr>
      <w:r>
        <w:rPr>
          <w:rFonts w:ascii="Arial" w:cs="Arial" w:eastAsia="Arial" w:hAnsi="Arial"/>
          <w:sz w:val="13"/>
          <w:szCs w:val="13"/>
          <w:color w:val="auto"/>
        </w:rPr>
        <w:t>The three environmental goals are directly aligned with the Company's 10-10-10 public sustainability goals.</w:t>
      </w:r>
    </w:p>
    <w:p>
      <w:pPr>
        <w:spacing w:after="0" w:line="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Following a comprehensive review and discussion of CEO staff performance against the 2023 ESG goals, and broadly considering the success that leadership has had in advancing the Company's sustainability commitments, the MDCC approved an overall attainment percentage of 150% of target for the ESG Portion (5%) of the 2023 ICP awards to the NEOs.</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APPROVED ICP PAYOUT AMOUNTS</w:t>
      </w:r>
    </w:p>
    <w:p>
      <w:pPr>
        <w:spacing w:after="0" w:line="128"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After applying the formulaic payout percentages described on page 61 (80% weight), deciding individual qualitative attainment percentages for each NEO based on their assessment of individual performance in 2023 (15% weight), and deciding the appropriate ESG portion payout percentage (5% weight), the MDCC approved 2023 ICP payments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Pr>
          <w:p>
            <w:pPr>
              <w:spacing w:after="0"/>
              <w:rPr>
                <w:sz w:val="16"/>
                <w:szCs w:val="16"/>
                <w:color w:val="auto"/>
              </w:rPr>
            </w:pPr>
          </w:p>
        </w:tc>
        <w:tc>
          <w:tcPr>
            <w:tcW w:w="1820" w:type="dxa"/>
            <w:vAlign w:val="bottom"/>
            <w:gridSpan w:val="2"/>
          </w:tcPr>
          <w:p>
            <w:pPr>
              <w:jc w:val="right"/>
              <w:ind w:right="86"/>
              <w:spacing w:after="0"/>
              <w:rPr>
                <w:sz w:val="20"/>
                <w:szCs w:val="20"/>
                <w:color w:val="auto"/>
              </w:rPr>
            </w:pPr>
            <w:r>
              <w:rPr>
                <w:rFonts w:ascii="Arial" w:cs="Arial" w:eastAsia="Arial" w:hAnsi="Arial"/>
                <w:sz w:val="11"/>
                <w:szCs w:val="11"/>
                <w:b w:val="1"/>
                <w:bCs w:val="1"/>
                <w:color w:val="auto"/>
              </w:rPr>
              <w:t>Formulaic Portion</w:t>
            </w:r>
            <w:r>
              <w:rPr>
                <w:rFonts w:ascii="Arial" w:cs="Arial" w:eastAsia="Arial" w:hAnsi="Arial"/>
                <w:sz w:val="14"/>
                <w:szCs w:val="14"/>
                <w:b w:val="1"/>
                <w:bCs w:val="1"/>
                <w:color w:val="auto"/>
                <w:vertAlign w:val="superscript"/>
              </w:rPr>
              <w:t>(1)</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w:t>
            </w:r>
          </w:p>
        </w:tc>
        <w:tc>
          <w:tcPr>
            <w:tcW w:w="182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Qualitative Portion</w:t>
            </w:r>
            <w:r>
              <w:rPr>
                <w:rFonts w:ascii="Arial" w:cs="Arial" w:eastAsia="Arial" w:hAnsi="Arial"/>
                <w:sz w:val="14"/>
                <w:szCs w:val="14"/>
                <w:b w:val="1"/>
                <w:bCs w:val="1"/>
                <w:color w:val="auto"/>
                <w:vertAlign w:val="superscript"/>
              </w:rPr>
              <w:t>(2)</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w:t>
            </w:r>
          </w:p>
        </w:tc>
        <w:tc>
          <w:tcPr>
            <w:tcW w:w="1680" w:type="dxa"/>
            <w:vAlign w:val="bottom"/>
            <w:gridSpan w:val="2"/>
          </w:tcPr>
          <w:p>
            <w:pPr>
              <w:jc w:val="right"/>
              <w:ind w:right="146"/>
              <w:spacing w:after="0"/>
              <w:rPr>
                <w:sz w:val="20"/>
                <w:szCs w:val="20"/>
                <w:color w:val="auto"/>
              </w:rPr>
            </w:pPr>
            <w:r>
              <w:rPr>
                <w:rFonts w:ascii="Arial" w:cs="Arial" w:eastAsia="Arial" w:hAnsi="Arial"/>
                <w:sz w:val="11"/>
                <w:szCs w:val="11"/>
                <w:b w:val="1"/>
                <w:bCs w:val="1"/>
                <w:color w:val="auto"/>
              </w:rPr>
              <w:t>ESG Portion</w:t>
            </w:r>
            <w:r>
              <w:rPr>
                <w:rFonts w:ascii="Arial" w:cs="Arial" w:eastAsia="Arial" w:hAnsi="Arial"/>
                <w:sz w:val="14"/>
                <w:szCs w:val="14"/>
                <w:b w:val="1"/>
                <w:bCs w:val="1"/>
                <w:color w:val="auto"/>
                <w:vertAlign w:val="superscript"/>
              </w:rPr>
              <w:t>(3)</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w:t>
            </w:r>
          </w:p>
        </w:tc>
        <w:tc>
          <w:tcPr>
            <w:tcW w:w="96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 xml:space="preserve">Total </w:t>
            </w:r>
            <w:r>
              <w:rPr>
                <w:rFonts w:ascii="Arial" w:cs="Arial" w:eastAsia="Arial" w:hAnsi="Arial"/>
                <w:sz w:val="21"/>
                <w:szCs w:val="21"/>
                <w:b w:val="1"/>
                <w:bCs w:val="1"/>
                <w:color w:val="auto"/>
                <w:vertAlign w:val="superscript"/>
              </w:rPr>
              <w:t>x</w:t>
            </w:r>
          </w:p>
        </w:tc>
        <w:tc>
          <w:tcPr>
            <w:tcW w:w="1000" w:type="dxa"/>
            <w:vAlign w:val="bottom"/>
            <w:vMerge w:val="restart"/>
          </w:tcPr>
          <w:p>
            <w:pPr>
              <w:jc w:val="right"/>
              <w:ind w:right="26"/>
              <w:spacing w:after="0"/>
              <w:rPr>
                <w:sz w:val="20"/>
                <w:szCs w:val="20"/>
                <w:color w:val="auto"/>
              </w:rPr>
            </w:pPr>
            <w:r>
              <w:rPr>
                <w:rFonts w:ascii="Arial" w:cs="Arial" w:eastAsia="Arial" w:hAnsi="Arial"/>
                <w:sz w:val="11"/>
                <w:szCs w:val="11"/>
                <w:b w:val="1"/>
                <w:bCs w:val="1"/>
                <w:color w:val="auto"/>
              </w:rPr>
              <w:t xml:space="preserve">Target 2023 </w:t>
            </w:r>
            <w:r>
              <w:rPr>
                <w:rFonts w:ascii="Arial" w:cs="Arial" w:eastAsia="Arial" w:hAnsi="Arial"/>
                <w:sz w:val="21"/>
                <w:szCs w:val="21"/>
                <w:b w:val="1"/>
                <w:bCs w:val="1"/>
                <w:color w:val="auto"/>
                <w:vertAlign w:val="superscript"/>
              </w:rPr>
              <w:t>=</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Actual 2023</w:t>
            </w: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1160" w:type="dxa"/>
            <w:vAlign w:val="bottom"/>
            <w:tcBorders>
              <w:top w:val="single" w:sz="8" w:color="D7282F"/>
            </w:tcBorders>
          </w:tcPr>
          <w:p>
            <w:pPr>
              <w:spacing w:after="0"/>
              <w:rPr>
                <w:sz w:val="10"/>
                <w:szCs w:val="10"/>
                <w:color w:val="auto"/>
              </w:rPr>
            </w:pPr>
          </w:p>
        </w:tc>
        <w:tc>
          <w:tcPr>
            <w:tcW w:w="660" w:type="dxa"/>
            <w:vAlign w:val="bottom"/>
            <w:tcBorders>
              <w:top w:val="single" w:sz="8" w:color="D7282F"/>
            </w:tcBorders>
          </w:tcPr>
          <w:p>
            <w:pPr>
              <w:spacing w:after="0"/>
              <w:rPr>
                <w:sz w:val="10"/>
                <w:szCs w:val="10"/>
                <w:color w:val="auto"/>
              </w:rPr>
            </w:pPr>
          </w:p>
        </w:tc>
        <w:tc>
          <w:tcPr>
            <w:tcW w:w="520" w:type="dxa"/>
            <w:vAlign w:val="bottom"/>
            <w:tcBorders>
              <w:top w:val="single" w:sz="8" w:color="D7282F"/>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D7282F"/>
            </w:tcBorders>
          </w:tcPr>
          <w:p>
            <w:pPr>
              <w:spacing w:after="0"/>
              <w:rPr>
                <w:sz w:val="10"/>
                <w:szCs w:val="10"/>
                <w:color w:val="auto"/>
              </w:rPr>
            </w:pPr>
          </w:p>
        </w:tc>
        <w:tc>
          <w:tcPr>
            <w:tcW w:w="640" w:type="dxa"/>
            <w:vAlign w:val="bottom"/>
            <w:tcBorders>
              <w:top w:val="single" w:sz="8" w:color="D7282F"/>
            </w:tcBorders>
          </w:tcPr>
          <w:p>
            <w:pPr>
              <w:spacing w:after="0"/>
              <w:rPr>
                <w:sz w:val="10"/>
                <w:szCs w:val="10"/>
                <w:color w:val="auto"/>
              </w:rPr>
            </w:pPr>
          </w:p>
        </w:tc>
        <w:tc>
          <w:tcPr>
            <w:tcW w:w="520" w:type="dxa"/>
            <w:vAlign w:val="bottom"/>
            <w:tcBorders>
              <w:top w:val="single" w:sz="8" w:color="D7282F"/>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top w:val="single" w:sz="8" w:color="D7282F"/>
            </w:tcBorders>
          </w:tcPr>
          <w:p>
            <w:pPr>
              <w:spacing w:after="0"/>
              <w:rPr>
                <w:sz w:val="10"/>
                <w:szCs w:val="10"/>
                <w:color w:val="auto"/>
              </w:rPr>
            </w:pPr>
          </w:p>
        </w:tc>
        <w:tc>
          <w:tcPr>
            <w:tcW w:w="720" w:type="dxa"/>
            <w:vAlign w:val="bottom"/>
            <w:tcBorders>
              <w:top w:val="single" w:sz="8" w:color="D7282F"/>
            </w:tcBorders>
          </w:tcPr>
          <w:p>
            <w:pPr>
              <w:spacing w:after="0"/>
              <w:rPr>
                <w:sz w:val="10"/>
                <w:szCs w:val="10"/>
                <w:color w:val="auto"/>
              </w:rPr>
            </w:pPr>
          </w:p>
        </w:tc>
        <w:tc>
          <w:tcPr>
            <w:tcW w:w="580" w:type="dxa"/>
            <w:vAlign w:val="bottom"/>
            <w:tcBorders>
              <w:top w:val="single" w:sz="8" w:color="D7282F"/>
            </w:tcBorders>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auto"/>
              </w:rPr>
              <w:t>Individual</w:t>
            </w:r>
          </w:p>
        </w:tc>
        <w:tc>
          <w:tcPr>
            <w:tcW w:w="100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ICP Award</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Payout</w:t>
            </w:r>
          </w:p>
        </w:tc>
        <w:tc>
          <w:tcPr>
            <w:tcW w:w="1180" w:type="dxa"/>
            <w:vAlign w:val="bottom"/>
          </w:tcPr>
          <w:p>
            <w:pPr>
              <w:spacing w:after="0"/>
              <w:rPr>
                <w:sz w:val="10"/>
                <w:szCs w:val="10"/>
                <w:color w:val="auto"/>
              </w:rPr>
            </w:pP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Weight</w:t>
            </w:r>
          </w:p>
        </w:tc>
        <w:tc>
          <w:tcPr>
            <w:tcW w:w="7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Payout</w:t>
            </w:r>
          </w:p>
        </w:tc>
        <w:tc>
          <w:tcPr>
            <w:tcW w:w="960" w:type="dxa"/>
            <w:vAlign w:val="bottom"/>
          </w:tcPr>
          <w:p>
            <w:pPr>
              <w:spacing w:after="0"/>
              <w:rPr>
                <w:sz w:val="10"/>
                <w:szCs w:val="10"/>
                <w:color w:val="auto"/>
              </w:rPr>
            </w:pPr>
          </w:p>
        </w:tc>
        <w:tc>
          <w:tcPr>
            <w:tcW w:w="7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Weight</w:t>
            </w:r>
          </w:p>
        </w:tc>
        <w:tc>
          <w:tcPr>
            <w:tcW w:w="86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Payout</w:t>
            </w:r>
          </w:p>
        </w:tc>
        <w:tc>
          <w:tcPr>
            <w:tcW w:w="9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ICP Payout</w:t>
            </w:r>
          </w:p>
        </w:tc>
        <w:tc>
          <w:tcPr>
            <w:tcW w:w="100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Amount</w:t>
            </w:r>
            <w:r>
              <w:rPr>
                <w:rFonts w:ascii="Arial" w:cs="Arial" w:eastAsia="Arial" w:hAnsi="Arial"/>
                <w:sz w:val="14"/>
                <w:szCs w:val="14"/>
                <w:b w:val="1"/>
                <w:bCs w:val="1"/>
                <w:color w:val="auto"/>
                <w:vertAlign w:val="superscript"/>
              </w:rPr>
              <w:t>(4)</w:t>
            </w:r>
          </w:p>
        </w:tc>
        <w:tc>
          <w:tcPr>
            <w:tcW w:w="8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ICP Award</w:t>
            </w:r>
          </w:p>
        </w:tc>
        <w:tc>
          <w:tcPr>
            <w:tcW w:w="0" w:type="dxa"/>
            <w:vAlign w:val="bottom"/>
          </w:tcPr>
          <w:p>
            <w:pPr>
              <w:spacing w:after="0"/>
              <w:rPr>
                <w:sz w:val="1"/>
                <w:szCs w:val="1"/>
                <w:color w:val="auto"/>
              </w:rPr>
            </w:pPr>
          </w:p>
        </w:tc>
      </w:tr>
      <w:tr>
        <w:trPr>
          <w:trHeight w:val="169"/>
        </w:trPr>
        <w:tc>
          <w:tcPr>
            <w:tcW w:w="840" w:type="dxa"/>
            <w:vAlign w:val="bottom"/>
            <w:tcBorders>
              <w:bottom w:val="single" w:sz="8" w:color="D7282F"/>
            </w:tcBorders>
          </w:tcPr>
          <w:p>
            <w:pPr>
              <w:spacing w:after="0"/>
              <w:rPr>
                <w:sz w:val="14"/>
                <w:szCs w:val="14"/>
                <w:color w:val="auto"/>
              </w:rPr>
            </w:pPr>
          </w:p>
        </w:tc>
        <w:tc>
          <w:tcPr>
            <w:tcW w:w="1160" w:type="dxa"/>
            <w:vAlign w:val="bottom"/>
            <w:tcBorders>
              <w:bottom w:val="single" w:sz="8" w:color="D7282F"/>
            </w:tcBorders>
          </w:tcPr>
          <w:p>
            <w:pPr>
              <w:jc w:val="right"/>
              <w:ind w:right="86"/>
              <w:spacing w:after="0"/>
              <w:rPr>
                <w:sz w:val="20"/>
                <w:szCs w:val="20"/>
                <w:color w:val="auto"/>
              </w:rPr>
            </w:pPr>
            <w:r>
              <w:rPr>
                <w:rFonts w:ascii="Arial" w:cs="Arial" w:eastAsia="Arial" w:hAnsi="Arial"/>
                <w:sz w:val="11"/>
                <w:szCs w:val="11"/>
                <w:b w:val="1"/>
                <w:bCs w:val="1"/>
                <w:color w:val="auto"/>
              </w:rPr>
              <w:t>Attainment  x</w:t>
            </w:r>
          </w:p>
        </w:tc>
        <w:tc>
          <w:tcPr>
            <w:tcW w:w="660" w:type="dxa"/>
            <w:vAlign w:val="bottom"/>
            <w:tcBorders>
              <w:bottom w:val="single" w:sz="8" w:color="D7282F"/>
            </w:tcBorders>
          </w:tcPr>
          <w:p>
            <w:pPr>
              <w:jc w:val="right"/>
              <w:ind w:right="126"/>
              <w:spacing w:after="0"/>
              <w:rPr>
                <w:sz w:val="20"/>
                <w:szCs w:val="20"/>
                <w:color w:val="auto"/>
              </w:rPr>
            </w:pPr>
            <w:r>
              <w:rPr>
                <w:rFonts w:ascii="Arial" w:cs="Arial" w:eastAsia="Arial" w:hAnsi="Arial"/>
                <w:sz w:val="11"/>
                <w:szCs w:val="11"/>
                <w:b w:val="1"/>
                <w:bCs w:val="1"/>
                <w:color w:val="auto"/>
              </w:rPr>
              <w:t>Weight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D7282F"/>
            </w:tcBorders>
          </w:tcPr>
          <w:p>
            <w:pPr>
              <w:spacing w:after="0"/>
              <w:rPr>
                <w:sz w:val="14"/>
                <w:szCs w:val="14"/>
                <w:color w:val="auto"/>
              </w:rPr>
            </w:pPr>
          </w:p>
        </w:tc>
        <w:tc>
          <w:tcPr>
            <w:tcW w:w="1180" w:type="dxa"/>
            <w:vAlign w:val="bottom"/>
            <w:tcBorders>
              <w:bottom w:val="single" w:sz="8" w:color="D7282F"/>
            </w:tcBorders>
          </w:tcPr>
          <w:p>
            <w:pPr>
              <w:jc w:val="right"/>
              <w:ind w:right="86"/>
              <w:spacing w:after="0"/>
              <w:rPr>
                <w:sz w:val="20"/>
                <w:szCs w:val="20"/>
                <w:color w:val="auto"/>
              </w:rPr>
            </w:pPr>
            <w:r>
              <w:rPr>
                <w:rFonts w:ascii="Arial" w:cs="Arial" w:eastAsia="Arial" w:hAnsi="Arial"/>
                <w:sz w:val="11"/>
                <w:szCs w:val="11"/>
                <w:b w:val="1"/>
                <w:bCs w:val="1"/>
                <w:color w:val="auto"/>
              </w:rPr>
              <w:t>Attainment   x</w:t>
            </w:r>
          </w:p>
        </w:tc>
        <w:tc>
          <w:tcPr>
            <w:tcW w:w="640" w:type="dxa"/>
            <w:vAlign w:val="bottom"/>
            <w:tcBorders>
              <w:bottom w:val="single" w:sz="8" w:color="D7282F"/>
            </w:tcBorders>
          </w:tcPr>
          <w:p>
            <w:pPr>
              <w:jc w:val="right"/>
              <w:ind w:right="86"/>
              <w:spacing w:after="0"/>
              <w:rPr>
                <w:sz w:val="20"/>
                <w:szCs w:val="20"/>
                <w:color w:val="auto"/>
              </w:rPr>
            </w:pPr>
            <w:r>
              <w:rPr>
                <w:rFonts w:ascii="Arial" w:cs="Arial" w:eastAsia="Arial" w:hAnsi="Arial"/>
                <w:sz w:val="11"/>
                <w:szCs w:val="11"/>
                <w:b w:val="1"/>
                <w:bCs w:val="1"/>
                <w:color w:val="auto"/>
              </w:rPr>
              <w:t>%</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D7282F"/>
            </w:tcBorders>
          </w:tcPr>
          <w:p>
            <w:pPr>
              <w:spacing w:after="0"/>
              <w:rPr>
                <w:sz w:val="14"/>
                <w:szCs w:val="14"/>
                <w:color w:val="auto"/>
              </w:rPr>
            </w:pPr>
          </w:p>
        </w:tc>
        <w:tc>
          <w:tcPr>
            <w:tcW w:w="960" w:type="dxa"/>
            <w:vAlign w:val="bottom"/>
            <w:tcBorders>
              <w:bottom w:val="single" w:sz="8" w:color="D7282F"/>
            </w:tcBorders>
          </w:tcPr>
          <w:p>
            <w:pPr>
              <w:jc w:val="right"/>
              <w:ind w:right="66"/>
              <w:spacing w:after="0"/>
              <w:rPr>
                <w:sz w:val="20"/>
                <w:szCs w:val="20"/>
                <w:color w:val="auto"/>
              </w:rPr>
            </w:pPr>
            <w:r>
              <w:rPr>
                <w:rFonts w:ascii="Arial" w:cs="Arial" w:eastAsia="Arial" w:hAnsi="Arial"/>
                <w:sz w:val="11"/>
                <w:szCs w:val="11"/>
                <w:b w:val="1"/>
                <w:bCs w:val="1"/>
                <w:color w:val="auto"/>
              </w:rPr>
              <w:t>Attainment</w:t>
            </w:r>
          </w:p>
        </w:tc>
        <w:tc>
          <w:tcPr>
            <w:tcW w:w="720" w:type="dxa"/>
            <w:vAlign w:val="bottom"/>
            <w:tcBorders>
              <w:bottom w:val="single" w:sz="8" w:color="D7282F"/>
            </w:tcBorders>
          </w:tcPr>
          <w:p>
            <w:pPr>
              <w:jc w:val="right"/>
              <w:ind w:right="186"/>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w:t>
            </w:r>
          </w:p>
        </w:tc>
        <w:tc>
          <w:tcPr>
            <w:tcW w:w="280" w:type="dxa"/>
            <w:vAlign w:val="bottom"/>
            <w:tcBorders>
              <w:bottom w:val="single" w:sz="8" w:color="D7282F"/>
            </w:tcBorders>
          </w:tcPr>
          <w:p>
            <w:pPr>
              <w:spacing w:after="0"/>
              <w:rPr>
                <w:sz w:val="14"/>
                <w:szCs w:val="14"/>
                <w:color w:val="auto"/>
              </w:rPr>
            </w:pPr>
          </w:p>
        </w:tc>
        <w:tc>
          <w:tcPr>
            <w:tcW w:w="960" w:type="dxa"/>
            <w:vAlign w:val="bottom"/>
            <w:tcBorders>
              <w:bottom w:val="single" w:sz="8" w:color="D7282F"/>
            </w:tcBorders>
          </w:tcPr>
          <w:p>
            <w:pPr>
              <w:jc w:val="right"/>
              <w:ind w:right="166"/>
              <w:spacing w:after="0"/>
              <w:rPr>
                <w:sz w:val="20"/>
                <w:szCs w:val="20"/>
                <w:color w:val="auto"/>
              </w:rPr>
            </w:pPr>
            <w:r>
              <w:rPr>
                <w:rFonts w:ascii="Arial" w:cs="Arial" w:eastAsia="Arial" w:hAnsi="Arial"/>
                <w:sz w:val="11"/>
                <w:szCs w:val="11"/>
                <w:b w:val="1"/>
                <w:bCs w:val="1"/>
                <w:color w:val="auto"/>
              </w:rPr>
              <w:t>Percentage</w:t>
            </w:r>
          </w:p>
        </w:tc>
        <w:tc>
          <w:tcPr>
            <w:tcW w:w="1000" w:type="dxa"/>
            <w:vAlign w:val="bottom"/>
            <w:tcBorders>
              <w:bottom w:val="single" w:sz="8" w:color="D7282F"/>
            </w:tcBorders>
          </w:tcPr>
          <w:p>
            <w:pPr>
              <w:spacing w:after="0"/>
              <w:rPr>
                <w:sz w:val="14"/>
                <w:szCs w:val="14"/>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(Rounded)</w:t>
            </w:r>
          </w:p>
        </w:tc>
        <w:tc>
          <w:tcPr>
            <w:tcW w:w="0" w:type="dxa"/>
            <w:vAlign w:val="bottom"/>
          </w:tcPr>
          <w:p>
            <w:pPr>
              <w:spacing w:after="0"/>
              <w:rPr>
                <w:sz w:val="1"/>
                <w:szCs w:val="1"/>
                <w:color w:val="auto"/>
              </w:rPr>
            </w:pPr>
          </w:p>
        </w:tc>
      </w:tr>
      <w:tr>
        <w:trPr>
          <w:trHeight w:val="161"/>
        </w:trPr>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Mr. Kapur</w:t>
            </w:r>
          </w:p>
        </w:tc>
        <w:tc>
          <w:tcPr>
            <w:tcW w:w="1160" w:type="dxa"/>
            <w:vAlign w:val="bottom"/>
          </w:tcPr>
          <w:p>
            <w:pPr>
              <w:jc w:val="right"/>
              <w:ind w:right="266"/>
              <w:spacing w:after="0"/>
              <w:rPr>
                <w:sz w:val="20"/>
                <w:szCs w:val="20"/>
                <w:color w:val="auto"/>
              </w:rPr>
            </w:pPr>
            <w:r>
              <w:rPr>
                <w:rFonts w:ascii="Arial" w:cs="Arial" w:eastAsia="Arial" w:hAnsi="Arial"/>
                <w:sz w:val="11"/>
                <w:szCs w:val="11"/>
                <w:color w:val="auto"/>
              </w:rPr>
              <w:t>117 %</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80 %</w:t>
            </w:r>
          </w:p>
        </w:tc>
        <w:tc>
          <w:tcPr>
            <w:tcW w:w="520" w:type="dxa"/>
            <w:vAlign w:val="bottom"/>
          </w:tcPr>
          <w:p>
            <w:pPr>
              <w:jc w:val="right"/>
              <w:spacing w:after="0"/>
              <w:rPr>
                <w:sz w:val="20"/>
                <w:szCs w:val="20"/>
                <w:color w:val="auto"/>
              </w:rPr>
            </w:pPr>
            <w:r>
              <w:rPr>
                <w:rFonts w:ascii="Arial" w:cs="Arial" w:eastAsia="Arial" w:hAnsi="Arial"/>
                <w:sz w:val="11"/>
                <w:szCs w:val="11"/>
                <w:color w:val="auto"/>
              </w:rPr>
              <w:t>93.6 %</w:t>
            </w:r>
          </w:p>
        </w:tc>
        <w:tc>
          <w:tcPr>
            <w:tcW w:w="180" w:type="dxa"/>
            <w:vAlign w:val="bottom"/>
          </w:tcPr>
          <w:p>
            <w:pPr>
              <w:spacing w:after="0"/>
              <w:rPr>
                <w:sz w:val="14"/>
                <w:szCs w:val="14"/>
                <w:color w:val="auto"/>
              </w:rPr>
            </w:pP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100 %</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20 %</w:t>
            </w:r>
          </w:p>
        </w:tc>
        <w:tc>
          <w:tcPr>
            <w:tcW w:w="520" w:type="dxa"/>
            <w:vAlign w:val="bottom"/>
          </w:tcPr>
          <w:p>
            <w:pPr>
              <w:jc w:val="right"/>
              <w:spacing w:after="0"/>
              <w:rPr>
                <w:sz w:val="20"/>
                <w:szCs w:val="20"/>
                <w:color w:val="auto"/>
              </w:rPr>
            </w:pPr>
            <w:r>
              <w:rPr>
                <w:rFonts w:ascii="Arial" w:cs="Arial" w:eastAsia="Arial" w:hAnsi="Arial"/>
                <w:sz w:val="11"/>
                <w:szCs w:val="11"/>
                <w:color w:val="auto"/>
              </w:rPr>
              <w:t>20 %</w:t>
            </w:r>
          </w:p>
        </w:tc>
        <w:tc>
          <w:tcPr>
            <w:tcW w:w="200" w:type="dxa"/>
            <w:vAlign w:val="bottom"/>
          </w:tcPr>
          <w:p>
            <w:pPr>
              <w:spacing w:after="0"/>
              <w:rPr>
                <w:sz w:val="14"/>
                <w:szCs w:val="14"/>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150 %</w:t>
            </w: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7.5 %</w:t>
            </w:r>
          </w:p>
        </w:tc>
        <w:tc>
          <w:tcPr>
            <w:tcW w:w="280" w:type="dxa"/>
            <w:vAlign w:val="bottom"/>
          </w:tcPr>
          <w:p>
            <w:pPr>
              <w:spacing w:after="0"/>
              <w:rPr>
                <w:sz w:val="14"/>
                <w:szCs w:val="14"/>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color w:val="auto"/>
              </w:rPr>
              <w:t>121 %</w:t>
            </w:r>
          </w:p>
        </w:tc>
        <w:tc>
          <w:tcPr>
            <w:tcW w:w="1000" w:type="dxa"/>
            <w:vAlign w:val="bottom"/>
          </w:tcPr>
          <w:p>
            <w:pPr>
              <w:jc w:val="right"/>
              <w:ind w:right="186"/>
              <w:spacing w:after="0"/>
              <w:rPr>
                <w:sz w:val="20"/>
                <w:szCs w:val="20"/>
                <w:color w:val="auto"/>
              </w:rPr>
            </w:pPr>
            <w:r>
              <w:rPr>
                <w:rFonts w:ascii="Arial" w:cs="Arial" w:eastAsia="Arial" w:hAnsi="Arial"/>
                <w:sz w:val="11"/>
                <w:szCs w:val="11"/>
                <w:color w:val="auto"/>
              </w:rPr>
              <w:t>$   1,995,332</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   2,416,500</w:t>
            </w:r>
          </w:p>
        </w:tc>
        <w:tc>
          <w:tcPr>
            <w:tcW w:w="0" w:type="dxa"/>
            <w:vAlign w:val="bottom"/>
          </w:tcPr>
          <w:p>
            <w:pPr>
              <w:spacing w:after="0"/>
              <w:rPr>
                <w:sz w:val="1"/>
                <w:szCs w:val="1"/>
                <w:color w:val="auto"/>
              </w:rPr>
            </w:pPr>
          </w:p>
        </w:tc>
      </w:tr>
      <w:tr>
        <w:trPr>
          <w:trHeight w:val="28"/>
        </w:trPr>
        <w:tc>
          <w:tcPr>
            <w:tcW w:w="8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Mr. Lewis</w:t>
            </w:r>
          </w:p>
        </w:tc>
        <w:tc>
          <w:tcPr>
            <w:tcW w:w="1160" w:type="dxa"/>
            <w:vAlign w:val="bottom"/>
          </w:tcPr>
          <w:p>
            <w:pPr>
              <w:jc w:val="right"/>
              <w:ind w:right="266"/>
              <w:spacing w:after="0"/>
              <w:rPr>
                <w:sz w:val="20"/>
                <w:szCs w:val="20"/>
                <w:color w:val="auto"/>
              </w:rPr>
            </w:pPr>
            <w:r>
              <w:rPr>
                <w:rFonts w:ascii="Arial" w:cs="Arial" w:eastAsia="Arial" w:hAnsi="Arial"/>
                <w:sz w:val="11"/>
                <w:szCs w:val="11"/>
                <w:color w:val="auto"/>
              </w:rPr>
              <w:t>117 %</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80 %</w:t>
            </w:r>
          </w:p>
        </w:tc>
        <w:tc>
          <w:tcPr>
            <w:tcW w:w="520" w:type="dxa"/>
            <w:vAlign w:val="bottom"/>
          </w:tcPr>
          <w:p>
            <w:pPr>
              <w:jc w:val="right"/>
              <w:spacing w:after="0"/>
              <w:rPr>
                <w:sz w:val="20"/>
                <w:szCs w:val="20"/>
                <w:color w:val="auto"/>
              </w:rPr>
            </w:pPr>
            <w:r>
              <w:rPr>
                <w:rFonts w:ascii="Arial" w:cs="Arial" w:eastAsia="Arial" w:hAnsi="Arial"/>
                <w:sz w:val="11"/>
                <w:szCs w:val="11"/>
                <w:color w:val="auto"/>
              </w:rPr>
              <w:t>93.6 %</w:t>
            </w:r>
          </w:p>
        </w:tc>
        <w:tc>
          <w:tcPr>
            <w:tcW w:w="180" w:type="dxa"/>
            <w:vAlign w:val="bottom"/>
          </w:tcPr>
          <w:p>
            <w:pPr>
              <w:spacing w:after="0"/>
              <w:rPr>
                <w:sz w:val="13"/>
                <w:szCs w:val="13"/>
                <w:color w:val="auto"/>
              </w:rPr>
            </w:pP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100 %</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20 %</w:t>
            </w:r>
          </w:p>
        </w:tc>
        <w:tc>
          <w:tcPr>
            <w:tcW w:w="520" w:type="dxa"/>
            <w:vAlign w:val="bottom"/>
          </w:tcPr>
          <w:p>
            <w:pPr>
              <w:jc w:val="right"/>
              <w:spacing w:after="0"/>
              <w:rPr>
                <w:sz w:val="20"/>
                <w:szCs w:val="20"/>
                <w:color w:val="auto"/>
              </w:rPr>
            </w:pPr>
            <w:r>
              <w:rPr>
                <w:rFonts w:ascii="Arial" w:cs="Arial" w:eastAsia="Arial" w:hAnsi="Arial"/>
                <w:sz w:val="11"/>
                <w:szCs w:val="11"/>
                <w:color w:val="auto"/>
              </w:rPr>
              <w:t>20 %</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150 %</w:t>
            </w: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7.5 %</w:t>
            </w:r>
          </w:p>
        </w:tc>
        <w:tc>
          <w:tcPr>
            <w:tcW w:w="280" w:type="dxa"/>
            <w:vAlign w:val="bottom"/>
          </w:tcPr>
          <w:p>
            <w:pPr>
              <w:spacing w:after="0"/>
              <w:rPr>
                <w:sz w:val="13"/>
                <w:szCs w:val="13"/>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color w:val="auto"/>
              </w:rPr>
              <w:t>121 %</w:t>
            </w:r>
          </w:p>
        </w:tc>
        <w:tc>
          <w:tcPr>
            <w:tcW w:w="1000" w:type="dxa"/>
            <w:vAlign w:val="bottom"/>
          </w:tcPr>
          <w:p>
            <w:pPr>
              <w:jc w:val="right"/>
              <w:ind w:right="186"/>
              <w:spacing w:after="0"/>
              <w:rPr>
                <w:sz w:val="20"/>
                <w:szCs w:val="20"/>
                <w:color w:val="auto"/>
              </w:rPr>
            </w:pPr>
            <w:r>
              <w:rPr>
                <w:rFonts w:ascii="Arial" w:cs="Arial" w:eastAsia="Arial" w:hAnsi="Arial"/>
                <w:sz w:val="11"/>
                <w:szCs w:val="11"/>
                <w:color w:val="auto"/>
              </w:rPr>
              <w:t>960,299</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1,162,900</w:t>
            </w:r>
          </w:p>
        </w:tc>
        <w:tc>
          <w:tcPr>
            <w:tcW w:w="0" w:type="dxa"/>
            <w:vAlign w:val="bottom"/>
          </w:tcPr>
          <w:p>
            <w:pPr>
              <w:spacing w:after="0"/>
              <w:rPr>
                <w:sz w:val="1"/>
                <w:szCs w:val="1"/>
                <w:color w:val="auto"/>
              </w:rPr>
            </w:pPr>
          </w:p>
        </w:tc>
      </w:tr>
      <w:tr>
        <w:trPr>
          <w:trHeight w:val="28"/>
        </w:trPr>
        <w:tc>
          <w:tcPr>
            <w:tcW w:w="8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Ms. Madden</w:t>
            </w:r>
          </w:p>
        </w:tc>
        <w:tc>
          <w:tcPr>
            <w:tcW w:w="1160" w:type="dxa"/>
            <w:vAlign w:val="bottom"/>
          </w:tcPr>
          <w:p>
            <w:pPr>
              <w:jc w:val="right"/>
              <w:ind w:right="266"/>
              <w:spacing w:after="0"/>
              <w:rPr>
                <w:sz w:val="20"/>
                <w:szCs w:val="20"/>
                <w:color w:val="auto"/>
              </w:rPr>
            </w:pPr>
            <w:r>
              <w:rPr>
                <w:rFonts w:ascii="Arial" w:cs="Arial" w:eastAsia="Arial" w:hAnsi="Arial"/>
                <w:sz w:val="11"/>
                <w:szCs w:val="11"/>
                <w:color w:val="auto"/>
              </w:rPr>
              <w:t>117 %</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80 %</w:t>
            </w:r>
          </w:p>
        </w:tc>
        <w:tc>
          <w:tcPr>
            <w:tcW w:w="520" w:type="dxa"/>
            <w:vAlign w:val="bottom"/>
          </w:tcPr>
          <w:p>
            <w:pPr>
              <w:jc w:val="right"/>
              <w:spacing w:after="0"/>
              <w:rPr>
                <w:sz w:val="20"/>
                <w:szCs w:val="20"/>
                <w:color w:val="auto"/>
              </w:rPr>
            </w:pPr>
            <w:r>
              <w:rPr>
                <w:rFonts w:ascii="Arial" w:cs="Arial" w:eastAsia="Arial" w:hAnsi="Arial"/>
                <w:sz w:val="11"/>
                <w:szCs w:val="11"/>
                <w:color w:val="auto"/>
              </w:rPr>
              <w:t>93.6 %</w:t>
            </w:r>
          </w:p>
        </w:tc>
        <w:tc>
          <w:tcPr>
            <w:tcW w:w="180" w:type="dxa"/>
            <w:vAlign w:val="bottom"/>
          </w:tcPr>
          <w:p>
            <w:pPr>
              <w:spacing w:after="0"/>
              <w:rPr>
                <w:sz w:val="13"/>
                <w:szCs w:val="13"/>
                <w:color w:val="auto"/>
              </w:rPr>
            </w:pP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75 %</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20 %</w:t>
            </w:r>
          </w:p>
        </w:tc>
        <w:tc>
          <w:tcPr>
            <w:tcW w:w="520" w:type="dxa"/>
            <w:vAlign w:val="bottom"/>
          </w:tcPr>
          <w:p>
            <w:pPr>
              <w:jc w:val="right"/>
              <w:spacing w:after="0"/>
              <w:rPr>
                <w:sz w:val="20"/>
                <w:szCs w:val="20"/>
                <w:color w:val="auto"/>
              </w:rPr>
            </w:pPr>
            <w:r>
              <w:rPr>
                <w:rFonts w:ascii="Arial" w:cs="Arial" w:eastAsia="Arial" w:hAnsi="Arial"/>
                <w:sz w:val="11"/>
                <w:szCs w:val="11"/>
                <w:color w:val="auto"/>
              </w:rPr>
              <w:t>15 %</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150 %</w:t>
            </w: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7.5 %</w:t>
            </w:r>
          </w:p>
        </w:tc>
        <w:tc>
          <w:tcPr>
            <w:tcW w:w="280" w:type="dxa"/>
            <w:vAlign w:val="bottom"/>
          </w:tcPr>
          <w:p>
            <w:pPr>
              <w:spacing w:after="0"/>
              <w:rPr>
                <w:sz w:val="13"/>
                <w:szCs w:val="13"/>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color w:val="auto"/>
              </w:rPr>
              <w:t>116 %</w:t>
            </w:r>
          </w:p>
        </w:tc>
        <w:tc>
          <w:tcPr>
            <w:tcW w:w="1000" w:type="dxa"/>
            <w:vAlign w:val="bottom"/>
          </w:tcPr>
          <w:p>
            <w:pPr>
              <w:jc w:val="right"/>
              <w:ind w:right="186"/>
              <w:spacing w:after="0"/>
              <w:rPr>
                <w:sz w:val="20"/>
                <w:szCs w:val="20"/>
                <w:color w:val="auto"/>
              </w:rPr>
            </w:pPr>
            <w:r>
              <w:rPr>
                <w:rFonts w:ascii="Arial" w:cs="Arial" w:eastAsia="Arial" w:hAnsi="Arial"/>
                <w:sz w:val="11"/>
                <w:szCs w:val="11"/>
                <w:color w:val="auto"/>
              </w:rPr>
              <w:t>927,197</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1,076,500</w:t>
            </w:r>
          </w:p>
        </w:tc>
        <w:tc>
          <w:tcPr>
            <w:tcW w:w="0" w:type="dxa"/>
            <w:vAlign w:val="bottom"/>
          </w:tcPr>
          <w:p>
            <w:pPr>
              <w:spacing w:after="0"/>
              <w:rPr>
                <w:sz w:val="1"/>
                <w:szCs w:val="1"/>
                <w:color w:val="auto"/>
              </w:rPr>
            </w:pPr>
          </w:p>
        </w:tc>
      </w:tr>
      <w:tr>
        <w:trPr>
          <w:trHeight w:val="28"/>
        </w:trPr>
        <w:tc>
          <w:tcPr>
            <w:tcW w:w="8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Mr. Boldea</w:t>
            </w:r>
          </w:p>
        </w:tc>
        <w:tc>
          <w:tcPr>
            <w:tcW w:w="1160" w:type="dxa"/>
            <w:vAlign w:val="bottom"/>
          </w:tcPr>
          <w:p>
            <w:pPr>
              <w:jc w:val="right"/>
              <w:ind w:right="266"/>
              <w:spacing w:after="0"/>
              <w:rPr>
                <w:sz w:val="20"/>
                <w:szCs w:val="20"/>
                <w:color w:val="auto"/>
              </w:rPr>
            </w:pPr>
            <w:r>
              <w:rPr>
                <w:rFonts w:ascii="Arial" w:cs="Arial" w:eastAsia="Arial" w:hAnsi="Arial"/>
                <w:sz w:val="11"/>
                <w:szCs w:val="11"/>
                <w:color w:val="auto"/>
              </w:rPr>
              <w:t>118 %</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80 %</w:t>
            </w:r>
          </w:p>
        </w:tc>
        <w:tc>
          <w:tcPr>
            <w:tcW w:w="520" w:type="dxa"/>
            <w:vAlign w:val="bottom"/>
          </w:tcPr>
          <w:p>
            <w:pPr>
              <w:jc w:val="right"/>
              <w:spacing w:after="0"/>
              <w:rPr>
                <w:sz w:val="20"/>
                <w:szCs w:val="20"/>
                <w:color w:val="auto"/>
              </w:rPr>
            </w:pPr>
            <w:r>
              <w:rPr>
                <w:rFonts w:ascii="Arial" w:cs="Arial" w:eastAsia="Arial" w:hAnsi="Arial"/>
                <w:sz w:val="11"/>
                <w:szCs w:val="11"/>
                <w:color w:val="auto"/>
              </w:rPr>
              <w:t>94.4 %</w:t>
            </w:r>
          </w:p>
        </w:tc>
        <w:tc>
          <w:tcPr>
            <w:tcW w:w="180" w:type="dxa"/>
            <w:vAlign w:val="bottom"/>
          </w:tcPr>
          <w:p>
            <w:pPr>
              <w:spacing w:after="0"/>
              <w:rPr>
                <w:sz w:val="13"/>
                <w:szCs w:val="13"/>
                <w:color w:val="auto"/>
              </w:rPr>
            </w:pP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100 %</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20 %</w:t>
            </w:r>
          </w:p>
        </w:tc>
        <w:tc>
          <w:tcPr>
            <w:tcW w:w="520" w:type="dxa"/>
            <w:vAlign w:val="bottom"/>
          </w:tcPr>
          <w:p>
            <w:pPr>
              <w:jc w:val="right"/>
              <w:spacing w:after="0"/>
              <w:rPr>
                <w:sz w:val="20"/>
                <w:szCs w:val="20"/>
                <w:color w:val="auto"/>
              </w:rPr>
            </w:pPr>
            <w:r>
              <w:rPr>
                <w:rFonts w:ascii="Arial" w:cs="Arial" w:eastAsia="Arial" w:hAnsi="Arial"/>
                <w:sz w:val="11"/>
                <w:szCs w:val="11"/>
                <w:color w:val="auto"/>
              </w:rPr>
              <w:t>20 %</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150 %</w:t>
            </w: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7.5 %</w:t>
            </w:r>
          </w:p>
        </w:tc>
        <w:tc>
          <w:tcPr>
            <w:tcW w:w="280" w:type="dxa"/>
            <w:vAlign w:val="bottom"/>
          </w:tcPr>
          <w:p>
            <w:pPr>
              <w:spacing w:after="0"/>
              <w:rPr>
                <w:sz w:val="13"/>
                <w:szCs w:val="13"/>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color w:val="auto"/>
              </w:rPr>
              <w:t>122 %</w:t>
            </w:r>
          </w:p>
        </w:tc>
        <w:tc>
          <w:tcPr>
            <w:tcW w:w="1000" w:type="dxa"/>
            <w:vAlign w:val="bottom"/>
          </w:tcPr>
          <w:p>
            <w:pPr>
              <w:jc w:val="right"/>
              <w:ind w:right="186"/>
              <w:spacing w:after="0"/>
              <w:rPr>
                <w:sz w:val="20"/>
                <w:szCs w:val="20"/>
                <w:color w:val="auto"/>
              </w:rPr>
            </w:pPr>
            <w:r>
              <w:rPr>
                <w:rFonts w:ascii="Arial" w:cs="Arial" w:eastAsia="Arial" w:hAnsi="Arial"/>
                <w:sz w:val="11"/>
                <w:szCs w:val="11"/>
                <w:color w:val="auto"/>
              </w:rPr>
              <w:t>800,000</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975,200</w:t>
            </w:r>
          </w:p>
        </w:tc>
        <w:tc>
          <w:tcPr>
            <w:tcW w:w="0" w:type="dxa"/>
            <w:vAlign w:val="bottom"/>
          </w:tcPr>
          <w:p>
            <w:pPr>
              <w:spacing w:after="0"/>
              <w:rPr>
                <w:sz w:val="1"/>
                <w:szCs w:val="1"/>
                <w:color w:val="auto"/>
              </w:rPr>
            </w:pPr>
          </w:p>
        </w:tc>
      </w:tr>
      <w:tr>
        <w:trPr>
          <w:trHeight w:val="28"/>
        </w:trPr>
        <w:tc>
          <w:tcPr>
            <w:tcW w:w="8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Mr. Currier</w:t>
            </w:r>
          </w:p>
        </w:tc>
        <w:tc>
          <w:tcPr>
            <w:tcW w:w="1160" w:type="dxa"/>
            <w:vAlign w:val="bottom"/>
          </w:tcPr>
          <w:p>
            <w:pPr>
              <w:jc w:val="right"/>
              <w:ind w:right="266"/>
              <w:spacing w:after="0"/>
              <w:rPr>
                <w:sz w:val="20"/>
                <w:szCs w:val="20"/>
                <w:color w:val="auto"/>
              </w:rPr>
            </w:pPr>
            <w:r>
              <w:rPr>
                <w:rFonts w:ascii="Arial" w:cs="Arial" w:eastAsia="Arial" w:hAnsi="Arial"/>
                <w:sz w:val="11"/>
                <w:szCs w:val="11"/>
                <w:color w:val="auto"/>
              </w:rPr>
              <w:t>112 %</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80 %</w:t>
            </w:r>
          </w:p>
        </w:tc>
        <w:tc>
          <w:tcPr>
            <w:tcW w:w="520" w:type="dxa"/>
            <w:vAlign w:val="bottom"/>
          </w:tcPr>
          <w:p>
            <w:pPr>
              <w:jc w:val="right"/>
              <w:spacing w:after="0"/>
              <w:rPr>
                <w:sz w:val="20"/>
                <w:szCs w:val="20"/>
                <w:color w:val="auto"/>
              </w:rPr>
            </w:pPr>
            <w:r>
              <w:rPr>
                <w:rFonts w:ascii="Arial" w:cs="Arial" w:eastAsia="Arial" w:hAnsi="Arial"/>
                <w:sz w:val="11"/>
                <w:szCs w:val="11"/>
                <w:color w:val="auto"/>
              </w:rPr>
              <w:t>89.6 %</w:t>
            </w:r>
          </w:p>
        </w:tc>
        <w:tc>
          <w:tcPr>
            <w:tcW w:w="180" w:type="dxa"/>
            <w:vAlign w:val="bottom"/>
          </w:tcPr>
          <w:p>
            <w:pPr>
              <w:spacing w:after="0"/>
              <w:rPr>
                <w:sz w:val="13"/>
                <w:szCs w:val="13"/>
                <w:color w:val="auto"/>
              </w:rPr>
            </w:pP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150 %</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20 %</w:t>
            </w:r>
          </w:p>
        </w:tc>
        <w:tc>
          <w:tcPr>
            <w:tcW w:w="520" w:type="dxa"/>
            <w:vAlign w:val="bottom"/>
          </w:tcPr>
          <w:p>
            <w:pPr>
              <w:jc w:val="right"/>
              <w:spacing w:after="0"/>
              <w:rPr>
                <w:sz w:val="20"/>
                <w:szCs w:val="20"/>
                <w:color w:val="auto"/>
              </w:rPr>
            </w:pPr>
            <w:r>
              <w:rPr>
                <w:rFonts w:ascii="Arial" w:cs="Arial" w:eastAsia="Arial" w:hAnsi="Arial"/>
                <w:sz w:val="11"/>
                <w:szCs w:val="11"/>
                <w:color w:val="auto"/>
              </w:rPr>
              <w:t>30 %</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150 %</w:t>
            </w: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7.5 %</w:t>
            </w:r>
          </w:p>
        </w:tc>
        <w:tc>
          <w:tcPr>
            <w:tcW w:w="280" w:type="dxa"/>
            <w:vAlign w:val="bottom"/>
          </w:tcPr>
          <w:p>
            <w:pPr>
              <w:spacing w:after="0"/>
              <w:rPr>
                <w:sz w:val="13"/>
                <w:szCs w:val="13"/>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color w:val="auto"/>
              </w:rPr>
              <w:t>127 %</w:t>
            </w:r>
          </w:p>
        </w:tc>
        <w:tc>
          <w:tcPr>
            <w:tcW w:w="1000" w:type="dxa"/>
            <w:vAlign w:val="bottom"/>
          </w:tcPr>
          <w:p>
            <w:pPr>
              <w:jc w:val="right"/>
              <w:ind w:right="186"/>
              <w:spacing w:after="0"/>
              <w:rPr>
                <w:sz w:val="20"/>
                <w:szCs w:val="20"/>
                <w:color w:val="auto"/>
              </w:rPr>
            </w:pPr>
            <w:r>
              <w:rPr>
                <w:rFonts w:ascii="Arial" w:cs="Arial" w:eastAsia="Arial" w:hAnsi="Arial"/>
                <w:sz w:val="11"/>
                <w:szCs w:val="11"/>
                <w:color w:val="auto"/>
              </w:rPr>
              <w:t>551,385</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700,800</w:t>
            </w:r>
          </w:p>
        </w:tc>
        <w:tc>
          <w:tcPr>
            <w:tcW w:w="0" w:type="dxa"/>
            <w:vAlign w:val="bottom"/>
          </w:tcPr>
          <w:p>
            <w:pPr>
              <w:spacing w:after="0"/>
              <w:rPr>
                <w:sz w:val="1"/>
                <w:szCs w:val="1"/>
                <w:color w:val="auto"/>
              </w:rPr>
            </w:pPr>
          </w:p>
        </w:tc>
      </w:tr>
      <w:tr>
        <w:trPr>
          <w:trHeight w:val="28"/>
        </w:trPr>
        <w:tc>
          <w:tcPr>
            <w:tcW w:w="8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66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8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5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40" w:type="dxa"/>
            <w:vAlign w:val="bottom"/>
          </w:tcPr>
          <w:p>
            <w:pPr>
              <w:ind w:left="20"/>
              <w:spacing w:after="0"/>
              <w:rPr>
                <w:sz w:val="20"/>
                <w:szCs w:val="20"/>
                <w:color w:val="auto"/>
              </w:rPr>
            </w:pPr>
            <w:r>
              <w:rPr>
                <w:rFonts w:ascii="Arial" w:cs="Arial" w:eastAsia="Arial" w:hAnsi="Arial"/>
                <w:sz w:val="11"/>
                <w:szCs w:val="11"/>
                <w:b w:val="1"/>
                <w:bCs w:val="1"/>
                <w:color w:val="auto"/>
              </w:rPr>
              <w:t>Mr. Adamczyk</w:t>
            </w:r>
          </w:p>
        </w:tc>
        <w:tc>
          <w:tcPr>
            <w:tcW w:w="1160" w:type="dxa"/>
            <w:vAlign w:val="bottom"/>
          </w:tcPr>
          <w:p>
            <w:pPr>
              <w:jc w:val="right"/>
              <w:ind w:right="266"/>
              <w:spacing w:after="0"/>
              <w:rPr>
                <w:sz w:val="20"/>
                <w:szCs w:val="20"/>
                <w:color w:val="auto"/>
              </w:rPr>
            </w:pPr>
            <w:r>
              <w:rPr>
                <w:rFonts w:ascii="Arial" w:cs="Arial" w:eastAsia="Arial" w:hAnsi="Arial"/>
                <w:sz w:val="11"/>
                <w:szCs w:val="11"/>
                <w:color w:val="auto"/>
              </w:rPr>
              <w:t>117 %</w:t>
            </w:r>
          </w:p>
        </w:tc>
        <w:tc>
          <w:tcPr>
            <w:tcW w:w="660" w:type="dxa"/>
            <w:vAlign w:val="bottom"/>
          </w:tcPr>
          <w:p>
            <w:pPr>
              <w:jc w:val="right"/>
              <w:ind w:right="126"/>
              <w:spacing w:after="0"/>
              <w:rPr>
                <w:sz w:val="20"/>
                <w:szCs w:val="20"/>
                <w:color w:val="auto"/>
              </w:rPr>
            </w:pPr>
            <w:r>
              <w:rPr>
                <w:rFonts w:ascii="Arial" w:cs="Arial" w:eastAsia="Arial" w:hAnsi="Arial"/>
                <w:sz w:val="11"/>
                <w:szCs w:val="11"/>
                <w:color w:val="auto"/>
              </w:rPr>
              <w:t>80 %</w:t>
            </w:r>
          </w:p>
        </w:tc>
        <w:tc>
          <w:tcPr>
            <w:tcW w:w="520" w:type="dxa"/>
            <w:vAlign w:val="bottom"/>
          </w:tcPr>
          <w:p>
            <w:pPr>
              <w:jc w:val="right"/>
              <w:spacing w:after="0"/>
              <w:rPr>
                <w:sz w:val="20"/>
                <w:szCs w:val="20"/>
                <w:color w:val="auto"/>
              </w:rPr>
            </w:pPr>
            <w:r>
              <w:rPr>
                <w:rFonts w:ascii="Arial" w:cs="Arial" w:eastAsia="Arial" w:hAnsi="Arial"/>
                <w:sz w:val="11"/>
                <w:szCs w:val="11"/>
                <w:color w:val="auto"/>
              </w:rPr>
              <w:t>93.6 %</w:t>
            </w:r>
          </w:p>
        </w:tc>
        <w:tc>
          <w:tcPr>
            <w:tcW w:w="180" w:type="dxa"/>
            <w:vAlign w:val="bottom"/>
          </w:tcPr>
          <w:p>
            <w:pPr>
              <w:spacing w:after="0"/>
              <w:rPr>
                <w:sz w:val="13"/>
                <w:szCs w:val="13"/>
                <w:color w:val="auto"/>
              </w:rPr>
            </w:pPr>
          </w:p>
        </w:tc>
        <w:tc>
          <w:tcPr>
            <w:tcW w:w="1180" w:type="dxa"/>
            <w:vAlign w:val="bottom"/>
          </w:tcPr>
          <w:p>
            <w:pPr>
              <w:jc w:val="right"/>
              <w:ind w:right="286"/>
              <w:spacing w:after="0"/>
              <w:rPr>
                <w:sz w:val="20"/>
                <w:szCs w:val="20"/>
                <w:color w:val="auto"/>
              </w:rPr>
            </w:pPr>
            <w:r>
              <w:rPr>
                <w:rFonts w:ascii="Arial" w:cs="Arial" w:eastAsia="Arial" w:hAnsi="Arial"/>
                <w:sz w:val="11"/>
                <w:szCs w:val="11"/>
                <w:color w:val="auto"/>
              </w:rPr>
              <w:t>100 %</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20 %</w:t>
            </w:r>
          </w:p>
        </w:tc>
        <w:tc>
          <w:tcPr>
            <w:tcW w:w="520" w:type="dxa"/>
            <w:vAlign w:val="bottom"/>
          </w:tcPr>
          <w:p>
            <w:pPr>
              <w:jc w:val="right"/>
              <w:spacing w:after="0"/>
              <w:rPr>
                <w:sz w:val="20"/>
                <w:szCs w:val="20"/>
                <w:color w:val="auto"/>
              </w:rPr>
            </w:pPr>
            <w:r>
              <w:rPr>
                <w:rFonts w:ascii="Arial" w:cs="Arial" w:eastAsia="Arial" w:hAnsi="Arial"/>
                <w:sz w:val="11"/>
                <w:szCs w:val="11"/>
                <w:color w:val="auto"/>
              </w:rPr>
              <w:t>20 %</w:t>
            </w:r>
          </w:p>
        </w:tc>
        <w:tc>
          <w:tcPr>
            <w:tcW w:w="2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150 %</w:t>
            </w:r>
          </w:p>
        </w:tc>
        <w:tc>
          <w:tcPr>
            <w:tcW w:w="7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580" w:type="dxa"/>
            <w:vAlign w:val="bottom"/>
          </w:tcPr>
          <w:p>
            <w:pPr>
              <w:jc w:val="right"/>
              <w:spacing w:after="0"/>
              <w:rPr>
                <w:sz w:val="20"/>
                <w:szCs w:val="20"/>
                <w:color w:val="auto"/>
              </w:rPr>
            </w:pPr>
            <w:r>
              <w:rPr>
                <w:rFonts w:ascii="Arial" w:cs="Arial" w:eastAsia="Arial" w:hAnsi="Arial"/>
                <w:sz w:val="11"/>
                <w:szCs w:val="11"/>
                <w:color w:val="auto"/>
              </w:rPr>
              <w:t>7.5 %</w:t>
            </w:r>
          </w:p>
        </w:tc>
        <w:tc>
          <w:tcPr>
            <w:tcW w:w="280" w:type="dxa"/>
            <w:vAlign w:val="bottom"/>
          </w:tcPr>
          <w:p>
            <w:pPr>
              <w:spacing w:after="0"/>
              <w:rPr>
                <w:sz w:val="13"/>
                <w:szCs w:val="13"/>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color w:val="auto"/>
              </w:rPr>
              <w:t>121 %</w:t>
            </w:r>
          </w:p>
        </w:tc>
        <w:tc>
          <w:tcPr>
            <w:tcW w:w="1000" w:type="dxa"/>
            <w:vAlign w:val="bottom"/>
          </w:tcPr>
          <w:p>
            <w:pPr>
              <w:jc w:val="right"/>
              <w:ind w:right="186"/>
              <w:spacing w:after="0"/>
              <w:rPr>
                <w:sz w:val="20"/>
                <w:szCs w:val="20"/>
                <w:color w:val="auto"/>
              </w:rPr>
            </w:pPr>
            <w:r>
              <w:rPr>
                <w:rFonts w:ascii="Arial" w:cs="Arial" w:eastAsia="Arial" w:hAnsi="Arial"/>
                <w:sz w:val="11"/>
                <w:szCs w:val="11"/>
                <w:color w:val="auto"/>
              </w:rPr>
              <w:t>2,340,176</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2,834,000</w:t>
            </w:r>
          </w:p>
        </w:tc>
        <w:tc>
          <w:tcPr>
            <w:tcW w:w="0" w:type="dxa"/>
            <w:vAlign w:val="bottom"/>
          </w:tcPr>
          <w:p>
            <w:pPr>
              <w:spacing w:after="0"/>
              <w:rPr>
                <w:sz w:val="1"/>
                <w:szCs w:val="1"/>
                <w:color w:val="auto"/>
              </w:rPr>
            </w:pPr>
          </w:p>
        </w:tc>
      </w:tr>
      <w:tr>
        <w:trPr>
          <w:trHeight w:val="28"/>
        </w:trPr>
        <w:tc>
          <w:tcPr>
            <w:tcW w:w="840" w:type="dxa"/>
            <w:vAlign w:val="bottom"/>
            <w:tcBorders>
              <w:bottom w:val="single" w:sz="8" w:color="EE2724"/>
            </w:tcBorders>
          </w:tcPr>
          <w:p>
            <w:pPr>
              <w:spacing w:after="0"/>
              <w:rPr>
                <w:sz w:val="2"/>
                <w:szCs w:val="2"/>
                <w:color w:val="auto"/>
              </w:rPr>
            </w:pPr>
          </w:p>
        </w:tc>
        <w:tc>
          <w:tcPr>
            <w:tcW w:w="1160" w:type="dxa"/>
            <w:vAlign w:val="bottom"/>
            <w:tcBorders>
              <w:bottom w:val="single" w:sz="8" w:color="EE2724"/>
            </w:tcBorders>
          </w:tcPr>
          <w:p>
            <w:pPr>
              <w:spacing w:after="0"/>
              <w:rPr>
                <w:sz w:val="2"/>
                <w:szCs w:val="2"/>
                <w:color w:val="auto"/>
              </w:rPr>
            </w:pPr>
          </w:p>
        </w:tc>
        <w:tc>
          <w:tcPr>
            <w:tcW w:w="660" w:type="dxa"/>
            <w:vAlign w:val="bottom"/>
            <w:tcBorders>
              <w:bottom w:val="single" w:sz="8" w:color="EE2724"/>
            </w:tcBorders>
          </w:tcPr>
          <w:p>
            <w:pPr>
              <w:spacing w:after="0"/>
              <w:rPr>
                <w:sz w:val="2"/>
                <w:szCs w:val="2"/>
                <w:color w:val="auto"/>
              </w:rPr>
            </w:pPr>
          </w:p>
        </w:tc>
        <w:tc>
          <w:tcPr>
            <w:tcW w:w="520" w:type="dxa"/>
            <w:vAlign w:val="bottom"/>
            <w:tcBorders>
              <w:bottom w:val="single" w:sz="8" w:color="EE2724"/>
            </w:tcBorders>
          </w:tcPr>
          <w:p>
            <w:pPr>
              <w:spacing w:after="0"/>
              <w:rPr>
                <w:sz w:val="2"/>
                <w:szCs w:val="2"/>
                <w:color w:val="auto"/>
              </w:rPr>
            </w:pPr>
          </w:p>
        </w:tc>
        <w:tc>
          <w:tcPr>
            <w:tcW w:w="180" w:type="dxa"/>
            <w:vAlign w:val="bottom"/>
            <w:tcBorders>
              <w:bottom w:val="single" w:sz="8" w:color="EE2724"/>
            </w:tcBorders>
          </w:tcPr>
          <w:p>
            <w:pPr>
              <w:spacing w:after="0"/>
              <w:rPr>
                <w:sz w:val="2"/>
                <w:szCs w:val="2"/>
                <w:color w:val="auto"/>
              </w:rPr>
            </w:pPr>
          </w:p>
        </w:tc>
        <w:tc>
          <w:tcPr>
            <w:tcW w:w="1180" w:type="dxa"/>
            <w:vAlign w:val="bottom"/>
            <w:tcBorders>
              <w:bottom w:val="single" w:sz="8" w:color="EE2724"/>
            </w:tcBorders>
          </w:tcPr>
          <w:p>
            <w:pPr>
              <w:spacing w:after="0"/>
              <w:rPr>
                <w:sz w:val="2"/>
                <w:szCs w:val="2"/>
                <w:color w:val="auto"/>
              </w:rPr>
            </w:pPr>
          </w:p>
        </w:tc>
        <w:tc>
          <w:tcPr>
            <w:tcW w:w="640" w:type="dxa"/>
            <w:vAlign w:val="bottom"/>
            <w:tcBorders>
              <w:bottom w:val="single" w:sz="8" w:color="EE2724"/>
            </w:tcBorders>
          </w:tcPr>
          <w:p>
            <w:pPr>
              <w:spacing w:after="0"/>
              <w:rPr>
                <w:sz w:val="2"/>
                <w:szCs w:val="2"/>
                <w:color w:val="auto"/>
              </w:rPr>
            </w:pPr>
          </w:p>
        </w:tc>
        <w:tc>
          <w:tcPr>
            <w:tcW w:w="520" w:type="dxa"/>
            <w:vAlign w:val="bottom"/>
            <w:tcBorders>
              <w:bottom w:val="single" w:sz="8" w:color="EE2724"/>
            </w:tcBorders>
          </w:tcPr>
          <w:p>
            <w:pPr>
              <w:spacing w:after="0"/>
              <w:rPr>
                <w:sz w:val="2"/>
                <w:szCs w:val="2"/>
                <w:color w:val="auto"/>
              </w:rPr>
            </w:pPr>
          </w:p>
        </w:tc>
        <w:tc>
          <w:tcPr>
            <w:tcW w:w="200" w:type="dxa"/>
            <w:vAlign w:val="bottom"/>
            <w:tcBorders>
              <w:bottom w:val="single" w:sz="8" w:color="EE2724"/>
            </w:tcBorders>
          </w:tcPr>
          <w:p>
            <w:pPr>
              <w:spacing w:after="0"/>
              <w:rPr>
                <w:sz w:val="2"/>
                <w:szCs w:val="2"/>
                <w:color w:val="auto"/>
              </w:rPr>
            </w:pPr>
          </w:p>
        </w:tc>
        <w:tc>
          <w:tcPr>
            <w:tcW w:w="960" w:type="dxa"/>
            <w:vAlign w:val="bottom"/>
            <w:tcBorders>
              <w:bottom w:val="single" w:sz="8" w:color="EE2724"/>
            </w:tcBorders>
          </w:tcPr>
          <w:p>
            <w:pPr>
              <w:spacing w:after="0"/>
              <w:rPr>
                <w:sz w:val="2"/>
                <w:szCs w:val="2"/>
                <w:color w:val="auto"/>
              </w:rPr>
            </w:pPr>
          </w:p>
        </w:tc>
        <w:tc>
          <w:tcPr>
            <w:tcW w:w="720" w:type="dxa"/>
            <w:vAlign w:val="bottom"/>
            <w:tcBorders>
              <w:bottom w:val="single" w:sz="8" w:color="EE2724"/>
            </w:tcBorders>
          </w:tcPr>
          <w:p>
            <w:pPr>
              <w:spacing w:after="0"/>
              <w:rPr>
                <w:sz w:val="2"/>
                <w:szCs w:val="2"/>
                <w:color w:val="auto"/>
              </w:rPr>
            </w:pPr>
          </w:p>
        </w:tc>
        <w:tc>
          <w:tcPr>
            <w:tcW w:w="580" w:type="dxa"/>
            <w:vAlign w:val="bottom"/>
            <w:tcBorders>
              <w:bottom w:val="single" w:sz="8" w:color="EE2724"/>
            </w:tcBorders>
          </w:tcPr>
          <w:p>
            <w:pPr>
              <w:spacing w:after="0"/>
              <w:rPr>
                <w:sz w:val="2"/>
                <w:szCs w:val="2"/>
                <w:color w:val="auto"/>
              </w:rPr>
            </w:pPr>
          </w:p>
        </w:tc>
        <w:tc>
          <w:tcPr>
            <w:tcW w:w="280" w:type="dxa"/>
            <w:vAlign w:val="bottom"/>
            <w:tcBorders>
              <w:bottom w:val="single" w:sz="8" w:color="EE2724"/>
            </w:tcBorders>
          </w:tcPr>
          <w:p>
            <w:pPr>
              <w:spacing w:after="0"/>
              <w:rPr>
                <w:sz w:val="2"/>
                <w:szCs w:val="2"/>
                <w:color w:val="auto"/>
              </w:rPr>
            </w:pPr>
          </w:p>
        </w:tc>
        <w:tc>
          <w:tcPr>
            <w:tcW w:w="960" w:type="dxa"/>
            <w:vAlign w:val="bottom"/>
            <w:tcBorders>
              <w:bottom w:val="single" w:sz="8" w:color="EE2724"/>
            </w:tcBorders>
          </w:tcPr>
          <w:p>
            <w:pPr>
              <w:spacing w:after="0"/>
              <w:rPr>
                <w:sz w:val="2"/>
                <w:szCs w:val="2"/>
                <w:color w:val="auto"/>
              </w:rPr>
            </w:pPr>
          </w:p>
        </w:tc>
        <w:tc>
          <w:tcPr>
            <w:tcW w:w="1000" w:type="dxa"/>
            <w:vAlign w:val="bottom"/>
            <w:tcBorders>
              <w:bottom w:val="single" w:sz="8" w:color="EE2724"/>
            </w:tcBorders>
          </w:tcPr>
          <w:p>
            <w:pPr>
              <w:spacing w:after="0"/>
              <w:rPr>
                <w:sz w:val="2"/>
                <w:szCs w:val="2"/>
                <w:color w:val="auto"/>
              </w:rPr>
            </w:pPr>
          </w:p>
        </w:tc>
        <w:tc>
          <w:tcPr>
            <w:tcW w:w="820" w:type="dxa"/>
            <w:vAlign w:val="bottom"/>
            <w:tcBorders>
              <w:bottom w:val="single" w:sz="8" w:color="EE272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hanging="192"/>
        <w:spacing w:after="0"/>
        <w:tabs>
          <w:tab w:leader="none" w:pos="200" w:val="left"/>
        </w:tabs>
        <w:numPr>
          <w:ilvl w:val="0"/>
          <w:numId w:val="151"/>
        </w:numPr>
        <w:rPr>
          <w:rFonts w:ascii="Arial" w:cs="Arial" w:eastAsia="Arial" w:hAnsi="Arial"/>
          <w:sz w:val="16"/>
          <w:szCs w:val="16"/>
          <w:color w:val="auto"/>
          <w:vertAlign w:val="superscript"/>
        </w:rPr>
      </w:pPr>
      <w:r>
        <w:rPr>
          <w:rFonts w:ascii="Arial" w:cs="Arial" w:eastAsia="Arial" w:hAnsi="Arial"/>
          <w:sz w:val="13"/>
          <w:szCs w:val="13"/>
          <w:color w:val="auto"/>
        </w:rPr>
        <w:t>Attainment based on performance against 2023 ICP Goals. Possible attainment can range from 0% to 200%. Payout % can range from 0% to 160%.</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51"/>
        </w:numPr>
        <w:rPr>
          <w:rFonts w:ascii="Arial" w:cs="Arial" w:eastAsia="Arial" w:hAnsi="Arial"/>
          <w:sz w:val="16"/>
          <w:szCs w:val="16"/>
          <w:color w:val="auto"/>
          <w:vertAlign w:val="superscript"/>
        </w:rPr>
      </w:pPr>
      <w:r>
        <w:rPr>
          <w:rFonts w:ascii="Arial" w:cs="Arial" w:eastAsia="Arial" w:hAnsi="Arial"/>
          <w:sz w:val="13"/>
          <w:szCs w:val="13"/>
          <w:color w:val="auto"/>
        </w:rPr>
        <w:t>Attainment based on MDCC individual assessment. Attainment can range from 0% to 200%. Payout % can range from 0% to 30%.</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51"/>
        </w:numPr>
        <w:rPr>
          <w:rFonts w:ascii="Arial" w:cs="Arial" w:eastAsia="Arial" w:hAnsi="Arial"/>
          <w:sz w:val="16"/>
          <w:szCs w:val="16"/>
          <w:color w:val="auto"/>
          <w:vertAlign w:val="superscript"/>
        </w:rPr>
      </w:pPr>
      <w:r>
        <w:rPr>
          <w:rFonts w:ascii="Arial" w:cs="Arial" w:eastAsia="Arial" w:hAnsi="Arial"/>
          <w:sz w:val="13"/>
          <w:szCs w:val="13"/>
          <w:color w:val="auto"/>
        </w:rPr>
        <w:t>Attainment based on MDCC group assessment. Attainment can range from 0% to 200%. Payout % can range from 0% to 10%.</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51"/>
        </w:numPr>
        <w:rPr>
          <w:rFonts w:ascii="Arial" w:cs="Arial" w:eastAsia="Arial" w:hAnsi="Arial"/>
          <w:sz w:val="16"/>
          <w:szCs w:val="16"/>
          <w:color w:val="auto"/>
          <w:vertAlign w:val="superscript"/>
        </w:rPr>
      </w:pPr>
      <w:r>
        <w:rPr>
          <w:rFonts w:ascii="Arial" w:cs="Arial" w:eastAsia="Arial" w:hAnsi="Arial"/>
          <w:sz w:val="13"/>
          <w:szCs w:val="13"/>
          <w:color w:val="auto"/>
        </w:rPr>
        <w:t>The Target 2023 ICP Award Amount for each NEO was determined as follows:</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1800" w:type="dxa"/>
            <w:vAlign w:val="bottom"/>
          </w:tcPr>
          <w:p>
            <w:pPr>
              <w:jc w:val="right"/>
              <w:ind w:right="397"/>
              <w:spacing w:after="0"/>
              <w:rPr>
                <w:sz w:val="20"/>
                <w:szCs w:val="20"/>
                <w:color w:val="auto"/>
              </w:rPr>
            </w:pPr>
            <w:r>
              <w:rPr>
                <w:rFonts w:ascii="Arial" w:cs="Arial" w:eastAsia="Arial" w:hAnsi="Arial"/>
                <w:sz w:val="13"/>
                <w:szCs w:val="13"/>
                <w:b w:val="1"/>
                <w:bCs w:val="1"/>
                <w:color w:val="auto"/>
              </w:rPr>
              <w:t>2023 Applicable</w:t>
            </w:r>
          </w:p>
        </w:tc>
        <w:tc>
          <w:tcPr>
            <w:tcW w:w="2020" w:type="dxa"/>
            <w:vAlign w:val="bottom"/>
            <w:gridSpan w:val="2"/>
          </w:tcPr>
          <w:p>
            <w:pPr>
              <w:ind w:left="460"/>
              <w:spacing w:after="0"/>
              <w:rPr>
                <w:sz w:val="20"/>
                <w:szCs w:val="20"/>
                <w:color w:val="auto"/>
              </w:rPr>
            </w:pPr>
            <w:r>
              <w:rPr>
                <w:rFonts w:ascii="Arial" w:cs="Arial" w:eastAsia="Arial" w:hAnsi="Arial"/>
                <w:sz w:val="13"/>
                <w:szCs w:val="13"/>
                <w:b w:val="1"/>
                <w:bCs w:val="1"/>
                <w:color w:val="auto"/>
              </w:rPr>
              <w:t>Individual Target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Target 2023 ICP</w:t>
            </w:r>
          </w:p>
        </w:tc>
      </w:tr>
      <w:tr>
        <w:trPr>
          <w:trHeight w:val="193"/>
        </w:trPr>
        <w:tc>
          <w:tcPr>
            <w:tcW w:w="574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tcPr>
          <w:p>
            <w:pPr>
              <w:jc w:val="right"/>
              <w:ind w:right="117"/>
              <w:spacing w:after="0"/>
              <w:rPr>
                <w:sz w:val="20"/>
                <w:szCs w:val="20"/>
                <w:color w:val="auto"/>
              </w:rPr>
            </w:pPr>
            <w:r>
              <w:rPr>
                <w:rFonts w:ascii="Arial" w:cs="Arial" w:eastAsia="Arial" w:hAnsi="Arial"/>
                <w:sz w:val="13"/>
                <w:szCs w:val="13"/>
                <w:b w:val="1"/>
                <w:bCs w:val="1"/>
                <w:color w:val="auto"/>
              </w:rPr>
              <w:t xml:space="preserve">Base Salary </w:t>
            </w:r>
            <w:r>
              <w:rPr>
                <w:rFonts w:ascii="Arial" w:cs="Arial" w:eastAsia="Arial" w:hAnsi="Arial"/>
                <w:sz w:val="16"/>
                <w:szCs w:val="16"/>
                <w:b w:val="1"/>
                <w:bCs w:val="1"/>
                <w:color w:val="auto"/>
                <w:vertAlign w:val="superscript"/>
              </w:rPr>
              <w:t>(a)</w:t>
            </w:r>
            <w:r>
              <w:rPr>
                <w:rFonts w:ascii="Arial" w:cs="Arial" w:eastAsia="Arial" w:hAnsi="Arial"/>
                <w:sz w:val="13"/>
                <w:szCs w:val="13"/>
                <w:b w:val="1"/>
                <w:bCs w:val="1"/>
                <w:color w:val="auto"/>
              </w:rPr>
              <w:t xml:space="preserve">     x</w:t>
            </w:r>
          </w:p>
        </w:tc>
        <w:tc>
          <w:tcPr>
            <w:tcW w:w="2020" w:type="dxa"/>
            <w:vAlign w:val="bottom"/>
            <w:tcBorders>
              <w:bottom w:val="single" w:sz="8" w:color="D7282F"/>
            </w:tcBorders>
            <w:gridSpan w:val="2"/>
          </w:tcPr>
          <w:p>
            <w:pPr>
              <w:ind w:left="560"/>
              <w:spacing w:after="0"/>
              <w:rPr>
                <w:sz w:val="20"/>
                <w:szCs w:val="20"/>
                <w:color w:val="auto"/>
              </w:rPr>
            </w:pPr>
            <w:r>
              <w:rPr>
                <w:rFonts w:ascii="Arial" w:cs="Arial" w:eastAsia="Arial" w:hAnsi="Arial"/>
                <w:sz w:val="13"/>
                <w:szCs w:val="13"/>
                <w:b w:val="1"/>
                <w:bCs w:val="1"/>
                <w:color w:val="auto"/>
              </w:rPr>
              <w:t xml:space="preserve">ICP Award % </w:t>
            </w:r>
            <w:r>
              <w:rPr>
                <w:rFonts w:ascii="Arial" w:cs="Arial" w:eastAsia="Arial" w:hAnsi="Arial"/>
                <w:sz w:val="16"/>
                <w:szCs w:val="16"/>
                <w:b w:val="1"/>
                <w:bCs w:val="1"/>
                <w:color w:val="auto"/>
                <w:vertAlign w:val="superscript"/>
              </w:rPr>
              <w:t>(b)</w:t>
            </w:r>
            <w:r>
              <w:rPr>
                <w:rFonts w:ascii="Arial" w:cs="Arial" w:eastAsia="Arial" w:hAnsi="Arial"/>
                <w:sz w:val="13"/>
                <w:szCs w:val="13"/>
                <w:b w:val="1"/>
                <w:bCs w:val="1"/>
                <w:color w:val="auto"/>
              </w:rPr>
              <w:t xml:space="preserve">     =</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Award Amount</w:t>
            </w:r>
          </w:p>
        </w:tc>
      </w:tr>
      <w:tr>
        <w:trPr>
          <w:trHeight w:val="175"/>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1800" w:type="dxa"/>
            <w:vAlign w:val="bottom"/>
          </w:tcPr>
          <w:p>
            <w:pPr>
              <w:jc w:val="right"/>
              <w:ind w:right="437"/>
              <w:spacing w:after="0"/>
              <w:rPr>
                <w:sz w:val="20"/>
                <w:szCs w:val="20"/>
                <w:color w:val="auto"/>
              </w:rPr>
            </w:pPr>
            <w:r>
              <w:rPr>
                <w:rFonts w:ascii="Arial" w:cs="Arial" w:eastAsia="Arial" w:hAnsi="Arial"/>
                <w:sz w:val="13"/>
                <w:szCs w:val="13"/>
                <w:color w:val="auto"/>
              </w:rPr>
              <w:t>$   1,293,151</w:t>
            </w:r>
          </w:p>
        </w:tc>
        <w:tc>
          <w:tcPr>
            <w:tcW w:w="1480" w:type="dxa"/>
            <w:vAlign w:val="bottom"/>
          </w:tcPr>
          <w:p>
            <w:pPr>
              <w:jc w:val="right"/>
              <w:spacing w:after="0"/>
              <w:rPr>
                <w:sz w:val="20"/>
                <w:szCs w:val="20"/>
                <w:color w:val="auto"/>
              </w:rPr>
            </w:pPr>
            <w:r>
              <w:rPr>
                <w:rFonts w:ascii="Arial" w:cs="Arial" w:eastAsia="Arial" w:hAnsi="Arial"/>
                <w:sz w:val="13"/>
                <w:szCs w:val="13"/>
                <w:color w:val="auto"/>
              </w:rPr>
              <w:t>154.3 %</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   1,995,332</w:t>
            </w:r>
          </w:p>
        </w:tc>
      </w:tr>
      <w:tr>
        <w:trPr>
          <w:trHeight w:val="22"/>
        </w:trPr>
        <w:tc>
          <w:tcPr>
            <w:tcW w:w="5740" w:type="dxa"/>
            <w:vAlign w:val="bottom"/>
            <w:tcBorders>
              <w:bottom w:val="single" w:sz="8" w:color="939598"/>
            </w:tcBorders>
          </w:tcPr>
          <w:p>
            <w:pPr>
              <w:spacing w:after="0" w:line="20" w:lineRule="exact"/>
              <w:rPr>
                <w:sz w:val="1"/>
                <w:szCs w:val="1"/>
                <w:color w:val="auto"/>
              </w:rPr>
            </w:pPr>
          </w:p>
        </w:tc>
        <w:tc>
          <w:tcPr>
            <w:tcW w:w="18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r>
      <w:tr>
        <w:trPr>
          <w:trHeight w:val="174"/>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1800" w:type="dxa"/>
            <w:vAlign w:val="bottom"/>
          </w:tcPr>
          <w:p>
            <w:pPr>
              <w:jc w:val="right"/>
              <w:ind w:right="437"/>
              <w:spacing w:after="0"/>
              <w:rPr>
                <w:sz w:val="20"/>
                <w:szCs w:val="20"/>
                <w:color w:val="auto"/>
              </w:rPr>
            </w:pPr>
            <w:r>
              <w:rPr>
                <w:rFonts w:ascii="Arial" w:cs="Arial" w:eastAsia="Arial" w:hAnsi="Arial"/>
                <w:sz w:val="13"/>
                <w:szCs w:val="13"/>
                <w:color w:val="auto"/>
              </w:rPr>
              <w:t>960,299</w:t>
            </w:r>
          </w:p>
        </w:tc>
        <w:tc>
          <w:tcPr>
            <w:tcW w:w="1480" w:type="dxa"/>
            <w:vAlign w:val="bottom"/>
          </w:tcPr>
          <w:p>
            <w:pPr>
              <w:jc w:val="right"/>
              <w:spacing w:after="0"/>
              <w:rPr>
                <w:sz w:val="20"/>
                <w:szCs w:val="20"/>
                <w:color w:val="auto"/>
              </w:rPr>
            </w:pPr>
            <w:r>
              <w:rPr>
                <w:rFonts w:ascii="Arial" w:cs="Arial" w:eastAsia="Arial" w:hAnsi="Arial"/>
                <w:sz w:val="13"/>
                <w:szCs w:val="13"/>
                <w:color w:val="auto"/>
              </w:rPr>
              <w:t>100 %</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960,299</w:t>
            </w:r>
          </w:p>
        </w:tc>
      </w:tr>
      <w:tr>
        <w:trPr>
          <w:trHeight w:val="22"/>
        </w:trPr>
        <w:tc>
          <w:tcPr>
            <w:tcW w:w="5740" w:type="dxa"/>
            <w:vAlign w:val="bottom"/>
            <w:tcBorders>
              <w:bottom w:val="single" w:sz="8" w:color="939598"/>
            </w:tcBorders>
          </w:tcPr>
          <w:p>
            <w:pPr>
              <w:spacing w:after="0" w:line="20" w:lineRule="exact"/>
              <w:rPr>
                <w:sz w:val="1"/>
                <w:szCs w:val="1"/>
                <w:color w:val="auto"/>
              </w:rPr>
            </w:pPr>
          </w:p>
        </w:tc>
        <w:tc>
          <w:tcPr>
            <w:tcW w:w="18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r>
      <w:tr>
        <w:trPr>
          <w:trHeight w:val="174"/>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Ms. Madden</w:t>
            </w:r>
          </w:p>
        </w:tc>
        <w:tc>
          <w:tcPr>
            <w:tcW w:w="1800" w:type="dxa"/>
            <w:vAlign w:val="bottom"/>
          </w:tcPr>
          <w:p>
            <w:pPr>
              <w:jc w:val="right"/>
              <w:ind w:right="437"/>
              <w:spacing w:after="0"/>
              <w:rPr>
                <w:sz w:val="20"/>
                <w:szCs w:val="20"/>
                <w:color w:val="auto"/>
              </w:rPr>
            </w:pPr>
            <w:r>
              <w:rPr>
                <w:rFonts w:ascii="Arial" w:cs="Arial" w:eastAsia="Arial" w:hAnsi="Arial"/>
                <w:sz w:val="13"/>
                <w:szCs w:val="13"/>
                <w:color w:val="auto"/>
              </w:rPr>
              <w:t>927,197</w:t>
            </w:r>
          </w:p>
        </w:tc>
        <w:tc>
          <w:tcPr>
            <w:tcW w:w="1480" w:type="dxa"/>
            <w:vAlign w:val="bottom"/>
          </w:tcPr>
          <w:p>
            <w:pPr>
              <w:jc w:val="right"/>
              <w:spacing w:after="0"/>
              <w:rPr>
                <w:sz w:val="20"/>
                <w:szCs w:val="20"/>
                <w:color w:val="auto"/>
              </w:rPr>
            </w:pPr>
            <w:r>
              <w:rPr>
                <w:rFonts w:ascii="Arial" w:cs="Arial" w:eastAsia="Arial" w:hAnsi="Arial"/>
                <w:sz w:val="13"/>
                <w:szCs w:val="13"/>
                <w:color w:val="auto"/>
              </w:rPr>
              <w:t>100 %</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927,197</w:t>
            </w:r>
          </w:p>
        </w:tc>
      </w:tr>
      <w:tr>
        <w:trPr>
          <w:trHeight w:val="22"/>
        </w:trPr>
        <w:tc>
          <w:tcPr>
            <w:tcW w:w="5740" w:type="dxa"/>
            <w:vAlign w:val="bottom"/>
            <w:tcBorders>
              <w:bottom w:val="single" w:sz="8" w:color="939598"/>
            </w:tcBorders>
          </w:tcPr>
          <w:p>
            <w:pPr>
              <w:spacing w:after="0" w:line="20" w:lineRule="exact"/>
              <w:rPr>
                <w:sz w:val="1"/>
                <w:szCs w:val="1"/>
                <w:color w:val="auto"/>
              </w:rPr>
            </w:pPr>
          </w:p>
        </w:tc>
        <w:tc>
          <w:tcPr>
            <w:tcW w:w="18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r>
      <w:tr>
        <w:trPr>
          <w:trHeight w:val="174"/>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1800" w:type="dxa"/>
            <w:vAlign w:val="bottom"/>
          </w:tcPr>
          <w:p>
            <w:pPr>
              <w:jc w:val="right"/>
              <w:ind w:right="437"/>
              <w:spacing w:after="0"/>
              <w:rPr>
                <w:sz w:val="20"/>
                <w:szCs w:val="20"/>
                <w:color w:val="auto"/>
              </w:rPr>
            </w:pPr>
            <w:r>
              <w:rPr>
                <w:rFonts w:ascii="Arial" w:cs="Arial" w:eastAsia="Arial" w:hAnsi="Arial"/>
                <w:sz w:val="13"/>
                <w:szCs w:val="13"/>
                <w:color w:val="auto"/>
              </w:rPr>
              <w:t>800,000</w:t>
            </w:r>
          </w:p>
        </w:tc>
        <w:tc>
          <w:tcPr>
            <w:tcW w:w="1480" w:type="dxa"/>
            <w:vAlign w:val="bottom"/>
          </w:tcPr>
          <w:p>
            <w:pPr>
              <w:jc w:val="right"/>
              <w:spacing w:after="0"/>
              <w:rPr>
                <w:sz w:val="20"/>
                <w:szCs w:val="20"/>
                <w:color w:val="auto"/>
              </w:rPr>
            </w:pPr>
            <w:r>
              <w:rPr>
                <w:rFonts w:ascii="Arial" w:cs="Arial" w:eastAsia="Arial" w:hAnsi="Arial"/>
                <w:sz w:val="13"/>
                <w:szCs w:val="13"/>
                <w:color w:val="auto"/>
              </w:rPr>
              <w:t>100 %</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800,000</w:t>
            </w:r>
          </w:p>
        </w:tc>
      </w:tr>
      <w:tr>
        <w:trPr>
          <w:trHeight w:val="22"/>
        </w:trPr>
        <w:tc>
          <w:tcPr>
            <w:tcW w:w="5740" w:type="dxa"/>
            <w:vAlign w:val="bottom"/>
            <w:tcBorders>
              <w:bottom w:val="single" w:sz="8" w:color="939598"/>
            </w:tcBorders>
          </w:tcPr>
          <w:p>
            <w:pPr>
              <w:spacing w:after="0" w:line="20" w:lineRule="exact"/>
              <w:rPr>
                <w:sz w:val="1"/>
                <w:szCs w:val="1"/>
                <w:color w:val="auto"/>
              </w:rPr>
            </w:pPr>
          </w:p>
        </w:tc>
        <w:tc>
          <w:tcPr>
            <w:tcW w:w="18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r>
      <w:tr>
        <w:trPr>
          <w:trHeight w:val="174"/>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1800" w:type="dxa"/>
            <w:vAlign w:val="bottom"/>
          </w:tcPr>
          <w:p>
            <w:pPr>
              <w:jc w:val="right"/>
              <w:ind w:right="437"/>
              <w:spacing w:after="0"/>
              <w:rPr>
                <w:sz w:val="20"/>
                <w:szCs w:val="20"/>
                <w:color w:val="auto"/>
              </w:rPr>
            </w:pPr>
            <w:r>
              <w:rPr>
                <w:rFonts w:ascii="Arial" w:cs="Arial" w:eastAsia="Arial" w:hAnsi="Arial"/>
                <w:sz w:val="13"/>
                <w:szCs w:val="13"/>
                <w:color w:val="auto"/>
              </w:rPr>
              <w:t>551,385</w:t>
            </w:r>
          </w:p>
        </w:tc>
        <w:tc>
          <w:tcPr>
            <w:tcW w:w="1480" w:type="dxa"/>
            <w:vAlign w:val="bottom"/>
          </w:tcPr>
          <w:p>
            <w:pPr>
              <w:jc w:val="right"/>
              <w:spacing w:after="0"/>
              <w:rPr>
                <w:sz w:val="20"/>
                <w:szCs w:val="20"/>
                <w:color w:val="auto"/>
              </w:rPr>
            </w:pPr>
            <w:r>
              <w:rPr>
                <w:rFonts w:ascii="Arial" w:cs="Arial" w:eastAsia="Arial" w:hAnsi="Arial"/>
                <w:sz w:val="13"/>
                <w:szCs w:val="13"/>
                <w:color w:val="auto"/>
              </w:rPr>
              <w:t>100 %</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551,385</w:t>
            </w:r>
          </w:p>
        </w:tc>
      </w:tr>
      <w:tr>
        <w:trPr>
          <w:trHeight w:val="22"/>
        </w:trPr>
        <w:tc>
          <w:tcPr>
            <w:tcW w:w="5740" w:type="dxa"/>
            <w:vAlign w:val="bottom"/>
            <w:tcBorders>
              <w:bottom w:val="single" w:sz="8" w:color="939598"/>
            </w:tcBorders>
          </w:tcPr>
          <w:p>
            <w:pPr>
              <w:spacing w:after="0" w:line="20" w:lineRule="exact"/>
              <w:rPr>
                <w:sz w:val="1"/>
                <w:szCs w:val="1"/>
                <w:color w:val="auto"/>
              </w:rPr>
            </w:pPr>
          </w:p>
        </w:tc>
        <w:tc>
          <w:tcPr>
            <w:tcW w:w="18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540" w:type="dxa"/>
            <w:vAlign w:val="bottom"/>
            <w:tcBorders>
              <w:bottom w:val="single" w:sz="8" w:color="939598"/>
            </w:tcBorders>
          </w:tcPr>
          <w:p>
            <w:pPr>
              <w:spacing w:after="0" w:line="20" w:lineRule="exact"/>
              <w:rPr>
                <w:sz w:val="1"/>
                <w:szCs w:val="1"/>
                <w:color w:val="auto"/>
              </w:rPr>
            </w:pPr>
          </w:p>
        </w:tc>
        <w:tc>
          <w:tcPr>
            <w:tcW w:w="1200" w:type="dxa"/>
            <w:vAlign w:val="bottom"/>
            <w:tcBorders>
              <w:bottom w:val="single" w:sz="8" w:color="939598"/>
            </w:tcBorders>
          </w:tcPr>
          <w:p>
            <w:pPr>
              <w:spacing w:after="0" w:line="20" w:lineRule="exact"/>
              <w:rPr>
                <w:sz w:val="1"/>
                <w:szCs w:val="1"/>
                <w:color w:val="auto"/>
              </w:rPr>
            </w:pPr>
          </w:p>
        </w:tc>
      </w:tr>
      <w:tr>
        <w:trPr>
          <w:trHeight w:val="175"/>
        </w:trPr>
        <w:tc>
          <w:tcPr>
            <w:tcW w:w="5740" w:type="dxa"/>
            <w:vAlign w:val="bottom"/>
          </w:tcPr>
          <w:p>
            <w:pPr>
              <w:ind w:left="20"/>
              <w:spacing w:after="0"/>
              <w:rPr>
                <w:sz w:val="20"/>
                <w:szCs w:val="20"/>
                <w:color w:val="auto"/>
              </w:rPr>
            </w:pPr>
            <w:r>
              <w:rPr>
                <w:rFonts w:ascii="Arial" w:cs="Arial" w:eastAsia="Arial" w:hAnsi="Arial"/>
                <w:sz w:val="13"/>
                <w:szCs w:val="13"/>
                <w:b w:val="1"/>
                <w:bCs w:val="1"/>
                <w:color w:val="auto"/>
              </w:rPr>
              <w:t>Mr. Adamczyk</w:t>
            </w:r>
          </w:p>
        </w:tc>
        <w:tc>
          <w:tcPr>
            <w:tcW w:w="1800" w:type="dxa"/>
            <w:vAlign w:val="bottom"/>
          </w:tcPr>
          <w:p>
            <w:pPr>
              <w:jc w:val="right"/>
              <w:ind w:right="437"/>
              <w:spacing w:after="0"/>
              <w:rPr>
                <w:sz w:val="20"/>
                <w:szCs w:val="20"/>
                <w:color w:val="auto"/>
              </w:rPr>
            </w:pPr>
            <w:r>
              <w:rPr>
                <w:rFonts w:ascii="Arial" w:cs="Arial" w:eastAsia="Arial" w:hAnsi="Arial"/>
                <w:sz w:val="13"/>
                <w:szCs w:val="13"/>
                <w:color w:val="auto"/>
              </w:rPr>
              <w:t>1,450,822</w:t>
            </w:r>
          </w:p>
        </w:tc>
        <w:tc>
          <w:tcPr>
            <w:tcW w:w="1480" w:type="dxa"/>
            <w:vAlign w:val="bottom"/>
          </w:tcPr>
          <w:p>
            <w:pPr>
              <w:jc w:val="right"/>
              <w:spacing w:after="0"/>
              <w:rPr>
                <w:sz w:val="20"/>
                <w:szCs w:val="20"/>
                <w:color w:val="auto"/>
              </w:rPr>
            </w:pPr>
            <w:r>
              <w:rPr>
                <w:rFonts w:ascii="Arial" w:cs="Arial" w:eastAsia="Arial" w:hAnsi="Arial"/>
                <w:sz w:val="13"/>
                <w:szCs w:val="13"/>
                <w:color w:val="auto"/>
              </w:rPr>
              <w:t>161.3 %</w:t>
            </w: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2,340,176</w:t>
            </w:r>
          </w:p>
        </w:tc>
      </w:tr>
      <w:tr>
        <w:trPr>
          <w:trHeight w:val="22"/>
        </w:trPr>
        <w:tc>
          <w:tcPr>
            <w:tcW w:w="5740" w:type="dxa"/>
            <w:vAlign w:val="bottom"/>
            <w:tcBorders>
              <w:bottom w:val="single" w:sz="8" w:color="EE2724"/>
            </w:tcBorders>
          </w:tcPr>
          <w:p>
            <w:pPr>
              <w:spacing w:after="0" w:line="20" w:lineRule="exact"/>
              <w:rPr>
                <w:sz w:val="1"/>
                <w:szCs w:val="1"/>
                <w:color w:val="auto"/>
              </w:rPr>
            </w:pPr>
          </w:p>
        </w:tc>
        <w:tc>
          <w:tcPr>
            <w:tcW w:w="1800" w:type="dxa"/>
            <w:vAlign w:val="bottom"/>
            <w:tcBorders>
              <w:bottom w:val="single" w:sz="8" w:color="D7282F"/>
            </w:tcBorders>
          </w:tcPr>
          <w:p>
            <w:pPr>
              <w:spacing w:after="0" w:line="20" w:lineRule="exact"/>
              <w:rPr>
                <w:sz w:val="1"/>
                <w:szCs w:val="1"/>
                <w:color w:val="auto"/>
              </w:rPr>
            </w:pPr>
          </w:p>
        </w:tc>
        <w:tc>
          <w:tcPr>
            <w:tcW w:w="1480" w:type="dxa"/>
            <w:vAlign w:val="bottom"/>
            <w:tcBorders>
              <w:bottom w:val="single" w:sz="8" w:color="EE2724"/>
            </w:tcBorders>
          </w:tcPr>
          <w:p>
            <w:pPr>
              <w:spacing w:after="0" w:line="20" w:lineRule="exact"/>
              <w:rPr>
                <w:sz w:val="1"/>
                <w:szCs w:val="1"/>
                <w:color w:val="auto"/>
              </w:rPr>
            </w:pPr>
          </w:p>
        </w:tc>
        <w:tc>
          <w:tcPr>
            <w:tcW w:w="540" w:type="dxa"/>
            <w:vAlign w:val="bottom"/>
            <w:tcBorders>
              <w:bottom w:val="single" w:sz="8" w:color="D7282F"/>
            </w:tcBorders>
          </w:tcPr>
          <w:p>
            <w:pPr>
              <w:spacing w:after="0" w:line="20" w:lineRule="exact"/>
              <w:rPr>
                <w:sz w:val="1"/>
                <w:szCs w:val="1"/>
                <w:color w:val="auto"/>
              </w:rPr>
            </w:pPr>
          </w:p>
        </w:tc>
        <w:tc>
          <w:tcPr>
            <w:tcW w:w="1200" w:type="dxa"/>
            <w:vAlign w:val="bottom"/>
            <w:tcBorders>
              <w:bottom w:val="single" w:sz="8" w:color="D7282F"/>
            </w:tcBorders>
          </w:tcPr>
          <w:p>
            <w:pPr>
              <w:spacing w:after="0" w:line="20" w:lineRule="exact"/>
              <w:rPr>
                <w:sz w:val="1"/>
                <w:szCs w:val="1"/>
                <w:color w:val="auto"/>
              </w:rPr>
            </w:pPr>
          </w:p>
        </w:tc>
      </w:tr>
    </w:tbl>
    <w:p>
      <w:pPr>
        <w:spacing w:after="0" w:line="185" w:lineRule="exact"/>
        <w:rPr>
          <w:sz w:val="20"/>
          <w:szCs w:val="20"/>
          <w:color w:val="auto"/>
        </w:rPr>
      </w:pPr>
    </w:p>
    <w:p>
      <w:pPr>
        <w:ind w:left="400" w:right="60" w:hanging="198"/>
        <w:spacing w:after="0" w:line="226" w:lineRule="auto"/>
        <w:tabs>
          <w:tab w:leader="none" w:pos="400" w:val="left"/>
        </w:tabs>
        <w:numPr>
          <w:ilvl w:val="0"/>
          <w:numId w:val="152"/>
        </w:numPr>
        <w:rPr>
          <w:rFonts w:ascii="Arial" w:cs="Arial" w:eastAsia="Arial" w:hAnsi="Arial"/>
          <w:sz w:val="16"/>
          <w:szCs w:val="16"/>
          <w:color w:val="auto"/>
          <w:vertAlign w:val="superscript"/>
        </w:rPr>
      </w:pPr>
      <w:r>
        <w:rPr>
          <w:rFonts w:ascii="Arial" w:cs="Arial" w:eastAsia="Arial" w:hAnsi="Arial"/>
          <w:sz w:val="13"/>
          <w:szCs w:val="13"/>
          <w:color w:val="auto"/>
        </w:rPr>
        <w:t>ICP applicable base salary (base salary earned) for the 2023 calendar year, determined in accordance with the ICP plan document, excluding the impact of the temporary 10% reduction in base salary taken from August 7, 2023 through December 31, 2023.</w:t>
      </w:r>
    </w:p>
    <w:p>
      <w:pPr>
        <w:spacing w:after="0" w:line="32" w:lineRule="exact"/>
        <w:rPr>
          <w:rFonts w:ascii="Arial" w:cs="Arial" w:eastAsia="Arial" w:hAnsi="Arial"/>
          <w:sz w:val="16"/>
          <w:szCs w:val="16"/>
          <w:color w:val="auto"/>
          <w:vertAlign w:val="superscript"/>
        </w:rPr>
      </w:pPr>
    </w:p>
    <w:p>
      <w:pPr>
        <w:ind w:left="400" w:hanging="198"/>
        <w:spacing w:after="0"/>
        <w:tabs>
          <w:tab w:leader="none" w:pos="400" w:val="left"/>
        </w:tabs>
        <w:numPr>
          <w:ilvl w:val="0"/>
          <w:numId w:val="152"/>
        </w:numPr>
        <w:rPr>
          <w:rFonts w:ascii="Arial" w:cs="Arial" w:eastAsia="Arial" w:hAnsi="Arial"/>
          <w:sz w:val="16"/>
          <w:szCs w:val="16"/>
          <w:color w:val="auto"/>
          <w:vertAlign w:val="superscript"/>
        </w:rPr>
      </w:pPr>
      <w:r>
        <w:rPr>
          <w:rFonts w:ascii="Arial" w:cs="Arial" w:eastAsia="Arial" w:hAnsi="Arial"/>
          <w:sz w:val="13"/>
          <w:szCs w:val="13"/>
          <w:color w:val="auto"/>
        </w:rPr>
        <w:t>Individual Target ICP Award % for Mr. Kapur and Mr. Adamczyk represent prorated targets for 2023.</w:t>
      </w:r>
    </w:p>
    <w:p>
      <w:pPr>
        <w:spacing w:after="0" w:line="28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2023 LONG-TERM INCENTIVE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123825</wp:posOffset>
            </wp:positionV>
            <wp:extent cx="1654175" cy="9518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654175" cy="951865"/>
                    </a:xfrm>
                    <a:prstGeom prst="rect">
                      <a:avLst/>
                    </a:prstGeom>
                    <a:noFill/>
                  </pic:spPr>
                </pic:pic>
              </a:graphicData>
            </a:graphic>
          </wp:anchor>
        </w:drawing>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50% Performance Stock Units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79375</wp:posOffset>
            </wp:positionV>
            <wp:extent cx="93980" cy="9398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28"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25%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79375</wp:posOffset>
            </wp:positionV>
            <wp:extent cx="93980" cy="9398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clrChange>
                        <a:clrFrom>
                          <a:srgbClr val="000000"/>
                        </a:clrFrom>
                        <a:clrTo>
                          <a:srgbClr val="000000">
                            <a:alpha val="0"/>
                          </a:srgbClr>
                        </a:clrTo>
                      </a:clrChange>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79375</wp:posOffset>
            </wp:positionV>
            <wp:extent cx="93980" cy="9398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clrChange>
                        <a:clrFrom>
                          <a:srgbClr val="FFFFFF"/>
                        </a:clrFrom>
                        <a:clrTo>
                          <a:srgbClr val="FFFFFF">
                            <a:alpha val="0"/>
                          </a:srgbClr>
                        </a:clrTo>
                      </a:clrChange>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128"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25% Restricted Stock Units (RSUs)</w:t>
      </w:r>
    </w:p>
    <w:p>
      <w:pPr>
        <w:spacing w:after="0" w:line="10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Grants of LTI awards to the CEO and Other NEOs in 2022 reflect a mix of </w:t>
      </w:r>
      <w:r>
        <w:rPr>
          <w:rFonts w:ascii="Arial" w:cs="Arial" w:eastAsia="Arial" w:hAnsi="Arial"/>
          <w:sz w:val="13"/>
          <w:szCs w:val="13"/>
          <w:color w:val="D7282F"/>
        </w:rPr>
        <w:t>50%</w:t>
      </w:r>
      <w:r>
        <w:rPr>
          <w:rFonts w:ascii="Arial" w:cs="Arial" w:eastAsia="Arial" w:hAnsi="Arial"/>
          <w:sz w:val="13"/>
          <w:szCs w:val="13"/>
          <w:color w:val="auto"/>
        </w:rPr>
        <w:t xml:space="preserve"> in</w:t>
      </w:r>
    </w:p>
    <w:p>
      <w:pPr>
        <w:spacing w:after="0" w:line="16" w:lineRule="exact"/>
        <w:rPr>
          <w:sz w:val="20"/>
          <w:szCs w:val="20"/>
          <w:color w:val="auto"/>
        </w:rPr>
      </w:pPr>
    </w:p>
    <w:p>
      <w:pPr>
        <w:ind w:left="4840" w:right="2420"/>
        <w:spacing w:after="0" w:line="258" w:lineRule="auto"/>
        <w:rPr>
          <w:sz w:val="20"/>
          <w:szCs w:val="20"/>
          <w:color w:val="auto"/>
        </w:rPr>
      </w:pPr>
      <w:r>
        <w:rPr>
          <w:rFonts w:ascii="Arial" w:cs="Arial" w:eastAsia="Arial" w:hAnsi="Arial"/>
          <w:sz w:val="13"/>
          <w:szCs w:val="13"/>
          <w:color w:val="auto"/>
        </w:rPr>
        <w:t xml:space="preserve">Performance Stock Units, </w:t>
      </w:r>
      <w:r>
        <w:rPr>
          <w:rFonts w:ascii="Arial" w:cs="Arial" w:eastAsia="Arial" w:hAnsi="Arial"/>
          <w:sz w:val="13"/>
          <w:szCs w:val="13"/>
          <w:color w:val="D7282F"/>
        </w:rPr>
        <w:t>25%</w:t>
      </w:r>
      <w:r>
        <w:rPr>
          <w:rFonts w:ascii="Arial" w:cs="Arial" w:eastAsia="Arial" w:hAnsi="Arial"/>
          <w:sz w:val="13"/>
          <w:szCs w:val="13"/>
          <w:color w:val="auto"/>
        </w:rPr>
        <w:t xml:space="preserve"> in stock options, and </w:t>
      </w:r>
      <w:r>
        <w:rPr>
          <w:rFonts w:ascii="Arial" w:cs="Arial" w:eastAsia="Arial" w:hAnsi="Arial"/>
          <w:sz w:val="13"/>
          <w:szCs w:val="13"/>
          <w:color w:val="D7282F"/>
        </w:rPr>
        <w:t>25%</w:t>
      </w:r>
      <w:r>
        <w:rPr>
          <w:rFonts w:ascii="Arial" w:cs="Arial" w:eastAsia="Arial" w:hAnsi="Arial"/>
          <w:sz w:val="13"/>
          <w:szCs w:val="13"/>
          <w:color w:val="auto"/>
        </w:rPr>
        <w:t xml:space="preserve"> in Restricted Stock Units.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TOTAL LTI VALUE</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2023 LTI awards to the NEOs, the MDCC (or, in the case of the CEO, the independent members of the full Board) determined a total annual LTI (Total LTI) value to be awarded and then allocated the award between PSUs, RSUs, and stock options based on the mix proportions described above. Each of the three elements and the respective values awarded to each NEO are described in detail below.</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the Total LTI value to be awarded to each NEO, factors that were considered included:</w:t>
      </w:r>
    </w:p>
    <w:p>
      <w:pPr>
        <w:spacing w:after="0" w:line="127" w:lineRule="exact"/>
        <w:rPr>
          <w:sz w:val="20"/>
          <w:szCs w:val="20"/>
          <w:color w:val="auto"/>
        </w:rPr>
      </w:pPr>
    </w:p>
    <w:p>
      <w:pPr>
        <w:ind w:left="200" w:hanging="192"/>
        <w:spacing w:after="0"/>
        <w:tabs>
          <w:tab w:leader="none" w:pos="200"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The relative value of long-term incentive awards granted to comparable named executive officers at the Compensation Peer Group companies.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Scope of responsibilities and complexity of the organization (absolute and relative to the Compensation Peer Group companies).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The senior executive development and succession plan.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The value of LTI awards granted in prior years.</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53"/>
        </w:numPr>
        <w:rPr>
          <w:rFonts w:ascii="Arial" w:cs="Arial" w:eastAsia="Arial" w:hAnsi="Arial"/>
          <w:sz w:val="16"/>
          <w:szCs w:val="16"/>
          <w:b w:val="1"/>
          <w:bCs w:val="1"/>
          <w:color w:val="D7282F"/>
        </w:rPr>
      </w:pPr>
      <w:r>
        <w:rPr>
          <w:rFonts w:ascii="Arial" w:cs="Arial" w:eastAsia="Arial" w:hAnsi="Arial"/>
          <w:sz w:val="16"/>
          <w:szCs w:val="16"/>
          <w:color w:val="auto"/>
        </w:rPr>
        <w:t>Each NEO’s leadership impact and expected future contribution toward the overall success of Honeywell.</w:t>
      </w:r>
    </w:p>
    <w:p>
      <w:pPr>
        <w:spacing w:after="0" w:line="22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sz w:val="1"/>
          <w:szCs w:val="1"/>
          <w:color w:val="auto"/>
        </w:rPr>
        <w:drawing>
          <wp:inline distT="0" distB="0" distL="0" distR="0">
            <wp:extent cx="548640" cy="10287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0" w:right="39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201930</wp:posOffset>
            </wp:positionV>
            <wp:extent cx="814070" cy="81470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310"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D7282F"/>
        </w:rPr>
        <w:t>2023–2025 PERFORMANCE PLAN AWARDS</w:t>
      </w:r>
    </w:p>
    <w:p>
      <w:pPr>
        <w:spacing w:after="0" w:line="112" w:lineRule="exact"/>
        <w:rPr>
          <w:sz w:val="20"/>
          <w:szCs w:val="20"/>
          <w:color w:val="auto"/>
        </w:rPr>
      </w:pPr>
    </w:p>
    <w:p>
      <w:pPr>
        <w:ind w:left="1820" w:right="100"/>
        <w:spacing w:after="0" w:line="304" w:lineRule="auto"/>
        <w:rPr>
          <w:sz w:val="20"/>
          <w:szCs w:val="20"/>
          <w:color w:val="auto"/>
        </w:rPr>
      </w:pPr>
      <w:r>
        <w:rPr>
          <w:rFonts w:ascii="Arial" w:cs="Arial" w:eastAsia="Arial" w:hAnsi="Arial"/>
          <w:sz w:val="16"/>
          <w:szCs w:val="16"/>
          <w:color w:val="auto"/>
        </w:rPr>
        <w:t>Under the 2023-2025 Performance Plan, a target number of PSUs was issued to each NEO in 2023, for the performance period of January 1, 2023, through December 31, 2025, representing 50% of their total annual LTI value and mix.</w:t>
      </w:r>
    </w:p>
    <w:p>
      <w:pPr>
        <w:spacing w:after="0" w:line="33"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The actual number of PSUs earned by each NEO for the 2023-2025 cycle will be determined at the end of the period based on</w:t>
      </w:r>
    </w:p>
    <w:p>
      <w:pPr>
        <w:spacing w:after="0" w:line="21"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Company performance as measured by the following four equally-weighted performance metrics:</w:t>
      </w:r>
    </w:p>
    <w:p>
      <w:pPr>
        <w:sectPr>
          <w:pgSz w:w="11900" w:h="16838" w:orient="portrait"/>
          <w:cols w:equalWidth="0" w:num="1">
            <w:col w:w="11240"/>
          </w:cols>
          <w:pgMar w:left="320" w:top="230" w:right="339" w:bottom="1440" w:gutter="0" w:footer="0" w:header="0"/>
        </w:sect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D6E71"/>
        </w:rPr>
        <w:t>3-YEAR CUMULATIVE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171450" cy="1714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20" w:hanging="194"/>
        <w:spacing w:after="0" w:line="275" w:lineRule="auto"/>
        <w:tabs>
          <w:tab w:leader="none" w:pos="21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Measures the effectiveness of the Company’s organic growth strategies, including new product introduction and marketing and sales effectiveness, as well as projected growth in our end markets.</w:t>
      </w:r>
    </w:p>
    <w:p>
      <w:pPr>
        <w:spacing w:after="0" w:line="29" w:lineRule="exact"/>
        <w:rPr>
          <w:rFonts w:ascii="Arial" w:cs="Arial" w:eastAsia="Arial" w:hAnsi="Arial"/>
          <w:sz w:val="16"/>
          <w:szCs w:val="16"/>
          <w:b w:val="1"/>
          <w:bCs w:val="1"/>
          <w:color w:val="D7282F"/>
        </w:rPr>
      </w:pPr>
    </w:p>
    <w:p>
      <w:pPr>
        <w:ind w:left="220" w:right="60" w:hanging="194"/>
        <w:spacing w:after="0" w:line="266" w:lineRule="auto"/>
        <w:tabs>
          <w:tab w:leader="none" w:pos="217" w:val="left"/>
        </w:tabs>
        <w:numPr>
          <w:ilvl w:val="0"/>
          <w:numId w:val="154"/>
        </w:numPr>
        <w:rPr>
          <w:rFonts w:ascii="Arial" w:cs="Arial" w:eastAsia="Arial" w:hAnsi="Arial"/>
          <w:sz w:val="16"/>
          <w:szCs w:val="16"/>
          <w:b w:val="1"/>
          <w:bCs w:val="1"/>
          <w:color w:val="D7282F"/>
        </w:rPr>
      </w:pPr>
      <w:r>
        <w:rPr>
          <w:rFonts w:ascii="Arial" w:cs="Arial" w:eastAsia="Arial" w:hAnsi="Arial"/>
          <w:sz w:val="16"/>
          <w:szCs w:val="16"/>
          <w:color w:val="auto"/>
        </w:rPr>
        <w:t>Adjusted at measurement to exclude the impact of corporate transactions during the period (e.g., acquisitions and divestitures) and fluctuations in foreign currency rates.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D6E71"/>
        </w:rPr>
        <w:t>3-YEAR AVERAGE SEGMENT MARGIN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97790</wp:posOffset>
            </wp:positionV>
            <wp:extent cx="171450" cy="1714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20" w:right="160" w:hanging="194"/>
        <w:spacing w:after="0" w:line="275" w:lineRule="auto"/>
        <w:tabs>
          <w:tab w:leader="none" w:pos="21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Focuses executives on driving continued operational improvements and delivering synergies from recent corporate actions and prior period acquisitions.</w:t>
      </w:r>
    </w:p>
    <w:p>
      <w:pPr>
        <w:spacing w:after="0" w:line="29" w:lineRule="exact"/>
        <w:rPr>
          <w:rFonts w:ascii="Arial" w:cs="Arial" w:eastAsia="Arial" w:hAnsi="Arial"/>
          <w:sz w:val="16"/>
          <w:szCs w:val="16"/>
          <w:b w:val="1"/>
          <w:bCs w:val="1"/>
          <w:color w:val="D7282F"/>
        </w:rPr>
      </w:pPr>
    </w:p>
    <w:p>
      <w:pPr>
        <w:ind w:left="220" w:right="60" w:hanging="194"/>
        <w:spacing w:after="0" w:line="266" w:lineRule="auto"/>
        <w:tabs>
          <w:tab w:leader="none" w:pos="217" w:val="left"/>
        </w:tabs>
        <w:numPr>
          <w:ilvl w:val="0"/>
          <w:numId w:val="155"/>
        </w:numPr>
        <w:rPr>
          <w:rFonts w:ascii="Arial" w:cs="Arial" w:eastAsia="Arial" w:hAnsi="Arial"/>
          <w:sz w:val="16"/>
          <w:szCs w:val="16"/>
          <w:b w:val="1"/>
          <w:bCs w:val="1"/>
          <w:color w:val="D7282F"/>
        </w:rPr>
      </w:pPr>
      <w:r>
        <w:rPr>
          <w:rFonts w:ascii="Arial" w:cs="Arial" w:eastAsia="Arial" w:hAnsi="Arial"/>
          <w:sz w:val="16"/>
          <w:szCs w:val="16"/>
          <w:color w:val="auto"/>
        </w:rPr>
        <w:t>Adjusted at measurement to exclude the impact of corporate transactions during the period. Results will not be adjusted for foreign currency changes over the cycle.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3-YEAR AVERAGE ROI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71450" cy="1714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00" w:right="580" w:hanging="195"/>
        <w:spacing w:after="0" w:line="286" w:lineRule="auto"/>
        <w:tabs>
          <w:tab w:leader="none" w:pos="197" w:val="left"/>
        </w:tabs>
        <w:numPr>
          <w:ilvl w:val="0"/>
          <w:numId w:val="156"/>
        </w:numPr>
        <w:rPr>
          <w:rFonts w:ascii="Arial" w:cs="Arial" w:eastAsia="Arial" w:hAnsi="Arial"/>
          <w:sz w:val="16"/>
          <w:szCs w:val="16"/>
          <w:b w:val="1"/>
          <w:bCs w:val="1"/>
          <w:color w:val="D7282F"/>
        </w:rPr>
      </w:pPr>
      <w:r>
        <w:rPr>
          <w:rFonts w:ascii="Arial" w:cs="Arial" w:eastAsia="Arial" w:hAnsi="Arial"/>
          <w:sz w:val="16"/>
          <w:szCs w:val="16"/>
          <w:color w:val="auto"/>
        </w:rPr>
        <w:t>Focuses leadership on making investment decisions that deliver profitable growth.</w:t>
      </w:r>
    </w:p>
    <w:p>
      <w:pPr>
        <w:spacing w:after="0" w:line="20" w:lineRule="exact"/>
        <w:rPr>
          <w:rFonts w:ascii="Arial" w:cs="Arial" w:eastAsia="Arial" w:hAnsi="Arial"/>
          <w:sz w:val="16"/>
          <w:szCs w:val="16"/>
          <w:b w:val="1"/>
          <w:bCs w:val="1"/>
          <w:color w:val="D7282F"/>
        </w:rPr>
      </w:pPr>
    </w:p>
    <w:p>
      <w:pPr>
        <w:ind w:left="200" w:right="140" w:hanging="195"/>
        <w:spacing w:after="0" w:line="275" w:lineRule="auto"/>
        <w:tabs>
          <w:tab w:leader="none" w:pos="197" w:val="left"/>
        </w:tabs>
        <w:numPr>
          <w:ilvl w:val="0"/>
          <w:numId w:val="156"/>
        </w:numPr>
        <w:rPr>
          <w:rFonts w:ascii="Arial" w:cs="Arial" w:eastAsia="Arial" w:hAnsi="Arial"/>
          <w:sz w:val="16"/>
          <w:szCs w:val="16"/>
          <w:b w:val="1"/>
          <w:bCs w:val="1"/>
          <w:color w:val="D7282F"/>
        </w:rPr>
      </w:pPr>
      <w:r>
        <w:rPr>
          <w:rFonts w:ascii="Arial" w:cs="Arial" w:eastAsia="Arial" w:hAnsi="Arial"/>
          <w:sz w:val="16"/>
          <w:szCs w:val="16"/>
          <w:color w:val="auto"/>
        </w:rPr>
        <w:t>Adjusted at measurement to exclude the impact of corporate transactions during the period and the impact of pensions. Results will not be adjusted for foreign currency changes over the cycle.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6D6E71"/>
        </w:rPr>
        <w:t>3-YEAR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71450" cy="1714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1"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D7282F"/>
        </w:rPr>
        <w:t>(25%)</w:t>
      </w:r>
    </w:p>
    <w:p>
      <w:pPr>
        <w:spacing w:after="0" w:line="302" w:lineRule="exact"/>
        <w:rPr>
          <w:sz w:val="20"/>
          <w:szCs w:val="20"/>
          <w:color w:val="auto"/>
        </w:rPr>
      </w:pPr>
    </w:p>
    <w:p>
      <w:pPr>
        <w:ind w:left="200" w:right="320" w:hanging="195"/>
        <w:spacing w:after="0" w:line="275" w:lineRule="auto"/>
        <w:tabs>
          <w:tab w:leader="none" w:pos="197" w:val="left"/>
        </w:tabs>
        <w:numPr>
          <w:ilvl w:val="0"/>
          <w:numId w:val="157"/>
        </w:numPr>
        <w:rPr>
          <w:rFonts w:ascii="Arial" w:cs="Arial" w:eastAsia="Arial" w:hAnsi="Arial"/>
          <w:sz w:val="16"/>
          <w:szCs w:val="16"/>
          <w:b w:val="1"/>
          <w:bCs w:val="1"/>
          <w:color w:val="D7282F"/>
        </w:rPr>
      </w:pPr>
      <w:r>
        <w:rPr>
          <w:rFonts w:ascii="Arial" w:cs="Arial" w:eastAsia="Arial" w:hAnsi="Arial"/>
          <w:sz w:val="16"/>
          <w:szCs w:val="16"/>
          <w:color w:val="auto"/>
        </w:rPr>
        <w:t>Measures Honeywell’s cumulative TSR relative to the 2023 Compensation Peer Group over a three-year performance period of January 1, 2023–December 31, 2025.</w:t>
      </w:r>
    </w:p>
    <w:p>
      <w:pPr>
        <w:spacing w:after="0" w:line="29" w:lineRule="exact"/>
        <w:rPr>
          <w:rFonts w:ascii="Arial" w:cs="Arial" w:eastAsia="Arial" w:hAnsi="Arial"/>
          <w:sz w:val="16"/>
          <w:szCs w:val="16"/>
          <w:b w:val="1"/>
          <w:bCs w:val="1"/>
          <w:color w:val="D7282F"/>
        </w:rPr>
      </w:pPr>
    </w:p>
    <w:p>
      <w:pPr>
        <w:ind w:left="200" w:right="80" w:hanging="195"/>
        <w:spacing w:after="0" w:line="265" w:lineRule="auto"/>
        <w:tabs>
          <w:tab w:leader="none" w:pos="197" w:val="left"/>
        </w:tabs>
        <w:numPr>
          <w:ilvl w:val="0"/>
          <w:numId w:val="157"/>
        </w:numPr>
        <w:rPr>
          <w:rFonts w:ascii="Arial" w:cs="Arial" w:eastAsia="Arial" w:hAnsi="Arial"/>
          <w:sz w:val="16"/>
          <w:szCs w:val="16"/>
          <w:b w:val="1"/>
          <w:bCs w:val="1"/>
          <w:color w:val="D7282F"/>
        </w:rPr>
      </w:pPr>
      <w:r>
        <w:rPr>
          <w:rFonts w:ascii="Arial" w:cs="Arial" w:eastAsia="Arial" w:hAnsi="Arial"/>
          <w:sz w:val="16"/>
          <w:szCs w:val="16"/>
          <w:color w:val="auto"/>
        </w:rPr>
        <w:t>The beginning point for TSR determination (all companies) will be based on an average using the first 30 trading days of the performance period. The ending point will be based on an average using the last 30 trading days of the performance period.</w:t>
      </w:r>
    </w:p>
    <w:p>
      <w:pPr>
        <w:spacing w:after="0" w:line="200" w:lineRule="exact"/>
        <w:rPr>
          <w:sz w:val="20"/>
          <w:szCs w:val="20"/>
          <w:color w:val="auto"/>
        </w:rPr>
      </w:pPr>
    </w:p>
    <w:p>
      <w:pPr>
        <w:sectPr>
          <w:pgSz w:w="11900" w:h="16838" w:orient="portrait"/>
          <w:cols w:equalWidth="0" w:num="2">
            <w:col w:w="5520" w:space="360"/>
            <w:col w:w="5360"/>
          </w:cols>
          <w:pgMar w:left="320" w:top="230" w:right="339" w:bottom="1440" w:gutter="0" w:footer="0" w:header="0"/>
          <w:type w:val="continuous"/>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-367665</wp:posOffset>
            </wp:positionV>
            <wp:extent cx="548640" cy="1028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line="265" w:lineRule="auto"/>
        <w:rPr>
          <w:sz w:val="20"/>
          <w:szCs w:val="20"/>
          <w:color w:val="auto"/>
        </w:rPr>
      </w:pPr>
      <w:r>
        <w:rPr>
          <w:rFonts w:ascii="Arial" w:cs="Arial" w:eastAsia="Arial" w:hAnsi="Arial"/>
          <w:sz w:val="16"/>
          <w:szCs w:val="16"/>
          <w:color w:val="auto"/>
        </w:rPr>
        <w:t>For the Corporate NEOs, awards are earned based on performance against the Total Honeywell goals stated above. For the Business Unit NEOs, the financial goals portion of the award (75% of the award value, at target) is based on a mix of performance against the Total Honeywell (HON) goals and goals set for their respective business unit (mix shown below). Like the Corporate NEOs, the Business Unit NEOs have 25% of their award based on performance against the three-year Relative TSR metric noted above. If an NEO transfers between business units during the performance period, the final payout is prorated based on the number of days spent in each respective business unit during the three years covered by the award.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6D6E71"/>
        </w:rPr>
        <w:t>CORPORATE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192405</wp:posOffset>
            </wp:positionV>
            <wp:extent cx="3454400" cy="130302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5440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6D6E71"/>
        </w:rPr>
        <w:t>BUSINESS UNIT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89535</wp:posOffset>
            </wp:positionV>
            <wp:extent cx="4440555" cy="1405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444055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2023–2025 PERFORMANCE PLAN GOALS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February 2023, the MDCC approved robust financial targets for the 2023-2025 performance plan. All approved financial targets represent a significant increase over the prior year, as well as appropriately challenging year-over-year improvement in each year of the three-year performance period, all aligned to the Honeywell long-term financial algorithm of 4%–7% organic growth and 40 bps–60 bps of margin expansion.</w:t>
      </w:r>
    </w:p>
    <w:p>
      <w:pPr>
        <w:spacing w:after="0" w:line="20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70</w:t>
      </w:r>
      <w:r>
        <w:rPr>
          <w:sz w:val="20"/>
          <w:szCs w:val="20"/>
          <w:color w:val="auto"/>
        </w:rPr>
        <w:tab/>
      </w:r>
      <w:r>
        <w:rPr>
          <w:sz w:val="1"/>
          <w:szCs w:val="1"/>
          <w:color w:val="auto"/>
        </w:rPr>
        <w:drawing>
          <wp:inline distT="0" distB="0" distL="0" distR="0">
            <wp:extent cx="548640" cy="10287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table below sets out each metric at the Total Honeywell level, along with their respective goals, and the percentage of PSUs awarded that would be earned at each specified level of performance. No PSUs will be earned for a metric if performance falls below the noted threshold. If the Company’s performance for any of the performance metrics falls between the percentages listed on the table, the percentage of PSUs earned shall be determined by linear interpolation.</w:t>
      </w:r>
    </w:p>
    <w:p>
      <w:pPr>
        <w:spacing w:after="0" w:line="137" w:lineRule="exact"/>
        <w:rPr>
          <w:sz w:val="20"/>
          <w:szCs w:val="20"/>
          <w:color w:val="auto"/>
        </w:rPr>
      </w:pPr>
    </w:p>
    <w:tbl>
      <w:tblPr>
        <w:tblLayout w:type="fixed"/>
        <w:tblInd w:w="1120" w:type="dxa"/>
        <w:tblCellMar>
          <w:top w:w="0" w:type="dxa"/>
          <w:left w:w="0" w:type="dxa"/>
          <w:bottom w:w="0" w:type="dxa"/>
          <w:right w:w="0" w:type="dxa"/>
        </w:tblCellMar>
      </w:tblPr>
      <w:tr>
        <w:trPr>
          <w:trHeight w:val="205"/>
        </w:trPr>
        <w:tc>
          <w:tcPr>
            <w:tcW w:w="3540" w:type="dxa"/>
            <w:vAlign w:val="bottom"/>
            <w:tcBorders>
              <w:bottom w:val="single" w:sz="8" w:color="D7282F"/>
            </w:tcBorders>
          </w:tcPr>
          <w:p>
            <w:pPr>
              <w:ind w:left="2340"/>
              <w:spacing w:after="0"/>
              <w:rPr>
                <w:sz w:val="20"/>
                <w:szCs w:val="20"/>
                <w:color w:val="auto"/>
              </w:rPr>
            </w:pPr>
            <w:r>
              <w:rPr>
                <w:rFonts w:ascii="Arial" w:cs="Arial" w:eastAsia="Arial" w:hAnsi="Arial"/>
                <w:sz w:val="14"/>
                <w:szCs w:val="14"/>
                <w:b w:val="1"/>
                <w:bCs w:val="1"/>
                <w:color w:val="auto"/>
              </w:rPr>
              <w:t>Threshold</w:t>
            </w:r>
          </w:p>
        </w:tc>
        <w:tc>
          <w:tcPr>
            <w:tcW w:w="1420" w:type="dxa"/>
            <w:vAlign w:val="bottom"/>
            <w:tcBorders>
              <w:bottom w:val="single" w:sz="8" w:color="D7282F"/>
            </w:tcBorders>
          </w:tcPr>
          <w:p>
            <w:pPr>
              <w:ind w:left="500"/>
              <w:spacing w:after="0"/>
              <w:rPr>
                <w:sz w:val="20"/>
                <w:szCs w:val="20"/>
                <w:color w:val="auto"/>
              </w:rPr>
            </w:pPr>
            <w:r>
              <w:rPr>
                <w:rFonts w:ascii="Arial" w:cs="Arial" w:eastAsia="Arial" w:hAnsi="Arial"/>
                <w:sz w:val="14"/>
                <w:szCs w:val="14"/>
                <w:b w:val="1"/>
                <w:bCs w:val="1"/>
                <w:color w:val="auto"/>
              </w:rPr>
              <w:t>Target</w:t>
            </w:r>
          </w:p>
        </w:tc>
        <w:tc>
          <w:tcPr>
            <w:tcW w:w="1820" w:type="dxa"/>
            <w:vAlign w:val="bottom"/>
            <w:tcBorders>
              <w:bottom w:val="single" w:sz="8" w:color="D7282F"/>
            </w:tcBorders>
          </w:tcPr>
          <w:p>
            <w:pPr>
              <w:ind w:left="480"/>
              <w:spacing w:after="0"/>
              <w:rPr>
                <w:sz w:val="20"/>
                <w:szCs w:val="20"/>
                <w:color w:val="auto"/>
              </w:rPr>
            </w:pPr>
            <w:r>
              <w:rPr>
                <w:rFonts w:ascii="Arial" w:cs="Arial" w:eastAsia="Arial" w:hAnsi="Arial"/>
                <w:sz w:val="14"/>
                <w:szCs w:val="14"/>
                <w:b w:val="1"/>
                <w:bCs w:val="1"/>
                <w:color w:val="auto"/>
              </w:rPr>
              <w:t>150% Payout</w:t>
            </w:r>
          </w:p>
        </w:tc>
        <w:tc>
          <w:tcPr>
            <w:tcW w:w="2240" w:type="dxa"/>
            <w:vAlign w:val="bottom"/>
            <w:tcBorders>
              <w:bottom w:val="single" w:sz="8" w:color="D7282F"/>
            </w:tcBorders>
            <w:gridSpan w:val="4"/>
          </w:tcPr>
          <w:p>
            <w:pPr>
              <w:ind w:left="46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41"/>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3-Year</w:t>
            </w:r>
          </w:p>
        </w:tc>
        <w:tc>
          <w:tcPr>
            <w:tcW w:w="14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939598"/>
            </w:tcBorders>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5"/>
        </w:trPr>
        <w:tc>
          <w:tcPr>
            <w:tcW w:w="35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939598"/>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Cumulative</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Revenue ($M)</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939598"/>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tcBorders>
              <w:bottom w:val="single" w:sz="8" w:color="939598"/>
            </w:tcBorders>
          </w:tcPr>
          <w:p>
            <w:pPr>
              <w:spacing w:after="0"/>
              <w:rPr>
                <w:sz w:val="17"/>
                <w:szCs w:val="17"/>
                <w:color w:val="auto"/>
              </w:rPr>
            </w:pPr>
          </w:p>
        </w:tc>
        <w:tc>
          <w:tcPr>
            <w:tcW w:w="1420" w:type="dxa"/>
            <w:vAlign w:val="bottom"/>
            <w:tcBorders>
              <w:bottom w:val="single" w:sz="8" w:color="939598"/>
            </w:tcBorders>
          </w:tcPr>
          <w:p>
            <w:pPr>
              <w:spacing w:after="0"/>
              <w:rPr>
                <w:sz w:val="17"/>
                <w:szCs w:val="17"/>
                <w:color w:val="auto"/>
              </w:rPr>
            </w:pPr>
          </w:p>
        </w:tc>
        <w:tc>
          <w:tcPr>
            <w:tcW w:w="1820" w:type="dxa"/>
            <w:vAlign w:val="bottom"/>
            <w:tcBorders>
              <w:bottom w:val="single" w:sz="8" w:color="939598"/>
            </w:tcBorders>
          </w:tcPr>
          <w:p>
            <w:pPr>
              <w:spacing w:after="0"/>
              <w:rPr>
                <w:sz w:val="17"/>
                <w:szCs w:val="17"/>
                <w:color w:val="auto"/>
              </w:rPr>
            </w:pPr>
          </w:p>
        </w:tc>
        <w:tc>
          <w:tcPr>
            <w:tcW w:w="1160" w:type="dxa"/>
            <w:vAlign w:val="bottom"/>
            <w:tcBorders>
              <w:bottom w:val="single" w:sz="8" w:color="939598"/>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939598"/>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3-Year</w:t>
            </w:r>
          </w:p>
        </w:tc>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939598"/>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Average</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Segment</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Margin</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Rate</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939598"/>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
        </w:trPr>
        <w:tc>
          <w:tcPr>
            <w:tcW w:w="3540" w:type="dxa"/>
            <w:vAlign w:val="bottom"/>
            <w:tcBorders>
              <w:bottom w:val="single" w:sz="8" w:color="939598"/>
            </w:tcBorders>
          </w:tcPr>
          <w:p>
            <w:pPr>
              <w:spacing w:after="0"/>
              <w:rPr>
                <w:sz w:val="6"/>
                <w:szCs w:val="6"/>
                <w:color w:val="auto"/>
              </w:rPr>
            </w:pPr>
          </w:p>
        </w:tc>
        <w:tc>
          <w:tcPr>
            <w:tcW w:w="1420" w:type="dxa"/>
            <w:vAlign w:val="bottom"/>
            <w:tcBorders>
              <w:bottom w:val="single" w:sz="8" w:color="939598"/>
            </w:tcBorders>
          </w:tcPr>
          <w:p>
            <w:pPr>
              <w:spacing w:after="0"/>
              <w:rPr>
                <w:sz w:val="6"/>
                <w:szCs w:val="6"/>
                <w:color w:val="auto"/>
              </w:rPr>
            </w:pPr>
          </w:p>
        </w:tc>
        <w:tc>
          <w:tcPr>
            <w:tcW w:w="1820" w:type="dxa"/>
            <w:vAlign w:val="bottom"/>
            <w:tcBorders>
              <w:bottom w:val="single" w:sz="8" w:color="939598"/>
            </w:tcBorders>
          </w:tcPr>
          <w:p>
            <w:pPr>
              <w:spacing w:after="0"/>
              <w:rPr>
                <w:sz w:val="6"/>
                <w:szCs w:val="6"/>
                <w:color w:val="auto"/>
              </w:rPr>
            </w:pPr>
          </w:p>
        </w:tc>
        <w:tc>
          <w:tcPr>
            <w:tcW w:w="1160" w:type="dxa"/>
            <w:vAlign w:val="bottom"/>
            <w:tcBorders>
              <w:bottom w:val="single" w:sz="8" w:color="939598"/>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right w:val="single" w:sz="8" w:color="939598"/>
            </w:tcBorders>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3-Year</w:t>
            </w:r>
          </w:p>
        </w:tc>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right w:val="single" w:sz="8" w:color="939598"/>
            </w:tcBorders>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Average ROI</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939598"/>
            </w:tcBorders>
          </w:tcPr>
          <w:p>
            <w:pPr>
              <w:spacing w:after="0"/>
              <w:rPr>
                <w:sz w:val="17"/>
                <w:szCs w:val="17"/>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D7282F"/>
              </w:rPr>
              <w:t>TOTAL</w:t>
            </w:r>
          </w:p>
        </w:tc>
        <w:tc>
          <w:tcPr>
            <w:tcW w:w="0" w:type="dxa"/>
            <w:vAlign w:val="bottom"/>
          </w:tcPr>
          <w:p>
            <w:pPr>
              <w:spacing w:after="0"/>
              <w:rPr>
                <w:sz w:val="1"/>
                <w:szCs w:val="1"/>
                <w:color w:val="auto"/>
              </w:rPr>
            </w:pPr>
          </w:p>
        </w:tc>
      </w:tr>
      <w:tr>
        <w:trPr>
          <w:trHeight w:val="101"/>
        </w:trPr>
        <w:tc>
          <w:tcPr>
            <w:tcW w:w="35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right w:val="single" w:sz="8" w:color="939598"/>
            </w:tcBorders>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D7282F"/>
              </w:rPr>
              <w:t>MAXIMUM</w:t>
            </w: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 of PSUs</w:t>
            </w:r>
          </w:p>
        </w:tc>
        <w:tc>
          <w:tcPr>
            <w:tcW w:w="14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right w:val="single" w:sz="8" w:color="939598"/>
            </w:tcBorders>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D7282F"/>
              </w:rPr>
              <w:t>PAYOUT</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Earned</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D7282F"/>
              </w:rPr>
              <w:t>CAPPED</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for Each</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b w:val="1"/>
                <w:bCs w:val="1"/>
                <w:color w:val="D7282F"/>
              </w:rPr>
              <w:t>AT 200%</w:t>
            </w: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Metric</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939598"/>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Borders>
              <w:bottom w:val="single" w:sz="8" w:color="D7282F"/>
            </w:tcBorders>
          </w:tcPr>
          <w:p>
            <w:pPr>
              <w:spacing w:after="0"/>
              <w:rPr>
                <w:sz w:val="15"/>
                <w:szCs w:val="15"/>
                <w:color w:val="auto"/>
              </w:rPr>
            </w:pPr>
          </w:p>
        </w:tc>
        <w:tc>
          <w:tcPr>
            <w:tcW w:w="1420" w:type="dxa"/>
            <w:vAlign w:val="bottom"/>
            <w:tcBorders>
              <w:bottom w:val="single" w:sz="8" w:color="D7282F"/>
            </w:tcBorders>
          </w:tcPr>
          <w:p>
            <w:pPr>
              <w:spacing w:after="0"/>
              <w:rPr>
                <w:sz w:val="15"/>
                <w:szCs w:val="15"/>
                <w:color w:val="auto"/>
              </w:rPr>
            </w:pPr>
          </w:p>
        </w:tc>
        <w:tc>
          <w:tcPr>
            <w:tcW w:w="1820" w:type="dxa"/>
            <w:vAlign w:val="bottom"/>
            <w:tcBorders>
              <w:bottom w:val="single" w:sz="8" w:color="D7282F"/>
            </w:tcBorders>
          </w:tcPr>
          <w:p>
            <w:pPr>
              <w:spacing w:after="0"/>
              <w:rPr>
                <w:sz w:val="15"/>
                <w:szCs w:val="15"/>
                <w:color w:val="auto"/>
              </w:rPr>
            </w:pPr>
          </w:p>
        </w:tc>
        <w:tc>
          <w:tcPr>
            <w:tcW w:w="1160" w:type="dxa"/>
            <w:vAlign w:val="bottom"/>
            <w:tcBorders>
              <w:bottom w:val="single" w:sz="8" w:color="D7282F"/>
            </w:tcBorders>
          </w:tcPr>
          <w:p>
            <w:pPr>
              <w:spacing w:after="0"/>
              <w:rPr>
                <w:sz w:val="15"/>
                <w:szCs w:val="15"/>
                <w:color w:val="auto"/>
              </w:rPr>
            </w:pPr>
          </w:p>
        </w:tc>
        <w:tc>
          <w:tcPr>
            <w:tcW w:w="260" w:type="dxa"/>
            <w:vAlign w:val="bottom"/>
            <w:tcBorders>
              <w:right w:val="single" w:sz="8" w:color="939598"/>
            </w:tcBorders>
            <w:gridSpan w:val="2"/>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354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Threshold</w:t>
            </w:r>
          </w:p>
        </w:tc>
        <w:tc>
          <w:tcPr>
            <w:tcW w:w="1420" w:type="dxa"/>
            <w:vAlign w:val="bottom"/>
          </w:tcPr>
          <w:p>
            <w:pPr>
              <w:ind w:left="500"/>
              <w:spacing w:after="0"/>
              <w:rPr>
                <w:sz w:val="20"/>
                <w:szCs w:val="20"/>
                <w:color w:val="auto"/>
              </w:rPr>
            </w:pPr>
            <w:r>
              <w:rPr>
                <w:rFonts w:ascii="Arial" w:cs="Arial" w:eastAsia="Arial" w:hAnsi="Arial"/>
                <w:sz w:val="14"/>
                <w:szCs w:val="14"/>
                <w:b w:val="1"/>
                <w:bCs w:val="1"/>
                <w:color w:val="auto"/>
              </w:rPr>
              <w:t>Target</w:t>
            </w:r>
          </w:p>
        </w:tc>
        <w:tc>
          <w:tcPr>
            <w:tcW w:w="1820" w:type="dxa"/>
            <w:vAlign w:val="bottom"/>
          </w:tcPr>
          <w:p>
            <w:pPr>
              <w:ind w:left="480"/>
              <w:spacing w:after="0"/>
              <w:rPr>
                <w:sz w:val="20"/>
                <w:szCs w:val="20"/>
                <w:color w:val="auto"/>
              </w:rPr>
            </w:pPr>
            <w:r>
              <w:rPr>
                <w:rFonts w:ascii="Arial" w:cs="Arial" w:eastAsia="Arial" w:hAnsi="Arial"/>
                <w:sz w:val="14"/>
                <w:szCs w:val="14"/>
                <w:b w:val="1"/>
                <w:bCs w:val="1"/>
                <w:color w:val="auto"/>
              </w:rPr>
              <w:t>150% Payout</w:t>
            </w:r>
          </w:p>
        </w:tc>
        <w:tc>
          <w:tcPr>
            <w:tcW w:w="1420" w:type="dxa"/>
            <w:vAlign w:val="bottom"/>
            <w:tcBorders>
              <w:right w:val="single" w:sz="8" w:color="939598"/>
            </w:tcBorders>
            <w:gridSpan w:val="3"/>
          </w:tcPr>
          <w:p>
            <w:pPr>
              <w:ind w:left="460"/>
              <w:spacing w:after="0"/>
              <w:rPr>
                <w:sz w:val="20"/>
                <w:szCs w:val="20"/>
                <w:color w:val="auto"/>
              </w:rPr>
            </w:pPr>
            <w:r>
              <w:rPr>
                <w:rFonts w:ascii="Arial" w:cs="Arial" w:eastAsia="Arial" w:hAnsi="Arial"/>
                <w:sz w:val="14"/>
                <w:szCs w:val="14"/>
                <w:b w:val="1"/>
                <w:bCs w:val="1"/>
                <w:color w:val="auto"/>
              </w:rPr>
              <w:t>Maximum</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right w:val="single" w:sz="8" w:color="939598"/>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540" w:type="dxa"/>
            <w:vAlign w:val="bottom"/>
            <w:tcBorders>
              <w:bottom w:val="single" w:sz="8" w:color="D7282F"/>
            </w:tcBorders>
          </w:tcPr>
          <w:p>
            <w:pPr>
              <w:spacing w:after="0"/>
              <w:rPr>
                <w:sz w:val="10"/>
                <w:szCs w:val="10"/>
                <w:color w:val="auto"/>
              </w:rPr>
            </w:pPr>
          </w:p>
        </w:tc>
        <w:tc>
          <w:tcPr>
            <w:tcW w:w="1420" w:type="dxa"/>
            <w:vAlign w:val="bottom"/>
            <w:tcBorders>
              <w:bottom w:val="single" w:sz="8" w:color="D7282F"/>
            </w:tcBorders>
          </w:tcPr>
          <w:p>
            <w:pPr>
              <w:spacing w:after="0"/>
              <w:rPr>
                <w:sz w:val="10"/>
                <w:szCs w:val="10"/>
                <w:color w:val="auto"/>
              </w:rPr>
            </w:pPr>
          </w:p>
        </w:tc>
        <w:tc>
          <w:tcPr>
            <w:tcW w:w="1820" w:type="dxa"/>
            <w:vAlign w:val="bottom"/>
            <w:tcBorders>
              <w:bottom w:val="single" w:sz="8" w:color="D7282F"/>
            </w:tcBorders>
          </w:tcPr>
          <w:p>
            <w:pPr>
              <w:spacing w:after="0"/>
              <w:rPr>
                <w:sz w:val="10"/>
                <w:szCs w:val="10"/>
                <w:color w:val="auto"/>
              </w:rPr>
            </w:pPr>
          </w:p>
        </w:tc>
        <w:tc>
          <w:tcPr>
            <w:tcW w:w="1160" w:type="dxa"/>
            <w:vAlign w:val="bottom"/>
            <w:tcBorders>
              <w:bottom w:val="single" w:sz="8" w:color="D7282F"/>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right w:val="single" w:sz="8" w:color="939598"/>
            </w:tcBorders>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2"/>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3-Year Relative</w:t>
            </w: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939598"/>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TSR</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right w:val="single" w:sz="8" w:color="939598"/>
            </w:tcBorders>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Percentile</w:t>
            </w:r>
            <w:r>
              <w:rPr>
                <w:rFonts w:ascii="Arial" w:cs="Arial" w:eastAsia="Arial" w:hAnsi="Arial"/>
                <w:sz w:val="18"/>
                <w:szCs w:val="18"/>
                <w:b w:val="1"/>
                <w:bCs w:val="1"/>
                <w:color w:val="auto"/>
                <w:vertAlign w:val="superscript"/>
              </w:rPr>
              <w:t>(1)</w:t>
            </w:r>
          </w:p>
        </w:tc>
        <w:tc>
          <w:tcPr>
            <w:tcW w:w="1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right w:val="single" w:sz="8" w:color="939598"/>
            </w:tcBorders>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 of PSUs</w:t>
            </w:r>
          </w:p>
        </w:tc>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right w:val="single" w:sz="8" w:color="939598"/>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D7282F"/>
              </w:rPr>
              <w:t>Earned</w:t>
            </w:r>
          </w:p>
        </w:tc>
        <w:tc>
          <w:tcPr>
            <w:tcW w:w="14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right w:val="single" w:sz="8" w:color="939598"/>
            </w:tcBorders>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35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bottom w:val="single" w:sz="8" w:color="939598"/>
              <w:right w:val="single" w:sz="8" w:color="939598"/>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540" w:type="dxa"/>
            <w:vAlign w:val="bottom"/>
            <w:tcBorders>
              <w:bottom w:val="single" w:sz="8" w:color="D7282F"/>
            </w:tcBorders>
          </w:tcPr>
          <w:p>
            <w:pPr>
              <w:spacing w:after="0"/>
              <w:rPr>
                <w:sz w:val="2"/>
                <w:szCs w:val="2"/>
                <w:color w:val="auto"/>
              </w:rPr>
            </w:pPr>
          </w:p>
        </w:tc>
        <w:tc>
          <w:tcPr>
            <w:tcW w:w="1420" w:type="dxa"/>
            <w:vAlign w:val="bottom"/>
            <w:tcBorders>
              <w:bottom w:val="single" w:sz="8" w:color="D7282F"/>
            </w:tcBorders>
          </w:tcPr>
          <w:p>
            <w:pPr>
              <w:spacing w:after="0"/>
              <w:rPr>
                <w:sz w:val="2"/>
                <w:szCs w:val="2"/>
                <w:color w:val="auto"/>
              </w:rPr>
            </w:pPr>
          </w:p>
        </w:tc>
        <w:tc>
          <w:tcPr>
            <w:tcW w:w="1820" w:type="dxa"/>
            <w:vAlign w:val="bottom"/>
            <w:tcBorders>
              <w:bottom w:val="single" w:sz="8" w:color="D7282F"/>
            </w:tcBorders>
          </w:tcPr>
          <w:p>
            <w:pPr>
              <w:spacing w:after="0"/>
              <w:rPr>
                <w:sz w:val="2"/>
                <w:szCs w:val="2"/>
                <w:color w:val="auto"/>
              </w:rPr>
            </w:pPr>
          </w:p>
        </w:tc>
        <w:tc>
          <w:tcPr>
            <w:tcW w:w="1160" w:type="dxa"/>
            <w:vAlign w:val="bottom"/>
            <w:tcBorders>
              <w:bottom w:val="single" w:sz="8" w:color="D7282F"/>
            </w:tcBorders>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14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-3428365</wp:posOffset>
            </wp:positionV>
            <wp:extent cx="4123055" cy="3257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123055" cy="3257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-2811145</wp:posOffset>
            </wp:positionV>
            <wp:extent cx="4123055" cy="3257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123055" cy="3257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-2159635</wp:posOffset>
            </wp:positionV>
            <wp:extent cx="4131945" cy="6858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4131945" cy="685800"/>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-770890</wp:posOffset>
            </wp:positionV>
            <wp:extent cx="4157345" cy="55753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157345" cy="55753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Effective tax rate assumed in targets will be held neutral to target at the time of measurement. Quantinuum business financials excluded from targets and will be excluded at the time of measurement.</w:t>
      </w:r>
    </w:p>
    <w:p>
      <w:pPr>
        <w:spacing w:after="0" w:line="60" w:lineRule="exact"/>
        <w:rPr>
          <w:sz w:val="20"/>
          <w:szCs w:val="20"/>
          <w:color w:val="auto"/>
        </w:rPr>
      </w:pPr>
    </w:p>
    <w:p>
      <w:pPr>
        <w:ind w:left="200" w:hanging="192"/>
        <w:spacing w:after="0"/>
        <w:tabs>
          <w:tab w:leader="none" w:pos="200" w:val="left"/>
        </w:tabs>
        <w:numPr>
          <w:ilvl w:val="0"/>
          <w:numId w:val="158"/>
        </w:numPr>
        <w:rPr>
          <w:rFonts w:ascii="Arial" w:cs="Arial" w:eastAsia="Arial" w:hAnsi="Arial"/>
          <w:sz w:val="16"/>
          <w:szCs w:val="16"/>
          <w:color w:val="auto"/>
          <w:vertAlign w:val="superscript"/>
        </w:rPr>
      </w:pPr>
      <w:r>
        <w:rPr>
          <w:rFonts w:ascii="Arial" w:cs="Arial" w:eastAsia="Arial" w:hAnsi="Arial"/>
          <w:sz w:val="13"/>
          <w:szCs w:val="13"/>
          <w:color w:val="auto"/>
        </w:rPr>
        <w:t>Three-year Relative TSR vs the 2023 Compensation Peer Group companies for period of January 1, 2023–December 31, 2025.</w:t>
      </w:r>
    </w:p>
    <w:p>
      <w:pPr>
        <w:spacing w:after="0" w:line="20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Performance Plan is an important component aimed at driving progress toward the achievement of the long-term commitments we have made to our shareowners. At our investor day event in March 2023, we reiterated our updated corporate long-term targets (which were increased in March 2022), reflecting progress on our breakthrough technology and transformation initiatives, strong multi-year performance and our commitment to rigorous target setting. These updated targets also reflect our strong positions in favorable end markets across our portfolio.</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180" w:type="dxa"/>
            <w:vAlign w:val="bottom"/>
            <w:shd w:val="clear" w:color="auto" w:fill="D7282F"/>
          </w:tcPr>
          <w:p>
            <w:pPr>
              <w:ind w:left="160"/>
              <w:spacing w:after="0"/>
              <w:rPr>
                <w:sz w:val="20"/>
                <w:szCs w:val="20"/>
                <w:color w:val="auto"/>
              </w:rPr>
            </w:pPr>
            <w:r>
              <w:rPr>
                <w:rFonts w:ascii="Arial" w:cs="Arial" w:eastAsia="Arial" w:hAnsi="Arial"/>
                <w:sz w:val="14"/>
                <w:szCs w:val="14"/>
                <w:b w:val="1"/>
                <w:bCs w:val="1"/>
                <w:color w:val="FFFFFF"/>
              </w:rPr>
              <w:t>KEY METRICS</w:t>
            </w:r>
          </w:p>
        </w:tc>
        <w:tc>
          <w:tcPr>
            <w:tcW w:w="200" w:type="dxa"/>
            <w:vAlign w:val="bottom"/>
          </w:tcPr>
          <w:p>
            <w:pPr>
              <w:spacing w:after="0"/>
              <w:rPr>
                <w:sz w:val="23"/>
                <w:szCs w:val="23"/>
                <w:color w:val="auto"/>
              </w:rPr>
            </w:pPr>
          </w:p>
        </w:tc>
        <w:tc>
          <w:tcPr>
            <w:tcW w:w="3820" w:type="dxa"/>
            <w:vAlign w:val="bottom"/>
            <w:shd w:val="clear" w:color="auto" w:fill="000000"/>
          </w:tcPr>
          <w:p>
            <w:pPr>
              <w:ind w:left="160"/>
              <w:spacing w:after="0"/>
              <w:rPr>
                <w:sz w:val="20"/>
                <w:szCs w:val="20"/>
                <w:color w:val="auto"/>
              </w:rPr>
            </w:pPr>
            <w:r>
              <w:rPr>
                <w:rFonts w:ascii="Arial" w:cs="Arial" w:eastAsia="Arial" w:hAnsi="Arial"/>
                <w:sz w:val="14"/>
                <w:szCs w:val="14"/>
                <w:b w:val="1"/>
                <w:bCs w:val="1"/>
                <w:color w:val="FFFFFF"/>
              </w:rPr>
              <w:t>PRIOR LONG TERM TARGETS</w:t>
            </w:r>
          </w:p>
        </w:tc>
        <w:tc>
          <w:tcPr>
            <w:tcW w:w="20" w:type="dxa"/>
            <w:vAlign w:val="bottom"/>
            <w:shd w:val="clear" w:color="auto" w:fill="000000"/>
          </w:tcPr>
          <w:p>
            <w:pPr>
              <w:spacing w:after="0"/>
              <w:rPr>
                <w:sz w:val="23"/>
                <w:szCs w:val="23"/>
                <w:color w:val="auto"/>
              </w:rPr>
            </w:pPr>
          </w:p>
        </w:tc>
        <w:tc>
          <w:tcPr>
            <w:tcW w:w="3800" w:type="dxa"/>
            <w:vAlign w:val="bottom"/>
            <w:shd w:val="clear" w:color="auto" w:fill="000000"/>
          </w:tcPr>
          <w:p>
            <w:pPr>
              <w:ind w:left="140"/>
              <w:spacing w:after="0"/>
              <w:rPr>
                <w:sz w:val="20"/>
                <w:szCs w:val="20"/>
                <w:color w:val="auto"/>
              </w:rPr>
            </w:pPr>
            <w:r>
              <w:rPr>
                <w:rFonts w:ascii="Arial" w:cs="Arial" w:eastAsia="Arial" w:hAnsi="Arial"/>
                <w:sz w:val="14"/>
                <w:szCs w:val="14"/>
                <w:b w:val="1"/>
                <w:bCs w:val="1"/>
                <w:color w:val="FFFFFF"/>
              </w:rPr>
              <w:t>CURRENT LONG TERM TARGETS</w:t>
            </w:r>
          </w:p>
        </w:tc>
        <w:tc>
          <w:tcPr>
            <w:tcW w:w="0" w:type="dxa"/>
            <w:vAlign w:val="bottom"/>
          </w:tcPr>
          <w:p>
            <w:pPr>
              <w:spacing w:after="0"/>
              <w:rPr>
                <w:sz w:val="1"/>
                <w:szCs w:val="1"/>
                <w:color w:val="auto"/>
              </w:rPr>
            </w:pPr>
          </w:p>
        </w:tc>
      </w:tr>
      <w:tr>
        <w:trPr>
          <w:trHeight w:val="70"/>
        </w:trPr>
        <w:tc>
          <w:tcPr>
            <w:tcW w:w="3180" w:type="dxa"/>
            <w:vAlign w:val="bottom"/>
            <w:shd w:val="clear" w:color="auto" w:fill="D7282F"/>
          </w:tcPr>
          <w:p>
            <w:pPr>
              <w:spacing w:after="0"/>
              <w:rPr>
                <w:sz w:val="6"/>
                <w:szCs w:val="6"/>
                <w:color w:val="auto"/>
              </w:rPr>
            </w:pPr>
          </w:p>
        </w:tc>
        <w:tc>
          <w:tcPr>
            <w:tcW w:w="200" w:type="dxa"/>
            <w:vAlign w:val="bottom"/>
          </w:tcPr>
          <w:p>
            <w:pPr>
              <w:spacing w:after="0"/>
              <w:rPr>
                <w:sz w:val="6"/>
                <w:szCs w:val="6"/>
                <w:color w:val="auto"/>
              </w:rPr>
            </w:pPr>
          </w:p>
        </w:tc>
        <w:tc>
          <w:tcPr>
            <w:tcW w:w="38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8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3%–5%</w:t>
            </w:r>
          </w:p>
        </w:tc>
        <w:tc>
          <w:tcPr>
            <w:tcW w:w="20" w:type="dxa"/>
            <w:vAlign w:val="bottom"/>
          </w:tcPr>
          <w:p>
            <w:pPr>
              <w:spacing w:after="0"/>
              <w:rPr>
                <w:sz w:val="8"/>
                <w:szCs w:val="8"/>
                <w:color w:val="auto"/>
              </w:rPr>
            </w:pPr>
          </w:p>
        </w:tc>
        <w:tc>
          <w:tcPr>
            <w:tcW w:w="3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202"/>
        </w:trPr>
        <w:tc>
          <w:tcPr>
            <w:tcW w:w="318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242424"/>
              </w:rPr>
              <w:t>Sales Growth</w:t>
            </w:r>
          </w:p>
        </w:tc>
        <w:tc>
          <w:tcPr>
            <w:tcW w:w="200" w:type="dxa"/>
            <w:vAlign w:val="bottom"/>
          </w:tcPr>
          <w:p>
            <w:pPr>
              <w:spacing w:after="0"/>
              <w:rPr>
                <w:sz w:val="17"/>
                <w:szCs w:val="17"/>
                <w:color w:val="auto"/>
              </w:rPr>
            </w:pPr>
          </w:p>
        </w:tc>
        <w:tc>
          <w:tcPr>
            <w:tcW w:w="3820" w:type="dxa"/>
            <w:vAlign w:val="bottom"/>
            <w:vMerge w:val="continue"/>
          </w:tcPr>
          <w:p>
            <w:pPr>
              <w:spacing w:after="0"/>
              <w:rPr>
                <w:sz w:val="17"/>
                <w:szCs w:val="17"/>
                <w:color w:val="auto"/>
              </w:rPr>
            </w:pPr>
          </w:p>
        </w:tc>
        <w:tc>
          <w:tcPr>
            <w:tcW w:w="20" w:type="dxa"/>
            <w:vAlign w:val="bottom"/>
            <w:shd w:val="clear" w:color="auto" w:fill="939598"/>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tcBorders>
              <w:bottom w:val="single" w:sz="8" w:color="E6E7E8"/>
            </w:tcBorders>
            <w:shd w:val="clear" w:color="auto" w:fill="E6E7E8"/>
          </w:tcPr>
          <w:p>
            <w:pPr>
              <w:spacing w:after="0"/>
              <w:rPr>
                <w:sz w:val="19"/>
                <w:szCs w:val="19"/>
                <w:color w:val="auto"/>
              </w:rPr>
            </w:pPr>
          </w:p>
        </w:tc>
        <w:tc>
          <w:tcPr>
            <w:tcW w:w="20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Organic Growth</w:t>
            </w:r>
          </w:p>
        </w:tc>
        <w:tc>
          <w:tcPr>
            <w:tcW w:w="20" w:type="dxa"/>
            <w:vAlign w:val="bottom"/>
            <w:tcBorders>
              <w:bottom w:val="single" w:sz="8" w:color="939598"/>
            </w:tcBorders>
            <w:shd w:val="clear" w:color="auto" w:fill="939598"/>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20" w:type="dxa"/>
            <w:vAlign w:val="bottom"/>
            <w:tcBorders>
              <w:bottom w:val="single" w:sz="8" w:color="939598"/>
            </w:tcBorders>
          </w:tcPr>
          <w:p>
            <w:pPr>
              <w:spacing w:after="0"/>
              <w:rPr>
                <w:sz w:val="4"/>
                <w:szCs w:val="4"/>
                <w:color w:val="auto"/>
              </w:rPr>
            </w:pPr>
          </w:p>
        </w:tc>
        <w:tc>
          <w:tcPr>
            <w:tcW w:w="20" w:type="dxa"/>
            <w:vAlign w:val="bottom"/>
            <w:tcBorders>
              <w:bottom w:val="single" w:sz="8" w:color="939598"/>
            </w:tcBorders>
            <w:shd w:val="clear" w:color="auto" w:fill="939598"/>
          </w:tcPr>
          <w:p>
            <w:pPr>
              <w:spacing w:after="0"/>
              <w:rPr>
                <w:sz w:val="4"/>
                <w:szCs w:val="4"/>
                <w:color w:val="auto"/>
              </w:rPr>
            </w:pPr>
          </w:p>
        </w:tc>
        <w:tc>
          <w:tcPr>
            <w:tcW w:w="38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30 bps–50 bps</w:t>
            </w:r>
          </w:p>
        </w:tc>
        <w:tc>
          <w:tcPr>
            <w:tcW w:w="20" w:type="dxa"/>
            <w:vAlign w:val="bottom"/>
            <w:shd w:val="clear" w:color="auto" w:fill="939598"/>
          </w:tcPr>
          <w:p>
            <w:pPr>
              <w:spacing w:after="0"/>
              <w:rPr>
                <w:sz w:val="2"/>
                <w:szCs w:val="2"/>
                <w:color w:val="auto"/>
              </w:rPr>
            </w:pPr>
          </w:p>
        </w:tc>
        <w:tc>
          <w:tcPr>
            <w:tcW w:w="3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40 bps–60 bps</w:t>
            </w:r>
          </w:p>
        </w:tc>
        <w:tc>
          <w:tcPr>
            <w:tcW w:w="0" w:type="dxa"/>
            <w:vAlign w:val="bottom"/>
          </w:tcPr>
          <w:p>
            <w:pPr>
              <w:spacing w:after="0" w:line="20" w:lineRule="exact"/>
              <w:rPr>
                <w:sz w:val="1"/>
                <w:szCs w:val="1"/>
                <w:color w:val="auto"/>
              </w:rPr>
            </w:pPr>
          </w:p>
        </w:tc>
      </w:tr>
      <w:tr>
        <w:trPr>
          <w:trHeight w:val="202"/>
        </w:trPr>
        <w:tc>
          <w:tcPr>
            <w:tcW w:w="318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242424"/>
              </w:rPr>
              <w:t>Segment Margin</w:t>
            </w:r>
          </w:p>
        </w:tc>
        <w:tc>
          <w:tcPr>
            <w:tcW w:w="200" w:type="dxa"/>
            <w:vAlign w:val="bottom"/>
          </w:tcPr>
          <w:p>
            <w:pPr>
              <w:spacing w:after="0"/>
              <w:rPr>
                <w:sz w:val="17"/>
                <w:szCs w:val="17"/>
                <w:color w:val="auto"/>
              </w:rPr>
            </w:pPr>
          </w:p>
        </w:tc>
        <w:tc>
          <w:tcPr>
            <w:tcW w:w="3820" w:type="dxa"/>
            <w:vAlign w:val="bottom"/>
            <w:vMerge w:val="continue"/>
          </w:tcPr>
          <w:p>
            <w:pPr>
              <w:spacing w:after="0"/>
              <w:rPr>
                <w:sz w:val="17"/>
                <w:szCs w:val="17"/>
                <w:color w:val="auto"/>
              </w:rPr>
            </w:pPr>
          </w:p>
        </w:tc>
        <w:tc>
          <w:tcPr>
            <w:tcW w:w="20" w:type="dxa"/>
            <w:vAlign w:val="bottom"/>
            <w:shd w:val="clear" w:color="auto" w:fill="939598"/>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tcBorders>
              <w:bottom w:val="single" w:sz="8" w:color="E6E7E8"/>
            </w:tcBorders>
            <w:shd w:val="clear" w:color="auto" w:fill="E6E7E8"/>
          </w:tcPr>
          <w:p>
            <w:pPr>
              <w:ind w:left="160"/>
              <w:spacing w:after="0"/>
              <w:rPr>
                <w:sz w:val="20"/>
                <w:szCs w:val="20"/>
                <w:color w:val="auto"/>
              </w:rPr>
            </w:pPr>
            <w:r>
              <w:rPr>
                <w:rFonts w:ascii="Arial" w:cs="Arial" w:eastAsia="Arial" w:hAnsi="Arial"/>
                <w:sz w:val="16"/>
                <w:szCs w:val="16"/>
                <w:b w:val="1"/>
                <w:bCs w:val="1"/>
                <w:color w:val="242424"/>
              </w:rPr>
              <w:t>Expansion</w:t>
            </w:r>
          </w:p>
        </w:tc>
        <w:tc>
          <w:tcPr>
            <w:tcW w:w="20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6"/>
                <w:szCs w:val="16"/>
                <w:color w:val="auto"/>
              </w:rPr>
              <w:t>per Year</w:t>
            </w:r>
          </w:p>
        </w:tc>
        <w:tc>
          <w:tcPr>
            <w:tcW w:w="20" w:type="dxa"/>
            <w:vAlign w:val="bottom"/>
            <w:tcBorders>
              <w:bottom w:val="single" w:sz="8" w:color="939598"/>
            </w:tcBorders>
            <w:shd w:val="clear" w:color="auto" w:fill="939598"/>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per Year</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20" w:type="dxa"/>
            <w:vAlign w:val="bottom"/>
            <w:tcBorders>
              <w:bottom w:val="single" w:sz="8" w:color="939598"/>
            </w:tcBorders>
          </w:tcPr>
          <w:p>
            <w:pPr>
              <w:spacing w:after="0"/>
              <w:rPr>
                <w:sz w:val="4"/>
                <w:szCs w:val="4"/>
                <w:color w:val="auto"/>
              </w:rPr>
            </w:pPr>
          </w:p>
        </w:tc>
        <w:tc>
          <w:tcPr>
            <w:tcW w:w="20" w:type="dxa"/>
            <w:vAlign w:val="bottom"/>
            <w:tcBorders>
              <w:bottom w:val="single" w:sz="8" w:color="939598"/>
            </w:tcBorders>
            <w:shd w:val="clear" w:color="auto" w:fill="939598"/>
          </w:tcPr>
          <w:p>
            <w:pPr>
              <w:spacing w:after="0"/>
              <w:rPr>
                <w:sz w:val="4"/>
                <w:szCs w:val="4"/>
                <w:color w:val="auto"/>
              </w:rPr>
            </w:pPr>
          </w:p>
        </w:tc>
        <w:tc>
          <w:tcPr>
            <w:tcW w:w="38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No Prior Target</w:t>
            </w:r>
          </w:p>
        </w:tc>
        <w:tc>
          <w:tcPr>
            <w:tcW w:w="20" w:type="dxa"/>
            <w:vAlign w:val="bottom"/>
            <w:shd w:val="clear" w:color="auto" w:fill="939598"/>
          </w:tcPr>
          <w:p>
            <w:pPr>
              <w:spacing w:after="0"/>
              <w:rPr>
                <w:sz w:val="2"/>
                <w:szCs w:val="2"/>
                <w:color w:val="auto"/>
              </w:rPr>
            </w:pPr>
          </w:p>
        </w:tc>
        <w:tc>
          <w:tcPr>
            <w:tcW w:w="3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Mid-Teens</w:t>
            </w:r>
          </w:p>
        </w:tc>
        <w:tc>
          <w:tcPr>
            <w:tcW w:w="0" w:type="dxa"/>
            <w:vAlign w:val="bottom"/>
          </w:tcPr>
          <w:p>
            <w:pPr>
              <w:spacing w:after="0" w:line="20" w:lineRule="exact"/>
              <w:rPr>
                <w:sz w:val="1"/>
                <w:szCs w:val="1"/>
                <w:color w:val="auto"/>
              </w:rPr>
            </w:pPr>
          </w:p>
        </w:tc>
      </w:tr>
      <w:tr>
        <w:trPr>
          <w:trHeight w:val="202"/>
        </w:trPr>
        <w:tc>
          <w:tcPr>
            <w:tcW w:w="318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242424"/>
              </w:rPr>
              <w:t>Free Cash Flow</w:t>
            </w:r>
          </w:p>
        </w:tc>
        <w:tc>
          <w:tcPr>
            <w:tcW w:w="200" w:type="dxa"/>
            <w:vAlign w:val="bottom"/>
          </w:tcPr>
          <w:p>
            <w:pPr>
              <w:spacing w:after="0"/>
              <w:rPr>
                <w:sz w:val="17"/>
                <w:szCs w:val="17"/>
                <w:color w:val="auto"/>
              </w:rPr>
            </w:pPr>
          </w:p>
        </w:tc>
        <w:tc>
          <w:tcPr>
            <w:tcW w:w="3820" w:type="dxa"/>
            <w:vAlign w:val="bottom"/>
            <w:vMerge w:val="continue"/>
          </w:tcPr>
          <w:p>
            <w:pPr>
              <w:spacing w:after="0"/>
              <w:rPr>
                <w:sz w:val="17"/>
                <w:szCs w:val="17"/>
                <w:color w:val="auto"/>
              </w:rPr>
            </w:pPr>
          </w:p>
        </w:tc>
        <w:tc>
          <w:tcPr>
            <w:tcW w:w="20" w:type="dxa"/>
            <w:vAlign w:val="bottom"/>
            <w:shd w:val="clear" w:color="auto" w:fill="939598"/>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80" w:type="dxa"/>
            <w:vAlign w:val="bottom"/>
            <w:tcBorders>
              <w:bottom w:val="single" w:sz="8" w:color="E6E7E8"/>
            </w:tcBorders>
            <w:shd w:val="clear" w:color="auto" w:fill="E6E7E8"/>
          </w:tcPr>
          <w:p>
            <w:pPr>
              <w:ind w:left="160"/>
              <w:spacing w:after="0"/>
              <w:rPr>
                <w:sz w:val="20"/>
                <w:szCs w:val="20"/>
                <w:color w:val="auto"/>
              </w:rPr>
            </w:pPr>
            <w:r>
              <w:rPr>
                <w:rFonts w:ascii="Arial" w:cs="Arial" w:eastAsia="Arial" w:hAnsi="Arial"/>
                <w:sz w:val="16"/>
                <w:szCs w:val="16"/>
                <w:b w:val="1"/>
                <w:bCs w:val="1"/>
                <w:color w:val="242424"/>
              </w:rPr>
              <w:t>Margin</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 w:type="dxa"/>
            <w:vAlign w:val="bottom"/>
            <w:tcBorders>
              <w:bottom w:val="single" w:sz="8" w:color="939598"/>
            </w:tcBorders>
            <w:shd w:val="clear" w:color="auto" w:fill="939598"/>
          </w:tcPr>
          <w:p>
            <w:pPr>
              <w:spacing w:after="0"/>
              <w:rPr>
                <w:sz w:val="19"/>
                <w:szCs w:val="19"/>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Percent of Sales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20" w:type="dxa"/>
            <w:vAlign w:val="bottom"/>
            <w:tcBorders>
              <w:bottom w:val="single" w:sz="8" w:color="939598"/>
            </w:tcBorders>
          </w:tcPr>
          <w:p>
            <w:pPr>
              <w:spacing w:after="0"/>
              <w:rPr>
                <w:sz w:val="4"/>
                <w:szCs w:val="4"/>
                <w:color w:val="auto"/>
              </w:rPr>
            </w:pPr>
          </w:p>
        </w:tc>
        <w:tc>
          <w:tcPr>
            <w:tcW w:w="20" w:type="dxa"/>
            <w:vAlign w:val="bottom"/>
            <w:tcBorders>
              <w:bottom w:val="single" w:sz="8" w:color="939598"/>
            </w:tcBorders>
            <w:shd w:val="clear" w:color="auto" w:fill="939598"/>
          </w:tcPr>
          <w:p>
            <w:pPr>
              <w:spacing w:after="0"/>
              <w:rPr>
                <w:sz w:val="4"/>
                <w:szCs w:val="4"/>
                <w:color w:val="auto"/>
              </w:rPr>
            </w:pPr>
          </w:p>
        </w:tc>
        <w:tc>
          <w:tcPr>
            <w:tcW w:w="38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shd w:val="clear" w:color="auto" w:fill="939598"/>
          </w:tcPr>
          <w:p>
            <w:pPr>
              <w:spacing w:after="0"/>
              <w:rPr>
                <w:sz w:val="2"/>
                <w:szCs w:val="2"/>
                <w:color w:val="auto"/>
              </w:rPr>
            </w:pPr>
          </w:p>
        </w:tc>
        <w:tc>
          <w:tcPr>
            <w:tcW w:w="3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80" w:type="dxa"/>
            <w:vAlign w:val="bottom"/>
            <w:shd w:val="clear" w:color="auto" w:fill="E6E7E8"/>
          </w:tcPr>
          <w:p>
            <w:pPr>
              <w:ind w:left="160"/>
              <w:spacing w:after="0"/>
              <w:rPr>
                <w:sz w:val="20"/>
                <w:szCs w:val="20"/>
                <w:color w:val="auto"/>
              </w:rPr>
            </w:pPr>
            <w:r>
              <w:rPr>
                <w:rFonts w:ascii="Arial" w:cs="Arial" w:eastAsia="Arial" w:hAnsi="Arial"/>
                <w:sz w:val="16"/>
                <w:szCs w:val="16"/>
                <w:b w:val="1"/>
                <w:bCs w:val="1"/>
                <w:color w:val="242424"/>
              </w:rPr>
              <w:t>Capital Deployment</w:t>
            </w:r>
          </w:p>
        </w:tc>
        <w:tc>
          <w:tcPr>
            <w:tcW w:w="200" w:type="dxa"/>
            <w:vAlign w:val="bottom"/>
          </w:tcPr>
          <w:p>
            <w:pPr>
              <w:spacing w:after="0"/>
              <w:rPr>
                <w:sz w:val="22"/>
                <w:szCs w:val="22"/>
                <w:color w:val="auto"/>
              </w:rPr>
            </w:pPr>
          </w:p>
        </w:tc>
        <w:tc>
          <w:tcPr>
            <w:tcW w:w="3820" w:type="dxa"/>
            <w:vAlign w:val="bottom"/>
          </w:tcPr>
          <w:p>
            <w:pPr>
              <w:ind w:left="160"/>
              <w:spacing w:after="0"/>
              <w:rPr>
                <w:sz w:val="20"/>
                <w:szCs w:val="20"/>
                <w:color w:val="auto"/>
              </w:rPr>
            </w:pPr>
            <w:r>
              <w:rPr>
                <w:rFonts w:ascii="Arial" w:cs="Arial" w:eastAsia="Arial" w:hAnsi="Arial"/>
                <w:sz w:val="16"/>
                <w:szCs w:val="16"/>
                <w:b w:val="1"/>
                <w:bCs w:val="1"/>
                <w:color w:val="auto"/>
              </w:rPr>
              <w:t>No Prior Target</w:t>
            </w:r>
          </w:p>
        </w:tc>
        <w:tc>
          <w:tcPr>
            <w:tcW w:w="20" w:type="dxa"/>
            <w:vAlign w:val="bottom"/>
            <w:shd w:val="clear" w:color="auto" w:fill="939598"/>
          </w:tcPr>
          <w:p>
            <w:pPr>
              <w:spacing w:after="0"/>
              <w:rPr>
                <w:sz w:val="22"/>
                <w:szCs w:val="22"/>
                <w:color w:val="auto"/>
              </w:rPr>
            </w:pPr>
          </w:p>
        </w:tc>
        <w:tc>
          <w:tcPr>
            <w:tcW w:w="3800" w:type="dxa"/>
            <w:vAlign w:val="bottom"/>
          </w:tcPr>
          <w:p>
            <w:pPr>
              <w:ind w:left="140"/>
              <w:spacing w:after="0"/>
              <w:rPr>
                <w:sz w:val="20"/>
                <w:szCs w:val="20"/>
                <w:color w:val="auto"/>
              </w:rPr>
            </w:pPr>
            <w:r>
              <w:rPr>
                <w:rFonts w:ascii="Arial" w:cs="Arial" w:eastAsia="Arial" w:hAnsi="Arial"/>
                <w:sz w:val="16"/>
                <w:szCs w:val="16"/>
                <w:b w:val="1"/>
                <w:bCs w:val="1"/>
                <w:color w:val="auto"/>
              </w:rPr>
              <w:t>Deploy at Least $25B</w:t>
            </w:r>
          </w:p>
        </w:tc>
        <w:tc>
          <w:tcPr>
            <w:tcW w:w="0" w:type="dxa"/>
            <w:vAlign w:val="bottom"/>
          </w:tcPr>
          <w:p>
            <w:pPr>
              <w:spacing w:after="0"/>
              <w:rPr>
                <w:sz w:val="1"/>
                <w:szCs w:val="1"/>
                <w:color w:val="auto"/>
              </w:rPr>
            </w:pPr>
          </w:p>
        </w:tc>
      </w:tr>
      <w:tr>
        <w:trPr>
          <w:trHeight w:val="244"/>
        </w:trPr>
        <w:tc>
          <w:tcPr>
            <w:tcW w:w="3180" w:type="dxa"/>
            <w:vAlign w:val="bottom"/>
            <w:tcBorders>
              <w:bottom w:val="single" w:sz="8" w:color="E6E7E8"/>
            </w:tcBorders>
            <w:shd w:val="clear" w:color="auto" w:fill="E6E7E8"/>
          </w:tcPr>
          <w:p>
            <w:pPr>
              <w:spacing w:after="0"/>
              <w:rPr>
                <w:sz w:val="21"/>
                <w:szCs w:val="21"/>
                <w:color w:val="auto"/>
              </w:rPr>
            </w:pPr>
          </w:p>
        </w:tc>
        <w:tc>
          <w:tcPr>
            <w:tcW w:w="200" w:type="dxa"/>
            <w:vAlign w:val="bottom"/>
          </w:tcPr>
          <w:p>
            <w:pPr>
              <w:spacing w:after="0"/>
              <w:rPr>
                <w:sz w:val="21"/>
                <w:szCs w:val="21"/>
                <w:color w:val="auto"/>
              </w:rPr>
            </w:pPr>
          </w:p>
        </w:tc>
        <w:tc>
          <w:tcPr>
            <w:tcW w:w="3820" w:type="dxa"/>
            <w:vAlign w:val="bottom"/>
            <w:tcBorders>
              <w:bottom w:val="single" w:sz="8" w:color="D7282F"/>
            </w:tcBorders>
          </w:tcPr>
          <w:p>
            <w:pPr>
              <w:spacing w:after="0"/>
              <w:rPr>
                <w:sz w:val="21"/>
                <w:szCs w:val="21"/>
                <w:color w:val="auto"/>
              </w:rPr>
            </w:pPr>
          </w:p>
        </w:tc>
        <w:tc>
          <w:tcPr>
            <w:tcW w:w="20" w:type="dxa"/>
            <w:vAlign w:val="bottom"/>
            <w:tcBorders>
              <w:bottom w:val="single" w:sz="8" w:color="939598"/>
            </w:tcBorders>
            <w:shd w:val="clear" w:color="auto" w:fill="939598"/>
          </w:tcPr>
          <w:p>
            <w:pPr>
              <w:spacing w:after="0"/>
              <w:rPr>
                <w:sz w:val="21"/>
                <w:szCs w:val="21"/>
                <w:color w:val="auto"/>
              </w:rPr>
            </w:pPr>
          </w:p>
        </w:tc>
        <w:tc>
          <w:tcPr>
            <w:tcW w:w="3800" w:type="dxa"/>
            <w:vAlign w:val="bottom"/>
            <w:tcBorders>
              <w:bottom w:val="single" w:sz="8" w:color="D7282F"/>
            </w:tcBorders>
          </w:tcPr>
          <w:p>
            <w:pPr>
              <w:ind w:left="140"/>
              <w:spacing w:after="0"/>
              <w:rPr>
                <w:sz w:val="20"/>
                <w:szCs w:val="20"/>
                <w:color w:val="auto"/>
              </w:rPr>
            </w:pPr>
            <w:r>
              <w:rPr>
                <w:rFonts w:ascii="Arial" w:cs="Arial" w:eastAsia="Arial" w:hAnsi="Arial"/>
                <w:sz w:val="16"/>
                <w:szCs w:val="16"/>
                <w:b w:val="1"/>
                <w:bCs w:val="1"/>
                <w:color w:val="auto"/>
              </w:rPr>
              <w:t>Between 2023-2025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-1619250</wp:posOffset>
            </wp:positionV>
            <wp:extent cx="8255" cy="1460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Company long-term targets first published in March 2022 and reiterated at the March 2023 Investor Day.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2023-2025 PERFORMANCE PLAN AWARDS TO NEOs</w:t>
      </w:r>
    </w:p>
    <w:p>
      <w:pPr>
        <w:spacing w:after="0" w:line="11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following table presents the number of Performance Stock Units granted to the NEOs for the 2023-2025 performance period, along with their respective grant date value: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5020" w:type="dxa"/>
            <w:vAlign w:val="bottom"/>
          </w:tcPr>
          <w:p>
            <w:pPr>
              <w:jc w:val="right"/>
              <w:ind w:right="68"/>
              <w:spacing w:after="0"/>
              <w:rPr>
                <w:sz w:val="20"/>
                <w:szCs w:val="20"/>
                <w:color w:val="auto"/>
              </w:rPr>
            </w:pPr>
            <w:r>
              <w:rPr>
                <w:rFonts w:ascii="Arial" w:cs="Arial" w:eastAsia="Arial" w:hAnsi="Arial"/>
                <w:sz w:val="14"/>
                <w:szCs w:val="14"/>
                <w:b w:val="1"/>
                <w:bCs w:val="1"/>
                <w:color w:val="auto"/>
              </w:rPr>
              <w:t>Target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214"/>
        </w:trPr>
        <w:tc>
          <w:tcPr>
            <w:tcW w:w="506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NEO</w:t>
            </w:r>
          </w:p>
        </w:tc>
        <w:tc>
          <w:tcPr>
            <w:tcW w:w="5020" w:type="dxa"/>
            <w:vAlign w:val="bottom"/>
            <w:tcBorders>
              <w:bottom w:val="single" w:sz="8" w:color="EE2724"/>
            </w:tcBorders>
          </w:tcPr>
          <w:p>
            <w:pPr>
              <w:jc w:val="right"/>
              <w:ind w:right="68"/>
              <w:spacing w:after="0"/>
              <w:rPr>
                <w:sz w:val="20"/>
                <w:szCs w:val="20"/>
                <w:color w:val="auto"/>
              </w:rPr>
            </w:pPr>
            <w:r>
              <w:rPr>
                <w:rFonts w:ascii="Arial" w:cs="Arial" w:eastAsia="Arial" w:hAnsi="Arial"/>
                <w:sz w:val="14"/>
                <w:szCs w:val="14"/>
                <w:b w:val="1"/>
                <w:bCs w:val="1"/>
                <w:color w:val="auto"/>
              </w:rPr>
              <w:t># of PSUs</w:t>
            </w:r>
            <w:r>
              <w:rPr>
                <w:rFonts w:ascii="Arial" w:cs="Arial" w:eastAsia="Arial" w:hAnsi="Arial"/>
                <w:sz w:val="18"/>
                <w:szCs w:val="18"/>
                <w:b w:val="1"/>
                <w:bCs w:val="1"/>
                <w:color w:val="auto"/>
                <w:vertAlign w:val="superscript"/>
              </w:rPr>
              <w:t>(1)</w:t>
            </w:r>
          </w:p>
        </w:tc>
        <w:tc>
          <w:tcPr>
            <w:tcW w:w="1140" w:type="dxa"/>
            <w:vAlign w:val="bottom"/>
            <w:tcBorders>
              <w:bottom w:val="single" w:sz="8" w:color="EE2724"/>
            </w:tcBorders>
          </w:tcPr>
          <w:p>
            <w:pPr>
              <w:jc w:val="right"/>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(2)</w:t>
            </w:r>
          </w:p>
        </w:tc>
      </w:tr>
      <w:tr>
        <w:trPr>
          <w:trHeight w:val="217"/>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Kapur</w:t>
            </w:r>
          </w:p>
        </w:tc>
        <w:tc>
          <w:tcPr>
            <w:tcW w:w="50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24,841</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   5,020,121</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Lewis</w:t>
            </w:r>
          </w:p>
        </w:tc>
        <w:tc>
          <w:tcPr>
            <w:tcW w:w="50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13,469</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2,735,150</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Ms. Madden</w:t>
            </w:r>
          </w:p>
        </w:tc>
        <w:tc>
          <w:tcPr>
            <w:tcW w:w="50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12,274</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2,492,481</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Boldea</w:t>
            </w:r>
          </w:p>
        </w:tc>
        <w:tc>
          <w:tcPr>
            <w:tcW w:w="50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9,356</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1,899,923</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Currier</w:t>
            </w:r>
          </w:p>
        </w:tc>
        <w:tc>
          <w:tcPr>
            <w:tcW w:w="50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8,497</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1,550,108</w:t>
            </w:r>
          </w:p>
        </w:tc>
      </w:tr>
      <w:tr>
        <w:trPr>
          <w:trHeight w:val="223"/>
        </w:trPr>
        <w:tc>
          <w:tcPr>
            <w:tcW w:w="506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Mr. Adamczyk</w:t>
            </w:r>
          </w:p>
        </w:tc>
        <w:tc>
          <w:tcPr>
            <w:tcW w:w="5020" w:type="dxa"/>
            <w:vAlign w:val="bottom"/>
            <w:tcBorders>
              <w:bottom w:val="single" w:sz="8" w:color="EE2724"/>
            </w:tcBorders>
          </w:tcPr>
          <w:p>
            <w:pPr>
              <w:jc w:val="right"/>
              <w:ind w:right="108"/>
              <w:spacing w:after="0"/>
              <w:rPr>
                <w:sz w:val="20"/>
                <w:szCs w:val="20"/>
                <w:color w:val="auto"/>
              </w:rPr>
            </w:pPr>
            <w:r>
              <w:rPr>
                <w:rFonts w:ascii="Arial" w:cs="Arial" w:eastAsia="Arial" w:hAnsi="Arial"/>
                <w:sz w:val="14"/>
                <w:szCs w:val="14"/>
                <w:color w:val="auto"/>
              </w:rPr>
              <w:t>44,321</w:t>
            </w:r>
          </w:p>
        </w:tc>
        <w:tc>
          <w:tcPr>
            <w:tcW w:w="1140" w:type="dxa"/>
            <w:vAlign w:val="bottom"/>
            <w:tcBorders>
              <w:bottom w:val="single" w:sz="8" w:color="EE2724"/>
            </w:tcBorders>
          </w:tcPr>
          <w:p>
            <w:pPr>
              <w:jc w:val="right"/>
              <w:spacing w:after="0"/>
              <w:rPr>
                <w:sz w:val="20"/>
                <w:szCs w:val="20"/>
                <w:color w:val="auto"/>
              </w:rPr>
            </w:pPr>
            <w:r>
              <w:rPr>
                <w:rFonts w:ascii="Arial" w:cs="Arial" w:eastAsia="Arial" w:hAnsi="Arial"/>
                <w:sz w:val="14"/>
                <w:szCs w:val="14"/>
                <w:color w:val="auto"/>
              </w:rPr>
              <w:t>9,000,265</w:t>
            </w:r>
          </w:p>
        </w:tc>
      </w:tr>
    </w:tbl>
    <w:p>
      <w:pPr>
        <w:spacing w:after="0" w:line="144" w:lineRule="exact"/>
        <w:rPr>
          <w:sz w:val="20"/>
          <w:szCs w:val="20"/>
          <w:color w:val="auto"/>
        </w:rPr>
      </w:pPr>
    </w:p>
    <w:p>
      <w:pPr>
        <w:ind w:left="200" w:hanging="192"/>
        <w:spacing w:after="0" w:line="230" w:lineRule="auto"/>
        <w:tabs>
          <w:tab w:leader="none" w:pos="200" w:val="left"/>
        </w:tabs>
        <w:numPr>
          <w:ilvl w:val="0"/>
          <w:numId w:val="159"/>
        </w:numPr>
        <w:rPr>
          <w:rFonts w:ascii="Arial" w:cs="Arial" w:eastAsia="Arial" w:hAnsi="Arial"/>
          <w:sz w:val="16"/>
          <w:szCs w:val="16"/>
          <w:color w:val="auto"/>
          <w:vertAlign w:val="superscript"/>
        </w:rPr>
      </w:pPr>
      <w:r>
        <w:rPr>
          <w:rFonts w:ascii="Arial" w:cs="Arial" w:eastAsia="Arial" w:hAnsi="Arial"/>
          <w:sz w:val="13"/>
          <w:szCs w:val="13"/>
          <w:color w:val="auto"/>
        </w:rPr>
        <w:t>Reflects the total number of PSUs awarded in 2023 for the 2023-2025 Performance Plan cycle. Annual officer PSUs were awarded to Messrs. Kapur (14,527 units), Lewis, Boldea, and Adamczyk and Ms. Madden on February 10, 2023. Mr. Kapur received an additional PSU award (10,314 units) in connection with his promotion to Honeywell CEO on June 1, 2023. Mr. Currier received his PSU award at the time of his promotion to CEO and President, Aerospace in August 2023.</w:t>
      </w:r>
    </w:p>
    <w:p>
      <w:pPr>
        <w:spacing w:after="0" w:line="63" w:lineRule="exact"/>
        <w:rPr>
          <w:rFonts w:ascii="Arial" w:cs="Arial" w:eastAsia="Arial" w:hAnsi="Arial"/>
          <w:sz w:val="16"/>
          <w:szCs w:val="16"/>
          <w:color w:val="auto"/>
          <w:vertAlign w:val="superscript"/>
        </w:rPr>
      </w:pPr>
    </w:p>
    <w:p>
      <w:pPr>
        <w:ind w:left="200" w:right="240" w:hanging="192"/>
        <w:spacing w:after="0" w:line="230" w:lineRule="auto"/>
        <w:tabs>
          <w:tab w:leader="none" w:pos="200" w:val="left"/>
        </w:tabs>
        <w:numPr>
          <w:ilvl w:val="0"/>
          <w:numId w:val="159"/>
        </w:numPr>
        <w:rPr>
          <w:rFonts w:ascii="Arial" w:cs="Arial" w:eastAsia="Arial" w:hAnsi="Arial"/>
          <w:sz w:val="16"/>
          <w:szCs w:val="16"/>
          <w:color w:val="auto"/>
          <w:vertAlign w:val="superscript"/>
        </w:rPr>
      </w:pPr>
      <w:r>
        <w:rPr>
          <w:rFonts w:ascii="Arial" w:cs="Arial" w:eastAsia="Arial" w:hAnsi="Arial"/>
          <w:sz w:val="13"/>
          <w:szCs w:val="13"/>
          <w:color w:val="auto"/>
        </w:rPr>
        <w:t>The grant date value was determined based on (a) the fair market value of Honeywell stock on the date of grant for the 75% of the award tied to performance against internal metrics, and (b) a multifactor Monte Carlo simulation of Honeywell’s stock price and TSR relative to each of the other companies in the Compensation Peer Group, for the 25% of the award with payout determined based on three-year TSR relative to the Compensation Peer Group.</w:t>
      </w:r>
    </w:p>
    <w:p>
      <w:pPr>
        <w:spacing w:after="0" w:line="9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At the end of the performance period, the total number of PSUs earned for each NEO shall be determined on a formulaic basis. Dividend equivalents applied during the vesting period as additional PSUs will be adjusted based on the final number of PSUs earned. In determining the final distributions of earned awards, 50% of the resulting PSUs earned will be converted to shares of Company common stock and issued to each NEO, subject to the holding period requirements for officers. The remaining 50% shall be converted to cash based on the fair market value of a share of Honeywell stock on the last day of the performance period and paid to each NEO in the first quarter following the end of the performance period.</w:t>
      </w:r>
    </w:p>
    <w:p>
      <w:pPr>
        <w:spacing w:after="0" w:line="6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Prior to his promotion to President and CEO, Aerospace in August 2023, Mr. Currier also received an executive-level award of performance cash units under the 2023-2025 Performance Plan in February, 2023, with a target value of $144,000. While the MDCC considered this award for purposes of determining Mr. Currier's total target 2023 compensation, pursuant to SEC disclosure rules, cash-based long-term performance awards are not reported on the Summary Compensation Table until the performance period ends and the value of the final earned award is determined.</w:t>
      </w:r>
    </w:p>
    <w:p>
      <w:pPr>
        <w:spacing w:after="0" w:line="19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sz w:val="1"/>
          <w:szCs w:val="1"/>
          <w:color w:val="auto"/>
        </w:rPr>
        <w:drawing>
          <wp:inline distT="0" distB="0" distL="0" distR="0">
            <wp:extent cx="548640" cy="102870"/>
            <wp:effectExtent l="0" t="0" r="0" b="0"/>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78" w:name="page79"/>
    <w:bookmarkEnd w:id="78"/>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2021-2023 PERFORMANCE PLAN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9944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2021-2023 SUMMARY</w:t>
      </w:r>
    </w:p>
    <w:p>
      <w:pPr>
        <w:spacing w:after="0" w:line="86" w:lineRule="exact"/>
        <w:rPr>
          <w:sz w:val="20"/>
          <w:szCs w:val="20"/>
          <w:color w:val="auto"/>
        </w:rPr>
      </w:pPr>
    </w:p>
    <w:p>
      <w:pPr>
        <w:ind w:left="360" w:hanging="191"/>
        <w:spacing w:after="0"/>
        <w:tabs>
          <w:tab w:leader="none" w:pos="360" w:val="left"/>
        </w:tabs>
        <w:numPr>
          <w:ilvl w:val="0"/>
          <w:numId w:val="160"/>
        </w:numPr>
        <w:rPr>
          <w:rFonts w:ascii="Arial" w:cs="Arial" w:eastAsia="Arial" w:hAnsi="Arial"/>
          <w:sz w:val="16"/>
          <w:szCs w:val="16"/>
          <w:b w:val="1"/>
          <w:bCs w:val="1"/>
          <w:color w:val="D7282F"/>
        </w:rPr>
      </w:pPr>
      <w:r>
        <w:rPr>
          <w:rFonts w:ascii="Arial" w:cs="Arial" w:eastAsia="Arial" w:hAnsi="Arial"/>
          <w:sz w:val="16"/>
          <w:szCs w:val="16"/>
          <w:color w:val="auto"/>
        </w:rPr>
        <w:t>MDCC approved 2021-2023 PSU payout = 145% of target (Corporate officers).</w:t>
      </w:r>
    </w:p>
    <w:p>
      <w:pPr>
        <w:spacing w:after="0" w:line="86" w:lineRule="exact"/>
        <w:rPr>
          <w:rFonts w:ascii="Arial" w:cs="Arial" w:eastAsia="Arial" w:hAnsi="Arial"/>
          <w:sz w:val="16"/>
          <w:szCs w:val="16"/>
          <w:b w:val="1"/>
          <w:bCs w:val="1"/>
          <w:color w:val="D7282F"/>
        </w:rPr>
      </w:pPr>
    </w:p>
    <w:p>
      <w:pPr>
        <w:ind w:left="360" w:hanging="191"/>
        <w:spacing w:after="0"/>
        <w:tabs>
          <w:tab w:leader="none" w:pos="360" w:val="left"/>
        </w:tabs>
        <w:numPr>
          <w:ilvl w:val="0"/>
          <w:numId w:val="160"/>
        </w:numPr>
        <w:rPr>
          <w:rFonts w:ascii="Arial" w:cs="Arial" w:eastAsia="Arial" w:hAnsi="Arial"/>
          <w:sz w:val="16"/>
          <w:szCs w:val="16"/>
          <w:b w:val="1"/>
          <w:bCs w:val="1"/>
          <w:color w:val="D7282F"/>
        </w:rPr>
      </w:pPr>
      <w:r>
        <w:rPr>
          <w:rFonts w:ascii="Arial" w:cs="Arial" w:eastAsia="Arial" w:hAnsi="Arial"/>
          <w:sz w:val="16"/>
          <w:szCs w:val="16"/>
          <w:color w:val="auto"/>
        </w:rPr>
        <w:t>Payout reflects 3-year financial results that exceeded plan targets.</w:t>
      </w:r>
    </w:p>
    <w:p>
      <w:pPr>
        <w:spacing w:after="0" w:line="86" w:lineRule="exact"/>
        <w:rPr>
          <w:rFonts w:ascii="Arial" w:cs="Arial" w:eastAsia="Arial" w:hAnsi="Arial"/>
          <w:sz w:val="16"/>
          <w:szCs w:val="16"/>
          <w:b w:val="1"/>
          <w:bCs w:val="1"/>
          <w:color w:val="D7282F"/>
        </w:rPr>
      </w:pPr>
    </w:p>
    <w:p>
      <w:pPr>
        <w:ind w:left="360" w:right="420" w:hanging="191"/>
        <w:spacing w:after="0" w:line="286" w:lineRule="auto"/>
        <w:tabs>
          <w:tab w:leader="none" w:pos="357" w:val="left"/>
        </w:tabs>
        <w:numPr>
          <w:ilvl w:val="0"/>
          <w:numId w:val="160"/>
        </w:numPr>
        <w:rPr>
          <w:rFonts w:ascii="Arial" w:cs="Arial" w:eastAsia="Arial" w:hAnsi="Arial"/>
          <w:sz w:val="16"/>
          <w:szCs w:val="16"/>
          <w:b w:val="1"/>
          <w:bCs w:val="1"/>
          <w:color w:val="D7282F"/>
        </w:rPr>
      </w:pPr>
      <w:r>
        <w:rPr>
          <w:rFonts w:ascii="Arial" w:cs="Arial" w:eastAsia="Arial" w:hAnsi="Arial"/>
          <w:sz w:val="16"/>
          <w:szCs w:val="16"/>
          <w:color w:val="auto"/>
        </w:rPr>
        <w:t>Payout reduced for below threshold result on the 3-year Relative TSR metric for the measurement period ending December 31, 2023 (shareowner alignment).</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PSU Formulaic Calculation</w:t>
      </w:r>
    </w:p>
    <w:p>
      <w:pPr>
        <w:spacing w:after="0" w:line="113"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 February 2024, the MDCC reviewed the outcomes for the 2021-2023 executive officer PSUs, determined as of December 31, 2023. The following table displays the formulaic 2021-2023 PSU calculation payout results:</w:t>
      </w:r>
    </w:p>
    <w:p>
      <w:pPr>
        <w:spacing w:after="0" w:line="5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Borders>
              <w:right w:val="single" w:sz="8" w:color="D7282F"/>
            </w:tcBorders>
          </w:tcPr>
          <w:p>
            <w:pPr>
              <w:spacing w:after="0"/>
              <w:rPr>
                <w:sz w:val="18"/>
                <w:szCs w:val="18"/>
                <w:color w:val="auto"/>
              </w:rPr>
            </w:pPr>
          </w:p>
        </w:tc>
        <w:tc>
          <w:tcPr>
            <w:tcW w:w="148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80" w:type="dxa"/>
            <w:vAlign w:val="bottom"/>
          </w:tcPr>
          <w:p>
            <w:pPr>
              <w:spacing w:after="0"/>
              <w:rPr>
                <w:sz w:val="18"/>
                <w:szCs w:val="18"/>
                <w:color w:val="auto"/>
              </w:rPr>
            </w:pPr>
          </w:p>
        </w:tc>
        <w:tc>
          <w:tcPr>
            <w:tcW w:w="1520" w:type="dxa"/>
            <w:vAlign w:val="bottom"/>
          </w:tcPr>
          <w:p>
            <w:pPr>
              <w:jc w:val="right"/>
              <w:ind w:right="417"/>
              <w:spacing w:after="0"/>
              <w:rPr>
                <w:sz w:val="20"/>
                <w:szCs w:val="20"/>
                <w:color w:val="auto"/>
              </w:rPr>
            </w:pPr>
            <w:r>
              <w:rPr>
                <w:rFonts w:ascii="Arial" w:cs="Arial" w:eastAsia="Arial" w:hAnsi="Arial"/>
                <w:sz w:val="13"/>
                <w:szCs w:val="13"/>
                <w:b w:val="1"/>
                <w:bCs w:val="1"/>
                <w:color w:val="auto"/>
              </w:rPr>
              <w:t>Payout</w:t>
            </w:r>
          </w:p>
        </w:tc>
        <w:tc>
          <w:tcPr>
            <w:tcW w:w="8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93"/>
        </w:trPr>
        <w:tc>
          <w:tcPr>
            <w:tcW w:w="2560" w:type="dxa"/>
            <w:vAlign w:val="bottom"/>
          </w:tcPr>
          <w:p>
            <w:pPr>
              <w:ind w:left="140"/>
              <w:spacing w:after="0"/>
              <w:rPr>
                <w:sz w:val="20"/>
                <w:szCs w:val="20"/>
                <w:color w:val="auto"/>
              </w:rPr>
            </w:pPr>
            <w:r>
              <w:rPr>
                <w:rFonts w:ascii="Arial" w:cs="Arial" w:eastAsia="Arial" w:hAnsi="Arial"/>
                <w:sz w:val="13"/>
                <w:szCs w:val="13"/>
                <w:b w:val="1"/>
                <w:bCs w:val="1"/>
                <w:color w:val="auto"/>
              </w:rPr>
              <w:t>Total Honeywell</w:t>
            </w:r>
          </w:p>
        </w:tc>
        <w:tc>
          <w:tcPr>
            <w:tcW w:w="1380" w:type="dxa"/>
            <w:vAlign w:val="bottom"/>
          </w:tcPr>
          <w:p>
            <w:pPr>
              <w:jc w:val="right"/>
              <w:ind w:right="70"/>
              <w:spacing w:after="0"/>
              <w:rPr>
                <w:sz w:val="20"/>
                <w:szCs w:val="20"/>
                <w:color w:val="auto"/>
              </w:rPr>
            </w:pPr>
            <w:r>
              <w:rPr>
                <w:rFonts w:ascii="Arial" w:cs="Arial" w:eastAsia="Arial" w:hAnsi="Arial"/>
                <w:sz w:val="13"/>
                <w:szCs w:val="13"/>
                <w:b w:val="1"/>
                <w:bCs w:val="1"/>
                <w:color w:val="auto"/>
              </w:rPr>
              <w:t>Threshold</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360" w:type="dxa"/>
            <w:vAlign w:val="bottom"/>
            <w:tcBorders>
              <w:right w:val="single" w:sz="8" w:color="D7282F"/>
            </w:tcBorders>
            <w:gridSpan w:val="2"/>
          </w:tcPr>
          <w:p>
            <w:pPr>
              <w:jc w:val="right"/>
              <w:ind w:right="140"/>
              <w:spacing w:after="0"/>
              <w:rPr>
                <w:sz w:val="20"/>
                <w:szCs w:val="20"/>
                <w:color w:val="auto"/>
              </w:rPr>
            </w:pPr>
            <w:r>
              <w:rPr>
                <w:rFonts w:ascii="Arial" w:cs="Arial" w:eastAsia="Arial" w:hAnsi="Arial"/>
                <w:sz w:val="13"/>
                <w:szCs w:val="13"/>
                <w:b w:val="1"/>
                <w:bCs w:val="1"/>
                <w:color w:val="auto"/>
              </w:rPr>
              <w:t>Maximum</w:t>
            </w:r>
          </w:p>
        </w:tc>
        <w:tc>
          <w:tcPr>
            <w:tcW w:w="148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80" w:type="dxa"/>
            <w:vAlign w:val="bottom"/>
          </w:tcPr>
          <w:p>
            <w:pPr>
              <w:spacing w:after="0"/>
              <w:rPr>
                <w:sz w:val="16"/>
                <w:szCs w:val="16"/>
                <w:color w:val="auto"/>
              </w:rPr>
            </w:pPr>
          </w:p>
        </w:tc>
        <w:tc>
          <w:tcPr>
            <w:tcW w:w="1520" w:type="dxa"/>
            <w:vAlign w:val="bottom"/>
          </w:tcPr>
          <w:p>
            <w:pPr>
              <w:jc w:val="right"/>
              <w:ind w:right="417"/>
              <w:spacing w:after="0"/>
              <w:rPr>
                <w:sz w:val="20"/>
                <w:szCs w:val="20"/>
                <w:color w:val="auto"/>
              </w:rPr>
            </w:pPr>
            <w:r>
              <w:rPr>
                <w:rFonts w:ascii="Arial" w:cs="Arial" w:eastAsia="Arial" w:hAnsi="Arial"/>
                <w:sz w:val="13"/>
                <w:szCs w:val="13"/>
                <w:b w:val="1"/>
                <w:bCs w:val="1"/>
                <w:color w:val="auto"/>
              </w:rPr>
              <w:t>Factor</w:t>
            </w:r>
          </w:p>
        </w:tc>
        <w:tc>
          <w:tcPr>
            <w:tcW w:w="860" w:type="dxa"/>
            <w:vAlign w:val="bottom"/>
          </w:tcPr>
          <w:p>
            <w:pPr>
              <w:jc w:val="right"/>
              <w:ind w:right="190"/>
              <w:spacing w:after="0"/>
              <w:rPr>
                <w:sz w:val="20"/>
                <w:szCs w:val="20"/>
                <w:color w:val="auto"/>
              </w:rPr>
            </w:pPr>
            <w:r>
              <w:rPr>
                <w:rFonts w:ascii="Arial" w:cs="Arial" w:eastAsia="Arial" w:hAnsi="Arial"/>
                <w:sz w:val="13"/>
                <w:szCs w:val="13"/>
                <w:b w:val="1"/>
                <w:bCs w:val="1"/>
                <w:color w:val="auto"/>
              </w:rPr>
              <w:t>Weight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217"/>
        </w:trPr>
        <w:tc>
          <w:tcPr>
            <w:tcW w:w="2560" w:type="dxa"/>
            <w:vAlign w:val="bottom"/>
            <w:tcBorders>
              <w:top w:val="single" w:sz="8" w:color="D7282F"/>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Cumulative Revenue ($M)</w:t>
            </w:r>
          </w:p>
        </w:tc>
        <w:tc>
          <w:tcPr>
            <w:tcW w:w="1380" w:type="dxa"/>
            <w:vAlign w:val="bottom"/>
            <w:tcBorders>
              <w:top w:val="single" w:sz="8" w:color="D7282F"/>
              <w:bottom w:val="single" w:sz="8" w:color="939598"/>
            </w:tcBorders>
          </w:tcPr>
          <w:p>
            <w:pPr>
              <w:jc w:val="right"/>
              <w:ind w:right="70"/>
              <w:spacing w:after="0"/>
              <w:rPr>
                <w:sz w:val="20"/>
                <w:szCs w:val="20"/>
                <w:color w:val="auto"/>
              </w:rPr>
            </w:pPr>
            <w:r>
              <w:rPr>
                <w:rFonts w:ascii="Arial" w:cs="Arial" w:eastAsia="Arial" w:hAnsi="Arial"/>
                <w:sz w:val="14"/>
                <w:szCs w:val="14"/>
                <w:color w:val="auto"/>
              </w:rPr>
              <w:t>$102,156</w:t>
            </w:r>
          </w:p>
        </w:tc>
        <w:tc>
          <w:tcPr>
            <w:tcW w:w="11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$105,861</w:t>
            </w:r>
          </w:p>
        </w:tc>
        <w:tc>
          <w:tcPr>
            <w:tcW w:w="12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$109,567</w:t>
            </w:r>
          </w:p>
        </w:tc>
        <w:tc>
          <w:tcPr>
            <w:tcW w:w="120" w:type="dxa"/>
            <w:vAlign w:val="bottom"/>
            <w:tcBorders>
              <w:top w:val="single" w:sz="8" w:color="D7282F"/>
              <w:bottom w:val="single" w:sz="8" w:color="939598"/>
              <w:right w:val="single" w:sz="8" w:color="D7282F"/>
            </w:tcBorders>
          </w:tcPr>
          <w:p>
            <w:pPr>
              <w:spacing w:after="0"/>
              <w:rPr>
                <w:sz w:val="18"/>
                <w:szCs w:val="18"/>
                <w:color w:val="auto"/>
              </w:rPr>
            </w:pPr>
          </w:p>
        </w:tc>
        <w:tc>
          <w:tcPr>
            <w:tcW w:w="1480" w:type="dxa"/>
            <w:vAlign w:val="bottom"/>
            <w:tcBorders>
              <w:top w:val="single" w:sz="8" w:color="D7282F"/>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$108,837</w:t>
            </w:r>
          </w:p>
        </w:tc>
        <w:tc>
          <w:tcPr>
            <w:tcW w:w="1600" w:type="dxa"/>
            <w:vAlign w:val="bottom"/>
            <w:tcBorders>
              <w:top w:val="single" w:sz="8" w:color="D7282F"/>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180 %</w:t>
            </w:r>
          </w:p>
        </w:tc>
        <w:tc>
          <w:tcPr>
            <w:tcW w:w="860" w:type="dxa"/>
            <w:vAlign w:val="bottom"/>
            <w:tcBorders>
              <w:top w:val="single" w:sz="8" w:color="D7282F"/>
              <w:bottom w:val="single" w:sz="8" w:color="939598"/>
            </w:tcBorders>
          </w:tcPr>
          <w:p>
            <w:pPr>
              <w:jc w:val="right"/>
              <w:ind w:right="190"/>
              <w:spacing w:after="0"/>
              <w:rPr>
                <w:sz w:val="20"/>
                <w:szCs w:val="20"/>
                <w:color w:val="auto"/>
              </w:rPr>
            </w:pPr>
            <w:r>
              <w:rPr>
                <w:rFonts w:ascii="Arial" w:cs="Arial" w:eastAsia="Arial" w:hAnsi="Arial"/>
                <w:sz w:val="14"/>
                <w:szCs w:val="14"/>
                <w:color w:val="auto"/>
              </w:rPr>
              <w:t>25 %</w:t>
            </w:r>
          </w:p>
        </w:tc>
        <w:tc>
          <w:tcPr>
            <w:tcW w:w="86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Average Segment Margin Rate</w:t>
            </w:r>
          </w:p>
        </w:tc>
        <w:tc>
          <w:tcPr>
            <w:tcW w:w="1380" w:type="dxa"/>
            <w:vAlign w:val="bottom"/>
            <w:tcBorders>
              <w:bottom w:val="single" w:sz="8" w:color="939598"/>
            </w:tcBorders>
          </w:tcPr>
          <w:p>
            <w:pPr>
              <w:jc w:val="right"/>
              <w:ind w:right="70"/>
              <w:spacing w:after="0"/>
              <w:rPr>
                <w:sz w:val="20"/>
                <w:szCs w:val="20"/>
                <w:color w:val="auto"/>
              </w:rPr>
            </w:pPr>
            <w:r>
              <w:rPr>
                <w:rFonts w:ascii="Arial" w:cs="Arial" w:eastAsia="Arial" w:hAnsi="Arial"/>
                <w:sz w:val="14"/>
                <w:szCs w:val="14"/>
                <w:color w:val="auto"/>
              </w:rPr>
              <w:t>20.8 %</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21.3 %</w:t>
            </w: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&gt;=21.8%</w:t>
            </w:r>
          </w:p>
        </w:tc>
        <w:tc>
          <w:tcPr>
            <w:tcW w:w="120" w:type="dxa"/>
            <w:vAlign w:val="bottom"/>
            <w:tcBorders>
              <w:bottom w:val="single" w:sz="8" w:color="939598"/>
              <w:right w:val="single" w:sz="8" w:color="D7282F"/>
            </w:tcBorders>
          </w:tcPr>
          <w:p>
            <w:pPr>
              <w:spacing w:after="0"/>
              <w:rPr>
                <w:sz w:val="19"/>
                <w:szCs w:val="19"/>
                <w:color w:val="auto"/>
              </w:rPr>
            </w:pPr>
          </w:p>
        </w:tc>
        <w:tc>
          <w:tcPr>
            <w:tcW w:w="148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22 %</w:t>
            </w:r>
          </w:p>
        </w:tc>
        <w:tc>
          <w:tcPr>
            <w:tcW w:w="1600" w:type="dxa"/>
            <w:vAlign w:val="bottom"/>
            <w:tcBorders>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25 %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Average ROI</w:t>
            </w:r>
          </w:p>
        </w:tc>
        <w:tc>
          <w:tcPr>
            <w:tcW w:w="1380" w:type="dxa"/>
            <w:vAlign w:val="bottom"/>
            <w:tcBorders>
              <w:bottom w:val="single" w:sz="8" w:color="939598"/>
            </w:tcBorders>
          </w:tcPr>
          <w:p>
            <w:pPr>
              <w:jc w:val="right"/>
              <w:ind w:right="70"/>
              <w:spacing w:after="0"/>
              <w:rPr>
                <w:sz w:val="20"/>
                <w:szCs w:val="20"/>
                <w:color w:val="auto"/>
              </w:rPr>
            </w:pPr>
            <w:r>
              <w:rPr>
                <w:rFonts w:ascii="Arial" w:cs="Arial" w:eastAsia="Arial" w:hAnsi="Arial"/>
                <w:sz w:val="14"/>
                <w:szCs w:val="14"/>
                <w:color w:val="auto"/>
              </w:rPr>
              <w:t>20.8 %</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21.6 %</w:t>
            </w: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&gt;= 22.3%</w:t>
            </w:r>
          </w:p>
        </w:tc>
        <w:tc>
          <w:tcPr>
            <w:tcW w:w="120" w:type="dxa"/>
            <w:vAlign w:val="bottom"/>
            <w:tcBorders>
              <w:bottom w:val="single" w:sz="8" w:color="939598"/>
              <w:right w:val="single" w:sz="8" w:color="D7282F"/>
            </w:tcBorders>
          </w:tcPr>
          <w:p>
            <w:pPr>
              <w:spacing w:after="0"/>
              <w:rPr>
                <w:sz w:val="19"/>
                <w:szCs w:val="19"/>
                <w:color w:val="auto"/>
              </w:rPr>
            </w:pPr>
          </w:p>
        </w:tc>
        <w:tc>
          <w:tcPr>
            <w:tcW w:w="148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23.4 %</w:t>
            </w:r>
          </w:p>
        </w:tc>
        <w:tc>
          <w:tcPr>
            <w:tcW w:w="1600" w:type="dxa"/>
            <w:vAlign w:val="bottom"/>
            <w:tcBorders>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25 %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223"/>
        </w:trPr>
        <w:tc>
          <w:tcPr>
            <w:tcW w:w="2560" w:type="dxa"/>
            <w:vAlign w:val="bottom"/>
          </w:tcPr>
          <w:p>
            <w:pPr>
              <w:ind w:left="140"/>
              <w:spacing w:after="0"/>
              <w:rPr>
                <w:sz w:val="20"/>
                <w:szCs w:val="20"/>
                <w:color w:val="auto"/>
              </w:rPr>
            </w:pPr>
            <w:r>
              <w:rPr>
                <w:rFonts w:ascii="Arial" w:cs="Arial" w:eastAsia="Arial" w:hAnsi="Arial"/>
                <w:sz w:val="14"/>
                <w:szCs w:val="14"/>
                <w:b w:val="1"/>
                <w:bCs w:val="1"/>
                <w:color w:val="auto"/>
              </w:rPr>
              <w:t>3-Year Relative TSR</w:t>
            </w:r>
          </w:p>
        </w:tc>
        <w:tc>
          <w:tcPr>
            <w:tcW w:w="1380" w:type="dxa"/>
            <w:vAlign w:val="bottom"/>
          </w:tcPr>
          <w:p>
            <w:pPr>
              <w:jc w:val="right"/>
              <w:ind w:right="70"/>
              <w:spacing w:after="0"/>
              <w:rPr>
                <w:sz w:val="20"/>
                <w:szCs w:val="20"/>
                <w:color w:val="auto"/>
              </w:rPr>
            </w:pPr>
            <w:r>
              <w:rPr>
                <w:rFonts w:ascii="Arial" w:cs="Arial" w:eastAsia="Arial" w:hAnsi="Arial"/>
                <w:sz w:val="14"/>
                <w:szCs w:val="14"/>
                <w:color w:val="auto"/>
              </w:rPr>
              <w:t>35th Percentile</w:t>
            </w:r>
          </w:p>
        </w:tc>
        <w:tc>
          <w:tcPr>
            <w:tcW w:w="1140" w:type="dxa"/>
            <w:vAlign w:val="bottom"/>
          </w:tcPr>
          <w:p>
            <w:pPr>
              <w:jc w:val="right"/>
              <w:spacing w:after="0"/>
              <w:rPr>
                <w:sz w:val="20"/>
                <w:szCs w:val="20"/>
                <w:color w:val="auto"/>
              </w:rPr>
            </w:pPr>
            <w:r>
              <w:rPr>
                <w:rFonts w:ascii="Arial" w:cs="Arial" w:eastAsia="Arial" w:hAnsi="Arial"/>
                <w:sz w:val="14"/>
                <w:szCs w:val="14"/>
                <w:color w:val="auto"/>
              </w:rPr>
              <w:t>50th Percentile</w:t>
            </w:r>
          </w:p>
        </w:tc>
        <w:tc>
          <w:tcPr>
            <w:tcW w:w="1360" w:type="dxa"/>
            <w:vAlign w:val="bottom"/>
            <w:tcBorders>
              <w:right w:val="single" w:sz="8" w:color="D7282F"/>
            </w:tcBorders>
            <w:gridSpan w:val="2"/>
          </w:tcPr>
          <w:p>
            <w:pPr>
              <w:jc w:val="right"/>
              <w:ind w:right="140"/>
              <w:spacing w:after="0"/>
              <w:rPr>
                <w:sz w:val="20"/>
                <w:szCs w:val="20"/>
                <w:color w:val="auto"/>
              </w:rPr>
            </w:pPr>
            <w:r>
              <w:rPr>
                <w:rFonts w:ascii="Arial" w:cs="Arial" w:eastAsia="Arial" w:hAnsi="Arial"/>
                <w:sz w:val="14"/>
                <w:szCs w:val="14"/>
                <w:color w:val="auto"/>
              </w:rPr>
              <w:t>&gt;= 75th Percentile</w:t>
            </w:r>
          </w:p>
        </w:tc>
        <w:tc>
          <w:tcPr>
            <w:tcW w:w="1480" w:type="dxa"/>
            <w:vAlign w:val="bottom"/>
            <w:tcBorders>
              <w:right w:val="single" w:sz="8" w:color="D7282F"/>
            </w:tcBorders>
          </w:tcPr>
          <w:p>
            <w:pPr>
              <w:jc w:val="right"/>
              <w:spacing w:after="0"/>
              <w:rPr>
                <w:sz w:val="20"/>
                <w:szCs w:val="20"/>
                <w:color w:val="auto"/>
              </w:rPr>
            </w:pPr>
            <w:r>
              <w:rPr>
                <w:rFonts w:ascii="Arial" w:cs="Arial" w:eastAsia="Arial" w:hAnsi="Arial"/>
                <w:sz w:val="14"/>
                <w:szCs w:val="14"/>
                <w:color w:val="auto"/>
              </w:rPr>
              <w:t>11th Percentile</w:t>
            </w:r>
          </w:p>
        </w:tc>
        <w:tc>
          <w:tcPr>
            <w:tcW w:w="1600" w:type="dxa"/>
            <w:vAlign w:val="bottom"/>
            <w:gridSpan w:val="2"/>
          </w:tcPr>
          <w:p>
            <w:pPr>
              <w:jc w:val="right"/>
              <w:ind w:right="417"/>
              <w:spacing w:after="0"/>
              <w:rPr>
                <w:sz w:val="20"/>
                <w:szCs w:val="20"/>
                <w:color w:val="auto"/>
              </w:rPr>
            </w:pPr>
            <w:r>
              <w:rPr>
                <w:rFonts w:ascii="Arial" w:cs="Arial" w:eastAsia="Arial" w:hAnsi="Arial"/>
                <w:sz w:val="14"/>
                <w:szCs w:val="14"/>
                <w:color w:val="auto"/>
              </w:rPr>
              <w:t>0 %</w:t>
            </w:r>
          </w:p>
        </w:tc>
        <w:tc>
          <w:tcPr>
            <w:tcW w:w="860" w:type="dxa"/>
            <w:vAlign w:val="bottom"/>
          </w:tcPr>
          <w:p>
            <w:pPr>
              <w:jc w:val="right"/>
              <w:ind w:right="190"/>
              <w:spacing w:after="0"/>
              <w:rPr>
                <w:sz w:val="20"/>
                <w:szCs w:val="20"/>
                <w:color w:val="auto"/>
              </w:rPr>
            </w:pPr>
            <w:r>
              <w:rPr>
                <w:rFonts w:ascii="Arial" w:cs="Arial" w:eastAsia="Arial" w:hAnsi="Arial"/>
                <w:sz w:val="14"/>
                <w:szCs w:val="14"/>
                <w:color w:val="auto"/>
              </w:rPr>
              <w:t>25 %</w:t>
            </w:r>
          </w:p>
        </w:tc>
        <w:tc>
          <w:tcPr>
            <w:tcW w:w="860" w:type="dxa"/>
            <w:vAlign w:val="bottom"/>
          </w:tcPr>
          <w:p>
            <w:pPr>
              <w:jc w:val="right"/>
              <w:spacing w:after="0"/>
              <w:rPr>
                <w:sz w:val="20"/>
                <w:szCs w:val="20"/>
                <w:color w:val="auto"/>
              </w:rPr>
            </w:pPr>
            <w:r>
              <w:rPr>
                <w:rFonts w:ascii="Arial" w:cs="Arial" w:eastAsia="Arial" w:hAnsi="Arial"/>
                <w:sz w:val="14"/>
                <w:szCs w:val="14"/>
                <w:color w:val="auto"/>
              </w:rPr>
              <w:t>0 %</w:t>
            </w:r>
          </w:p>
        </w:tc>
        <w:tc>
          <w:tcPr>
            <w:tcW w:w="0" w:type="dxa"/>
            <w:vAlign w:val="bottom"/>
          </w:tcPr>
          <w:p>
            <w:pPr>
              <w:spacing w:after="0"/>
              <w:rPr>
                <w:sz w:val="1"/>
                <w:szCs w:val="1"/>
                <w:color w:val="auto"/>
              </w:rPr>
            </w:pPr>
          </w:p>
        </w:tc>
      </w:tr>
      <w:tr>
        <w:trPr>
          <w:trHeight w:val="203"/>
        </w:trPr>
        <w:tc>
          <w:tcPr>
            <w:tcW w:w="2560" w:type="dxa"/>
            <w:vAlign w:val="bottom"/>
            <w:tcBorders>
              <w:top w:val="single" w:sz="8" w:color="E1251B"/>
              <w:bottom w:val="single" w:sz="8" w:color="D7282F"/>
            </w:tcBorders>
          </w:tcPr>
          <w:p>
            <w:pPr>
              <w:spacing w:after="0"/>
              <w:rPr>
                <w:sz w:val="17"/>
                <w:szCs w:val="17"/>
                <w:color w:val="auto"/>
              </w:rPr>
            </w:pPr>
          </w:p>
        </w:tc>
        <w:tc>
          <w:tcPr>
            <w:tcW w:w="1380" w:type="dxa"/>
            <w:vAlign w:val="bottom"/>
            <w:tcBorders>
              <w:top w:val="single" w:sz="8" w:color="D7282F"/>
              <w:bottom w:val="single" w:sz="8" w:color="D7282F"/>
            </w:tcBorders>
          </w:tcPr>
          <w:p>
            <w:pPr>
              <w:spacing w:after="0"/>
              <w:rPr>
                <w:sz w:val="17"/>
                <w:szCs w:val="17"/>
                <w:color w:val="auto"/>
              </w:rPr>
            </w:pPr>
          </w:p>
        </w:tc>
        <w:tc>
          <w:tcPr>
            <w:tcW w:w="1140" w:type="dxa"/>
            <w:vAlign w:val="bottom"/>
            <w:tcBorders>
              <w:top w:val="single" w:sz="8" w:color="D7282F"/>
              <w:bottom w:val="single" w:sz="8" w:color="D7282F"/>
            </w:tcBorders>
          </w:tcPr>
          <w:p>
            <w:pPr>
              <w:spacing w:after="0"/>
              <w:rPr>
                <w:sz w:val="17"/>
                <w:szCs w:val="17"/>
                <w:color w:val="auto"/>
              </w:rPr>
            </w:pPr>
          </w:p>
        </w:tc>
        <w:tc>
          <w:tcPr>
            <w:tcW w:w="1240" w:type="dxa"/>
            <w:vAlign w:val="bottom"/>
            <w:tcBorders>
              <w:top w:val="single" w:sz="8" w:color="D7282F"/>
              <w:bottom w:val="single" w:sz="8" w:color="D7282F"/>
            </w:tcBorders>
          </w:tcPr>
          <w:p>
            <w:pPr>
              <w:spacing w:after="0"/>
              <w:rPr>
                <w:sz w:val="17"/>
                <w:szCs w:val="17"/>
                <w:color w:val="auto"/>
              </w:rPr>
            </w:pPr>
          </w:p>
        </w:tc>
        <w:tc>
          <w:tcPr>
            <w:tcW w:w="120" w:type="dxa"/>
            <w:vAlign w:val="bottom"/>
            <w:tcBorders>
              <w:top w:val="single" w:sz="8" w:color="E1251B"/>
              <w:bottom w:val="single" w:sz="8" w:color="D7282F"/>
            </w:tcBorders>
          </w:tcPr>
          <w:p>
            <w:pPr>
              <w:spacing w:after="0"/>
              <w:rPr>
                <w:sz w:val="17"/>
                <w:szCs w:val="17"/>
                <w:color w:val="auto"/>
              </w:rPr>
            </w:pPr>
          </w:p>
        </w:tc>
        <w:tc>
          <w:tcPr>
            <w:tcW w:w="1480" w:type="dxa"/>
            <w:vAlign w:val="bottom"/>
            <w:tcBorders>
              <w:top w:val="single" w:sz="8" w:color="E1251B"/>
              <w:bottom w:val="single" w:sz="8" w:color="D7282F"/>
            </w:tcBorders>
          </w:tcPr>
          <w:p>
            <w:pPr>
              <w:spacing w:after="0"/>
              <w:rPr>
                <w:sz w:val="17"/>
                <w:szCs w:val="17"/>
                <w:color w:val="auto"/>
              </w:rPr>
            </w:pPr>
          </w:p>
        </w:tc>
        <w:tc>
          <w:tcPr>
            <w:tcW w:w="80" w:type="dxa"/>
            <w:vAlign w:val="bottom"/>
            <w:tcBorders>
              <w:top w:val="single" w:sz="8" w:color="D7282F"/>
              <w:bottom w:val="single" w:sz="8" w:color="D7282F"/>
            </w:tcBorders>
          </w:tcPr>
          <w:p>
            <w:pPr>
              <w:spacing w:after="0"/>
              <w:rPr>
                <w:sz w:val="17"/>
                <w:szCs w:val="17"/>
                <w:color w:val="auto"/>
              </w:rPr>
            </w:pPr>
          </w:p>
        </w:tc>
        <w:tc>
          <w:tcPr>
            <w:tcW w:w="1520" w:type="dxa"/>
            <w:vAlign w:val="bottom"/>
            <w:tcBorders>
              <w:top w:val="single" w:sz="8" w:color="E1251B"/>
              <w:bottom w:val="single" w:sz="8" w:color="D7282F"/>
            </w:tcBorders>
          </w:tcPr>
          <w:p>
            <w:pPr>
              <w:spacing w:after="0"/>
              <w:rPr>
                <w:sz w:val="17"/>
                <w:szCs w:val="17"/>
                <w:color w:val="auto"/>
              </w:rPr>
            </w:pPr>
          </w:p>
        </w:tc>
        <w:tc>
          <w:tcPr>
            <w:tcW w:w="860" w:type="dxa"/>
            <w:vAlign w:val="bottom"/>
            <w:tcBorders>
              <w:top w:val="single" w:sz="8" w:color="E1251B"/>
              <w:bottom w:val="single" w:sz="8" w:color="D7282F"/>
            </w:tcBorders>
          </w:tcPr>
          <w:p>
            <w:pPr>
              <w:spacing w:after="0"/>
              <w:rPr>
                <w:sz w:val="17"/>
                <w:szCs w:val="17"/>
                <w:color w:val="auto"/>
              </w:rPr>
            </w:pPr>
          </w:p>
        </w:tc>
        <w:tc>
          <w:tcPr>
            <w:tcW w:w="860" w:type="dxa"/>
            <w:vAlign w:val="bottom"/>
            <w:tcBorders>
              <w:top w:val="single" w:sz="8" w:color="E1251B"/>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0380" w:type="dxa"/>
            <w:vAlign w:val="bottom"/>
            <w:tcBorders>
              <w:left w:val="single" w:sz="8" w:color="D7282F"/>
            </w:tcBorders>
            <w:gridSpan w:val="9"/>
          </w:tcPr>
          <w:p>
            <w:pPr>
              <w:ind w:left="140"/>
              <w:spacing w:after="0"/>
              <w:rPr>
                <w:sz w:val="20"/>
                <w:szCs w:val="20"/>
                <w:color w:val="auto"/>
              </w:rPr>
            </w:pPr>
            <w:r>
              <w:rPr>
                <w:rFonts w:ascii="Arial" w:cs="Arial" w:eastAsia="Arial" w:hAnsi="Arial"/>
                <w:sz w:val="14"/>
                <w:szCs w:val="14"/>
                <w:b w:val="1"/>
                <w:bCs w:val="1"/>
                <w:color w:val="auto"/>
              </w:rPr>
              <w:t>Total PSU Calculated Percentage — Corporate NEOs (Messrs. Adamczyk and Lewis, and Ms. Madden) — based 100% on performance against</w:t>
            </w:r>
          </w:p>
        </w:tc>
        <w:tc>
          <w:tcPr>
            <w:tcW w:w="860" w:type="dxa"/>
            <w:vAlign w:val="bottom"/>
            <w:tcBorders>
              <w:right w:val="single" w:sz="8" w:color="D7282F"/>
            </w:tcBorders>
            <w:vMerge w:val="restart"/>
          </w:tcPr>
          <w:p>
            <w:pPr>
              <w:jc w:val="right"/>
              <w:spacing w:after="0"/>
              <w:rPr>
                <w:sz w:val="20"/>
                <w:szCs w:val="20"/>
                <w:color w:val="auto"/>
              </w:rPr>
            </w:pPr>
            <w:r>
              <w:rPr>
                <w:rFonts w:ascii="Arial" w:cs="Arial" w:eastAsia="Arial" w:hAnsi="Arial"/>
                <w:sz w:val="13"/>
                <w:szCs w:val="13"/>
                <w:b w:val="1"/>
                <w:bCs w:val="1"/>
                <w:color w:val="auto"/>
              </w:rPr>
              <w:t>145 %</w:t>
            </w:r>
          </w:p>
        </w:tc>
        <w:tc>
          <w:tcPr>
            <w:tcW w:w="0" w:type="dxa"/>
            <w:vAlign w:val="bottom"/>
          </w:tcPr>
          <w:p>
            <w:pPr>
              <w:spacing w:after="0"/>
              <w:rPr>
                <w:sz w:val="1"/>
                <w:szCs w:val="1"/>
                <w:color w:val="auto"/>
              </w:rPr>
            </w:pPr>
          </w:p>
        </w:tc>
      </w:tr>
      <w:tr>
        <w:trPr>
          <w:trHeight w:val="82"/>
        </w:trPr>
        <w:tc>
          <w:tcPr>
            <w:tcW w:w="2560" w:type="dxa"/>
            <w:vAlign w:val="bottom"/>
            <w:tcBorders>
              <w:left w:val="single" w:sz="8" w:color="D7282F"/>
            </w:tcBorders>
            <w:vMerge w:val="restart"/>
          </w:tcPr>
          <w:p>
            <w:pPr>
              <w:ind w:left="140"/>
              <w:spacing w:after="0"/>
              <w:rPr>
                <w:sz w:val="20"/>
                <w:szCs w:val="20"/>
                <w:color w:val="auto"/>
              </w:rPr>
            </w:pPr>
            <w:r>
              <w:rPr>
                <w:rFonts w:ascii="Arial" w:cs="Arial" w:eastAsia="Arial" w:hAnsi="Arial"/>
                <w:sz w:val="14"/>
                <w:szCs w:val="14"/>
                <w:b w:val="1"/>
                <w:bCs w:val="1"/>
                <w:color w:val="auto"/>
              </w:rPr>
              <w:t>Total Honeywell goals.</w:t>
            </w:r>
          </w:p>
        </w:tc>
        <w:tc>
          <w:tcPr>
            <w:tcW w:w="13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Borders>
              <w:right w:val="single" w:sz="8" w:color="D7282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560" w:type="dxa"/>
            <w:vAlign w:val="bottom"/>
            <w:tcBorders>
              <w:left w:val="single" w:sz="8" w:color="D7282F"/>
              <w:bottom w:val="single" w:sz="8" w:color="D7282F"/>
            </w:tcBorders>
            <w:vMerge w:val="continue"/>
          </w:tcPr>
          <w:p>
            <w:pPr>
              <w:spacing w:after="0"/>
              <w:rPr>
                <w:sz w:val="10"/>
                <w:szCs w:val="10"/>
                <w:color w:val="auto"/>
              </w:rPr>
            </w:pPr>
          </w:p>
        </w:tc>
        <w:tc>
          <w:tcPr>
            <w:tcW w:w="1380" w:type="dxa"/>
            <w:vAlign w:val="bottom"/>
            <w:tcBorders>
              <w:bottom w:val="single" w:sz="8" w:color="D7282F"/>
            </w:tcBorders>
          </w:tcPr>
          <w:p>
            <w:pPr>
              <w:spacing w:after="0"/>
              <w:rPr>
                <w:sz w:val="10"/>
                <w:szCs w:val="10"/>
                <w:color w:val="auto"/>
              </w:rPr>
            </w:pPr>
          </w:p>
        </w:tc>
        <w:tc>
          <w:tcPr>
            <w:tcW w:w="1140" w:type="dxa"/>
            <w:vAlign w:val="bottom"/>
            <w:tcBorders>
              <w:bottom w:val="single" w:sz="8" w:color="D7282F"/>
            </w:tcBorders>
          </w:tcPr>
          <w:p>
            <w:pPr>
              <w:spacing w:after="0"/>
              <w:rPr>
                <w:sz w:val="10"/>
                <w:szCs w:val="10"/>
                <w:color w:val="auto"/>
              </w:rPr>
            </w:pPr>
          </w:p>
        </w:tc>
        <w:tc>
          <w:tcPr>
            <w:tcW w:w="1240" w:type="dxa"/>
            <w:vAlign w:val="bottom"/>
            <w:tcBorders>
              <w:bottom w:val="single" w:sz="8" w:color="D7282F"/>
            </w:tcBorders>
          </w:tcPr>
          <w:p>
            <w:pPr>
              <w:spacing w:after="0"/>
              <w:rPr>
                <w:sz w:val="10"/>
                <w:szCs w:val="10"/>
                <w:color w:val="auto"/>
              </w:rPr>
            </w:pPr>
          </w:p>
        </w:tc>
        <w:tc>
          <w:tcPr>
            <w:tcW w:w="120" w:type="dxa"/>
            <w:vAlign w:val="bottom"/>
            <w:tcBorders>
              <w:bottom w:val="single" w:sz="8" w:color="D7282F"/>
            </w:tcBorders>
          </w:tcPr>
          <w:p>
            <w:pPr>
              <w:spacing w:after="0"/>
              <w:rPr>
                <w:sz w:val="10"/>
                <w:szCs w:val="10"/>
                <w:color w:val="auto"/>
              </w:rPr>
            </w:pPr>
          </w:p>
        </w:tc>
        <w:tc>
          <w:tcPr>
            <w:tcW w:w="1480" w:type="dxa"/>
            <w:vAlign w:val="bottom"/>
            <w:tcBorders>
              <w:bottom w:val="single" w:sz="8" w:color="D7282F"/>
            </w:tcBorders>
          </w:tcPr>
          <w:p>
            <w:pPr>
              <w:spacing w:after="0"/>
              <w:rPr>
                <w:sz w:val="10"/>
                <w:szCs w:val="10"/>
                <w:color w:val="auto"/>
              </w:rPr>
            </w:pPr>
          </w:p>
        </w:tc>
        <w:tc>
          <w:tcPr>
            <w:tcW w:w="80" w:type="dxa"/>
            <w:vAlign w:val="bottom"/>
            <w:tcBorders>
              <w:bottom w:val="single" w:sz="8" w:color="D7282F"/>
            </w:tcBorders>
          </w:tcPr>
          <w:p>
            <w:pPr>
              <w:spacing w:after="0"/>
              <w:rPr>
                <w:sz w:val="10"/>
                <w:szCs w:val="10"/>
                <w:color w:val="auto"/>
              </w:rPr>
            </w:pPr>
          </w:p>
        </w:tc>
        <w:tc>
          <w:tcPr>
            <w:tcW w:w="152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tcBorders>
          </w:tcPr>
          <w:p>
            <w:pPr>
              <w:spacing w:after="0"/>
              <w:rPr>
                <w:sz w:val="10"/>
                <w:szCs w:val="10"/>
                <w:color w:val="auto"/>
              </w:rPr>
            </w:pPr>
          </w:p>
        </w:tc>
        <w:tc>
          <w:tcPr>
            <w:tcW w:w="860" w:type="dxa"/>
            <w:vAlign w:val="bottom"/>
            <w:tcBorders>
              <w:bottom w:val="single" w:sz="8" w:color="D7282F"/>
              <w:right w:val="single" w:sz="8" w:color="D7282F"/>
            </w:tcBorders>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right w:val="single" w:sz="8" w:color="D7282F"/>
            </w:tcBorders>
          </w:tcPr>
          <w:p>
            <w:pPr>
              <w:spacing w:after="0"/>
              <w:rPr>
                <w:sz w:val="16"/>
                <w:szCs w:val="16"/>
                <w:color w:val="auto"/>
              </w:rPr>
            </w:pPr>
          </w:p>
        </w:tc>
        <w:tc>
          <w:tcPr>
            <w:tcW w:w="148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80" w:type="dxa"/>
            <w:vAlign w:val="bottom"/>
          </w:tcPr>
          <w:p>
            <w:pPr>
              <w:spacing w:after="0"/>
              <w:rPr>
                <w:sz w:val="16"/>
                <w:szCs w:val="16"/>
                <w:color w:val="auto"/>
              </w:rPr>
            </w:pPr>
          </w:p>
        </w:tc>
        <w:tc>
          <w:tcPr>
            <w:tcW w:w="1520" w:type="dxa"/>
            <w:vAlign w:val="bottom"/>
          </w:tcPr>
          <w:p>
            <w:pPr>
              <w:jc w:val="right"/>
              <w:ind w:right="417"/>
              <w:spacing w:after="0"/>
              <w:rPr>
                <w:sz w:val="20"/>
                <w:szCs w:val="20"/>
                <w:color w:val="auto"/>
              </w:rPr>
            </w:pPr>
            <w:r>
              <w:rPr>
                <w:rFonts w:ascii="Arial" w:cs="Arial" w:eastAsia="Arial" w:hAnsi="Arial"/>
                <w:sz w:val="13"/>
                <w:szCs w:val="13"/>
                <w:b w:val="1"/>
                <w:bCs w:val="1"/>
                <w:color w:val="auto"/>
              </w:rPr>
              <w:t>Payout</w:t>
            </w:r>
          </w:p>
        </w:tc>
        <w:tc>
          <w:tcPr>
            <w:tcW w:w="8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93"/>
        </w:trPr>
        <w:tc>
          <w:tcPr>
            <w:tcW w:w="2560" w:type="dxa"/>
            <w:vAlign w:val="bottom"/>
          </w:tcPr>
          <w:p>
            <w:pPr>
              <w:ind w:left="140"/>
              <w:spacing w:after="0"/>
              <w:rPr>
                <w:sz w:val="20"/>
                <w:szCs w:val="20"/>
                <w:color w:val="auto"/>
              </w:rPr>
            </w:pPr>
            <w:r>
              <w:rPr>
                <w:rFonts w:ascii="Arial" w:cs="Arial" w:eastAsia="Arial" w:hAnsi="Arial"/>
                <w:sz w:val="13"/>
                <w:szCs w:val="13"/>
                <w:b w:val="1"/>
                <w:bCs w:val="1"/>
                <w:color w:val="auto"/>
              </w:rPr>
              <w:t>HBT</w:t>
            </w:r>
          </w:p>
        </w:tc>
        <w:tc>
          <w:tcPr>
            <w:tcW w:w="1380" w:type="dxa"/>
            <w:vAlign w:val="bottom"/>
          </w:tcPr>
          <w:p>
            <w:pPr>
              <w:jc w:val="right"/>
              <w:ind w:right="70"/>
              <w:spacing w:after="0"/>
              <w:rPr>
                <w:sz w:val="20"/>
                <w:szCs w:val="20"/>
                <w:color w:val="auto"/>
              </w:rPr>
            </w:pPr>
            <w:r>
              <w:rPr>
                <w:rFonts w:ascii="Arial" w:cs="Arial" w:eastAsia="Arial" w:hAnsi="Arial"/>
                <w:sz w:val="13"/>
                <w:szCs w:val="13"/>
                <w:b w:val="1"/>
                <w:bCs w:val="1"/>
                <w:color w:val="auto"/>
              </w:rPr>
              <w:t>Threshold</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360" w:type="dxa"/>
            <w:vAlign w:val="bottom"/>
            <w:tcBorders>
              <w:right w:val="single" w:sz="8" w:color="D7282F"/>
            </w:tcBorders>
            <w:gridSpan w:val="2"/>
          </w:tcPr>
          <w:p>
            <w:pPr>
              <w:jc w:val="right"/>
              <w:ind w:right="140"/>
              <w:spacing w:after="0"/>
              <w:rPr>
                <w:sz w:val="20"/>
                <w:szCs w:val="20"/>
                <w:color w:val="auto"/>
              </w:rPr>
            </w:pPr>
            <w:r>
              <w:rPr>
                <w:rFonts w:ascii="Arial" w:cs="Arial" w:eastAsia="Arial" w:hAnsi="Arial"/>
                <w:sz w:val="13"/>
                <w:szCs w:val="13"/>
                <w:b w:val="1"/>
                <w:bCs w:val="1"/>
                <w:color w:val="auto"/>
              </w:rPr>
              <w:t>Maximum</w:t>
            </w:r>
          </w:p>
        </w:tc>
        <w:tc>
          <w:tcPr>
            <w:tcW w:w="148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80" w:type="dxa"/>
            <w:vAlign w:val="bottom"/>
          </w:tcPr>
          <w:p>
            <w:pPr>
              <w:spacing w:after="0"/>
              <w:rPr>
                <w:sz w:val="16"/>
                <w:szCs w:val="16"/>
                <w:color w:val="auto"/>
              </w:rPr>
            </w:pPr>
          </w:p>
        </w:tc>
        <w:tc>
          <w:tcPr>
            <w:tcW w:w="1520" w:type="dxa"/>
            <w:vAlign w:val="bottom"/>
          </w:tcPr>
          <w:p>
            <w:pPr>
              <w:jc w:val="right"/>
              <w:ind w:right="417"/>
              <w:spacing w:after="0"/>
              <w:rPr>
                <w:sz w:val="20"/>
                <w:szCs w:val="20"/>
                <w:color w:val="auto"/>
              </w:rPr>
            </w:pPr>
            <w:r>
              <w:rPr>
                <w:rFonts w:ascii="Arial" w:cs="Arial" w:eastAsia="Arial" w:hAnsi="Arial"/>
                <w:sz w:val="13"/>
                <w:szCs w:val="13"/>
                <w:b w:val="1"/>
                <w:bCs w:val="1"/>
                <w:color w:val="auto"/>
              </w:rPr>
              <w:t>Factor</w:t>
            </w:r>
          </w:p>
        </w:tc>
        <w:tc>
          <w:tcPr>
            <w:tcW w:w="860" w:type="dxa"/>
            <w:vAlign w:val="bottom"/>
          </w:tcPr>
          <w:p>
            <w:pPr>
              <w:jc w:val="right"/>
              <w:ind w:right="190"/>
              <w:spacing w:after="0"/>
              <w:rPr>
                <w:sz w:val="20"/>
                <w:szCs w:val="20"/>
                <w:color w:val="auto"/>
              </w:rPr>
            </w:pPr>
            <w:r>
              <w:rPr>
                <w:rFonts w:ascii="Arial" w:cs="Arial" w:eastAsia="Arial" w:hAnsi="Arial"/>
                <w:sz w:val="13"/>
                <w:szCs w:val="13"/>
                <w:b w:val="1"/>
                <w:bCs w:val="1"/>
                <w:color w:val="auto"/>
              </w:rPr>
              <w:t>Weight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217"/>
        </w:trPr>
        <w:tc>
          <w:tcPr>
            <w:tcW w:w="2560" w:type="dxa"/>
            <w:vAlign w:val="bottom"/>
            <w:tcBorders>
              <w:top w:val="single" w:sz="8" w:color="D7282F"/>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Cumulative Revenue ($M)</w:t>
            </w:r>
          </w:p>
        </w:tc>
        <w:tc>
          <w:tcPr>
            <w:tcW w:w="1380" w:type="dxa"/>
            <w:vAlign w:val="bottom"/>
            <w:tcBorders>
              <w:top w:val="single" w:sz="8" w:color="D7282F"/>
              <w:bottom w:val="single" w:sz="8" w:color="939598"/>
            </w:tcBorders>
          </w:tcPr>
          <w:p>
            <w:pPr>
              <w:jc w:val="right"/>
              <w:ind w:right="70"/>
              <w:spacing w:after="0"/>
              <w:rPr>
                <w:sz w:val="20"/>
                <w:szCs w:val="20"/>
                <w:color w:val="auto"/>
              </w:rPr>
            </w:pPr>
            <w:r>
              <w:rPr>
                <w:rFonts w:ascii="Arial" w:cs="Arial" w:eastAsia="Arial" w:hAnsi="Arial"/>
                <w:sz w:val="14"/>
                <w:szCs w:val="14"/>
                <w:color w:val="auto"/>
              </w:rPr>
              <w:t>$16,522</w:t>
            </w:r>
          </w:p>
        </w:tc>
        <w:tc>
          <w:tcPr>
            <w:tcW w:w="11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$17,121</w:t>
            </w:r>
          </w:p>
        </w:tc>
        <w:tc>
          <w:tcPr>
            <w:tcW w:w="12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$17,720</w:t>
            </w:r>
          </w:p>
        </w:tc>
        <w:tc>
          <w:tcPr>
            <w:tcW w:w="120" w:type="dxa"/>
            <w:vAlign w:val="bottom"/>
            <w:tcBorders>
              <w:top w:val="single" w:sz="8" w:color="D7282F"/>
              <w:bottom w:val="single" w:sz="8" w:color="939598"/>
              <w:right w:val="single" w:sz="8" w:color="D7282F"/>
            </w:tcBorders>
          </w:tcPr>
          <w:p>
            <w:pPr>
              <w:spacing w:after="0"/>
              <w:rPr>
                <w:sz w:val="18"/>
                <w:szCs w:val="18"/>
                <w:color w:val="auto"/>
              </w:rPr>
            </w:pPr>
          </w:p>
        </w:tc>
        <w:tc>
          <w:tcPr>
            <w:tcW w:w="1480" w:type="dxa"/>
            <w:vAlign w:val="bottom"/>
            <w:tcBorders>
              <w:top w:val="single" w:sz="8" w:color="D7282F"/>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$18,347</w:t>
            </w:r>
          </w:p>
        </w:tc>
        <w:tc>
          <w:tcPr>
            <w:tcW w:w="1600" w:type="dxa"/>
            <w:vAlign w:val="bottom"/>
            <w:tcBorders>
              <w:top w:val="single" w:sz="8" w:color="D7282F"/>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top w:val="single" w:sz="8" w:color="D7282F"/>
              <w:bottom w:val="single" w:sz="8" w:color="939598"/>
            </w:tcBorders>
          </w:tcPr>
          <w:p>
            <w:pPr>
              <w:jc w:val="right"/>
              <w:ind w:right="190"/>
              <w:spacing w:after="0"/>
              <w:rPr>
                <w:sz w:val="20"/>
                <w:szCs w:val="20"/>
                <w:color w:val="auto"/>
              </w:rPr>
            </w:pPr>
            <w:r>
              <w:rPr>
                <w:rFonts w:ascii="Arial" w:cs="Arial" w:eastAsia="Arial" w:hAnsi="Arial"/>
                <w:sz w:val="14"/>
                <w:szCs w:val="14"/>
                <w:color w:val="auto"/>
              </w:rPr>
              <w:t>12.5 %</w:t>
            </w:r>
          </w:p>
        </w:tc>
        <w:tc>
          <w:tcPr>
            <w:tcW w:w="86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Average Segment Margin Rate</w:t>
            </w:r>
          </w:p>
        </w:tc>
        <w:tc>
          <w:tcPr>
            <w:tcW w:w="1380" w:type="dxa"/>
            <w:vAlign w:val="bottom"/>
            <w:tcBorders>
              <w:bottom w:val="single" w:sz="8" w:color="939598"/>
            </w:tcBorders>
          </w:tcPr>
          <w:p>
            <w:pPr>
              <w:jc w:val="right"/>
              <w:ind w:right="70"/>
              <w:spacing w:after="0"/>
              <w:rPr>
                <w:sz w:val="20"/>
                <w:szCs w:val="20"/>
                <w:color w:val="auto"/>
              </w:rPr>
            </w:pPr>
            <w:r>
              <w:rPr>
                <w:rFonts w:ascii="Arial" w:cs="Arial" w:eastAsia="Arial" w:hAnsi="Arial"/>
                <w:sz w:val="14"/>
                <w:szCs w:val="14"/>
                <w:color w:val="auto"/>
              </w:rPr>
              <w:t>22.2 %</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22.7 %</w:t>
            </w: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&gt;= 23.2%</w:t>
            </w:r>
          </w:p>
        </w:tc>
        <w:tc>
          <w:tcPr>
            <w:tcW w:w="120" w:type="dxa"/>
            <w:vAlign w:val="bottom"/>
            <w:tcBorders>
              <w:bottom w:val="single" w:sz="8" w:color="939598"/>
              <w:right w:val="single" w:sz="8" w:color="D7282F"/>
            </w:tcBorders>
          </w:tcPr>
          <w:p>
            <w:pPr>
              <w:spacing w:after="0"/>
              <w:rPr>
                <w:sz w:val="19"/>
                <w:szCs w:val="19"/>
                <w:color w:val="auto"/>
              </w:rPr>
            </w:pPr>
          </w:p>
        </w:tc>
        <w:tc>
          <w:tcPr>
            <w:tcW w:w="148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23.9 %</w:t>
            </w:r>
          </w:p>
        </w:tc>
        <w:tc>
          <w:tcPr>
            <w:tcW w:w="1600" w:type="dxa"/>
            <w:vAlign w:val="bottom"/>
            <w:tcBorders>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12.5 %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Average ROI</w:t>
            </w:r>
          </w:p>
        </w:tc>
        <w:tc>
          <w:tcPr>
            <w:tcW w:w="1380" w:type="dxa"/>
            <w:vAlign w:val="bottom"/>
            <w:tcBorders>
              <w:bottom w:val="single" w:sz="8" w:color="D7282F"/>
            </w:tcBorders>
          </w:tcPr>
          <w:p>
            <w:pPr>
              <w:jc w:val="right"/>
              <w:ind w:right="70"/>
              <w:spacing w:after="0"/>
              <w:rPr>
                <w:sz w:val="20"/>
                <w:szCs w:val="20"/>
                <w:color w:val="auto"/>
              </w:rPr>
            </w:pPr>
            <w:r>
              <w:rPr>
                <w:rFonts w:ascii="Arial" w:cs="Arial" w:eastAsia="Arial" w:hAnsi="Arial"/>
                <w:sz w:val="14"/>
                <w:szCs w:val="14"/>
                <w:color w:val="auto"/>
              </w:rPr>
              <w:t>26.0 %</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26.9 %</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&gt;= 27.8%</w:t>
            </w:r>
          </w:p>
        </w:tc>
        <w:tc>
          <w:tcPr>
            <w:tcW w:w="120" w:type="dxa"/>
            <w:vAlign w:val="bottom"/>
            <w:tcBorders>
              <w:bottom w:val="single" w:sz="8" w:color="D7282F"/>
              <w:right w:val="single" w:sz="8" w:color="D7282F"/>
            </w:tcBorders>
          </w:tcPr>
          <w:p>
            <w:pPr>
              <w:spacing w:after="0"/>
              <w:rPr>
                <w:sz w:val="19"/>
                <w:szCs w:val="19"/>
                <w:color w:val="auto"/>
              </w:rPr>
            </w:pPr>
          </w:p>
        </w:tc>
        <w:tc>
          <w:tcPr>
            <w:tcW w:w="148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4"/>
                <w:szCs w:val="14"/>
                <w:color w:val="auto"/>
              </w:rPr>
              <w:t>29.3 %</w:t>
            </w:r>
          </w:p>
        </w:tc>
        <w:tc>
          <w:tcPr>
            <w:tcW w:w="1600" w:type="dxa"/>
            <w:vAlign w:val="bottom"/>
            <w:tcBorders>
              <w:bottom w:val="single" w:sz="8" w:color="D7282F"/>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bottom w:val="single" w:sz="8" w:color="D7282F"/>
            </w:tcBorders>
          </w:tcPr>
          <w:p>
            <w:pPr>
              <w:jc w:val="right"/>
              <w:ind w:right="190"/>
              <w:spacing w:after="0"/>
              <w:rPr>
                <w:sz w:val="20"/>
                <w:szCs w:val="20"/>
                <w:color w:val="auto"/>
              </w:rPr>
            </w:pPr>
            <w:r>
              <w:rPr>
                <w:rFonts w:ascii="Arial" w:cs="Arial" w:eastAsia="Arial" w:hAnsi="Arial"/>
                <w:sz w:val="14"/>
                <w:szCs w:val="14"/>
                <w:color w:val="auto"/>
              </w:rPr>
              <w:t>12.5 %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D7282F"/>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Borders>
              <w:right w:val="single" w:sz="8" w:color="D7282F"/>
            </w:tcBorders>
          </w:tcPr>
          <w:p>
            <w:pPr>
              <w:spacing w:after="0"/>
              <w:rPr>
                <w:sz w:val="16"/>
                <w:szCs w:val="16"/>
                <w:color w:val="auto"/>
              </w:rPr>
            </w:pPr>
          </w:p>
        </w:tc>
        <w:tc>
          <w:tcPr>
            <w:tcW w:w="148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80" w:type="dxa"/>
            <w:vAlign w:val="bottom"/>
          </w:tcPr>
          <w:p>
            <w:pPr>
              <w:spacing w:after="0"/>
              <w:rPr>
                <w:sz w:val="16"/>
                <w:szCs w:val="16"/>
                <w:color w:val="auto"/>
              </w:rPr>
            </w:pPr>
          </w:p>
        </w:tc>
        <w:tc>
          <w:tcPr>
            <w:tcW w:w="1520" w:type="dxa"/>
            <w:vAlign w:val="bottom"/>
          </w:tcPr>
          <w:p>
            <w:pPr>
              <w:jc w:val="right"/>
              <w:ind w:right="417"/>
              <w:spacing w:after="0"/>
              <w:rPr>
                <w:sz w:val="20"/>
                <w:szCs w:val="20"/>
                <w:color w:val="auto"/>
              </w:rPr>
            </w:pPr>
            <w:r>
              <w:rPr>
                <w:rFonts w:ascii="Arial" w:cs="Arial" w:eastAsia="Arial" w:hAnsi="Arial"/>
                <w:sz w:val="13"/>
                <w:szCs w:val="13"/>
                <w:b w:val="1"/>
                <w:bCs w:val="1"/>
                <w:color w:val="auto"/>
              </w:rPr>
              <w:t>Payout</w:t>
            </w:r>
          </w:p>
        </w:tc>
        <w:tc>
          <w:tcPr>
            <w:tcW w:w="8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93"/>
        </w:trPr>
        <w:tc>
          <w:tcPr>
            <w:tcW w:w="2560" w:type="dxa"/>
            <w:vAlign w:val="bottom"/>
          </w:tcPr>
          <w:p>
            <w:pPr>
              <w:ind w:left="140"/>
              <w:spacing w:after="0"/>
              <w:rPr>
                <w:sz w:val="20"/>
                <w:szCs w:val="20"/>
                <w:color w:val="auto"/>
              </w:rPr>
            </w:pPr>
            <w:r>
              <w:rPr>
                <w:rFonts w:ascii="Arial" w:cs="Arial" w:eastAsia="Arial" w:hAnsi="Arial"/>
                <w:sz w:val="13"/>
                <w:szCs w:val="13"/>
                <w:b w:val="1"/>
                <w:bCs w:val="1"/>
                <w:color w:val="auto"/>
              </w:rPr>
              <w:t>PMT</w:t>
            </w:r>
          </w:p>
        </w:tc>
        <w:tc>
          <w:tcPr>
            <w:tcW w:w="1380" w:type="dxa"/>
            <w:vAlign w:val="bottom"/>
          </w:tcPr>
          <w:p>
            <w:pPr>
              <w:jc w:val="right"/>
              <w:ind w:right="70"/>
              <w:spacing w:after="0"/>
              <w:rPr>
                <w:sz w:val="20"/>
                <w:szCs w:val="20"/>
                <w:color w:val="auto"/>
              </w:rPr>
            </w:pPr>
            <w:r>
              <w:rPr>
                <w:rFonts w:ascii="Arial" w:cs="Arial" w:eastAsia="Arial" w:hAnsi="Arial"/>
                <w:sz w:val="13"/>
                <w:szCs w:val="13"/>
                <w:b w:val="1"/>
                <w:bCs w:val="1"/>
                <w:color w:val="auto"/>
              </w:rPr>
              <w:t>Threshold</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360" w:type="dxa"/>
            <w:vAlign w:val="bottom"/>
            <w:tcBorders>
              <w:right w:val="single" w:sz="8" w:color="D7282F"/>
            </w:tcBorders>
            <w:gridSpan w:val="2"/>
          </w:tcPr>
          <w:p>
            <w:pPr>
              <w:jc w:val="right"/>
              <w:ind w:right="140"/>
              <w:spacing w:after="0"/>
              <w:rPr>
                <w:sz w:val="20"/>
                <w:szCs w:val="20"/>
                <w:color w:val="auto"/>
              </w:rPr>
            </w:pPr>
            <w:r>
              <w:rPr>
                <w:rFonts w:ascii="Arial" w:cs="Arial" w:eastAsia="Arial" w:hAnsi="Arial"/>
                <w:sz w:val="13"/>
                <w:szCs w:val="13"/>
                <w:b w:val="1"/>
                <w:bCs w:val="1"/>
                <w:color w:val="auto"/>
              </w:rPr>
              <w:t>Maximum</w:t>
            </w:r>
          </w:p>
        </w:tc>
        <w:tc>
          <w:tcPr>
            <w:tcW w:w="148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80" w:type="dxa"/>
            <w:vAlign w:val="bottom"/>
          </w:tcPr>
          <w:p>
            <w:pPr>
              <w:spacing w:after="0"/>
              <w:rPr>
                <w:sz w:val="16"/>
                <w:szCs w:val="16"/>
                <w:color w:val="auto"/>
              </w:rPr>
            </w:pPr>
          </w:p>
        </w:tc>
        <w:tc>
          <w:tcPr>
            <w:tcW w:w="1520" w:type="dxa"/>
            <w:vAlign w:val="bottom"/>
          </w:tcPr>
          <w:p>
            <w:pPr>
              <w:jc w:val="right"/>
              <w:ind w:right="417"/>
              <w:spacing w:after="0"/>
              <w:rPr>
                <w:sz w:val="20"/>
                <w:szCs w:val="20"/>
                <w:color w:val="auto"/>
              </w:rPr>
            </w:pPr>
            <w:r>
              <w:rPr>
                <w:rFonts w:ascii="Arial" w:cs="Arial" w:eastAsia="Arial" w:hAnsi="Arial"/>
                <w:sz w:val="13"/>
                <w:szCs w:val="13"/>
                <w:b w:val="1"/>
                <w:bCs w:val="1"/>
                <w:color w:val="auto"/>
              </w:rPr>
              <w:t>Factor</w:t>
            </w:r>
          </w:p>
        </w:tc>
        <w:tc>
          <w:tcPr>
            <w:tcW w:w="860" w:type="dxa"/>
            <w:vAlign w:val="bottom"/>
          </w:tcPr>
          <w:p>
            <w:pPr>
              <w:jc w:val="right"/>
              <w:ind w:right="190"/>
              <w:spacing w:after="0"/>
              <w:rPr>
                <w:sz w:val="20"/>
                <w:szCs w:val="20"/>
                <w:color w:val="auto"/>
              </w:rPr>
            </w:pPr>
            <w:r>
              <w:rPr>
                <w:rFonts w:ascii="Arial" w:cs="Arial" w:eastAsia="Arial" w:hAnsi="Arial"/>
                <w:sz w:val="13"/>
                <w:szCs w:val="13"/>
                <w:b w:val="1"/>
                <w:bCs w:val="1"/>
                <w:color w:val="auto"/>
              </w:rPr>
              <w:t>Weight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217"/>
        </w:trPr>
        <w:tc>
          <w:tcPr>
            <w:tcW w:w="2560" w:type="dxa"/>
            <w:vAlign w:val="bottom"/>
            <w:tcBorders>
              <w:top w:val="single" w:sz="8" w:color="D7282F"/>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Cumulative Revenue ($M)</w:t>
            </w:r>
          </w:p>
        </w:tc>
        <w:tc>
          <w:tcPr>
            <w:tcW w:w="1380" w:type="dxa"/>
            <w:vAlign w:val="bottom"/>
            <w:tcBorders>
              <w:top w:val="single" w:sz="8" w:color="D7282F"/>
              <w:bottom w:val="single" w:sz="8" w:color="939598"/>
            </w:tcBorders>
          </w:tcPr>
          <w:p>
            <w:pPr>
              <w:jc w:val="right"/>
              <w:ind w:right="70"/>
              <w:spacing w:after="0"/>
              <w:rPr>
                <w:sz w:val="20"/>
                <w:szCs w:val="20"/>
                <w:color w:val="auto"/>
              </w:rPr>
            </w:pPr>
            <w:r>
              <w:rPr>
                <w:rFonts w:ascii="Arial" w:cs="Arial" w:eastAsia="Arial" w:hAnsi="Arial"/>
                <w:sz w:val="14"/>
                <w:szCs w:val="14"/>
                <w:color w:val="auto"/>
              </w:rPr>
              <w:t>$29,357</w:t>
            </w:r>
          </w:p>
        </w:tc>
        <w:tc>
          <w:tcPr>
            <w:tcW w:w="11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$30,422</w:t>
            </w:r>
          </w:p>
        </w:tc>
        <w:tc>
          <w:tcPr>
            <w:tcW w:w="124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$31,486</w:t>
            </w:r>
          </w:p>
        </w:tc>
        <w:tc>
          <w:tcPr>
            <w:tcW w:w="120" w:type="dxa"/>
            <w:vAlign w:val="bottom"/>
            <w:tcBorders>
              <w:top w:val="single" w:sz="8" w:color="D7282F"/>
              <w:bottom w:val="single" w:sz="8" w:color="939598"/>
              <w:right w:val="single" w:sz="8" w:color="D7282F"/>
            </w:tcBorders>
          </w:tcPr>
          <w:p>
            <w:pPr>
              <w:spacing w:after="0"/>
              <w:rPr>
                <w:sz w:val="18"/>
                <w:szCs w:val="18"/>
                <w:color w:val="auto"/>
              </w:rPr>
            </w:pPr>
          </w:p>
        </w:tc>
        <w:tc>
          <w:tcPr>
            <w:tcW w:w="1480" w:type="dxa"/>
            <w:vAlign w:val="bottom"/>
            <w:tcBorders>
              <w:top w:val="single" w:sz="8" w:color="D7282F"/>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$33,275</w:t>
            </w:r>
          </w:p>
        </w:tc>
        <w:tc>
          <w:tcPr>
            <w:tcW w:w="1600" w:type="dxa"/>
            <w:vAlign w:val="bottom"/>
            <w:tcBorders>
              <w:top w:val="single" w:sz="8" w:color="D7282F"/>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top w:val="single" w:sz="8" w:color="D7282F"/>
              <w:bottom w:val="single" w:sz="8" w:color="939598"/>
            </w:tcBorders>
          </w:tcPr>
          <w:p>
            <w:pPr>
              <w:jc w:val="right"/>
              <w:ind w:right="190"/>
              <w:spacing w:after="0"/>
              <w:rPr>
                <w:sz w:val="20"/>
                <w:szCs w:val="20"/>
                <w:color w:val="auto"/>
              </w:rPr>
            </w:pPr>
            <w:r>
              <w:rPr>
                <w:rFonts w:ascii="Arial" w:cs="Arial" w:eastAsia="Arial" w:hAnsi="Arial"/>
                <w:sz w:val="14"/>
                <w:szCs w:val="14"/>
                <w:color w:val="auto"/>
              </w:rPr>
              <w:t>12.5 %</w:t>
            </w:r>
          </w:p>
        </w:tc>
        <w:tc>
          <w:tcPr>
            <w:tcW w:w="86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939598"/>
            </w:tcBorders>
          </w:tcPr>
          <w:p>
            <w:pPr>
              <w:ind w:left="140"/>
              <w:spacing w:after="0"/>
              <w:rPr>
                <w:sz w:val="20"/>
                <w:szCs w:val="20"/>
                <w:color w:val="auto"/>
              </w:rPr>
            </w:pPr>
            <w:r>
              <w:rPr>
                <w:rFonts w:ascii="Arial" w:cs="Arial" w:eastAsia="Arial" w:hAnsi="Arial"/>
                <w:sz w:val="14"/>
                <w:szCs w:val="14"/>
                <w:b w:val="1"/>
                <w:bCs w:val="1"/>
                <w:color w:val="auto"/>
              </w:rPr>
              <w:t>Average Segment Margin Rate</w:t>
            </w:r>
          </w:p>
        </w:tc>
        <w:tc>
          <w:tcPr>
            <w:tcW w:w="1380" w:type="dxa"/>
            <w:vAlign w:val="bottom"/>
            <w:tcBorders>
              <w:bottom w:val="single" w:sz="8" w:color="939598"/>
            </w:tcBorders>
          </w:tcPr>
          <w:p>
            <w:pPr>
              <w:jc w:val="right"/>
              <w:ind w:right="70"/>
              <w:spacing w:after="0"/>
              <w:rPr>
                <w:sz w:val="20"/>
                <w:szCs w:val="20"/>
                <w:color w:val="auto"/>
              </w:rPr>
            </w:pPr>
            <w:r>
              <w:rPr>
                <w:rFonts w:ascii="Arial" w:cs="Arial" w:eastAsia="Arial" w:hAnsi="Arial"/>
                <w:sz w:val="14"/>
                <w:szCs w:val="14"/>
                <w:color w:val="auto"/>
              </w:rPr>
              <w:t>20.6 %</w:t>
            </w: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21.1 %</w:t>
            </w: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&gt;= 21.6%</w:t>
            </w:r>
          </w:p>
        </w:tc>
        <w:tc>
          <w:tcPr>
            <w:tcW w:w="120" w:type="dxa"/>
            <w:vAlign w:val="bottom"/>
            <w:tcBorders>
              <w:bottom w:val="single" w:sz="8" w:color="939598"/>
              <w:right w:val="single" w:sz="8" w:color="D7282F"/>
            </w:tcBorders>
          </w:tcPr>
          <w:p>
            <w:pPr>
              <w:spacing w:after="0"/>
              <w:rPr>
                <w:sz w:val="19"/>
                <w:szCs w:val="19"/>
                <w:color w:val="auto"/>
              </w:rPr>
            </w:pPr>
          </w:p>
        </w:tc>
        <w:tc>
          <w:tcPr>
            <w:tcW w:w="148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21.8 %</w:t>
            </w:r>
          </w:p>
        </w:tc>
        <w:tc>
          <w:tcPr>
            <w:tcW w:w="1600" w:type="dxa"/>
            <w:vAlign w:val="bottom"/>
            <w:tcBorders>
              <w:bottom w:val="single" w:sz="8" w:color="939598"/>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bottom w:val="single" w:sz="8" w:color="939598"/>
            </w:tcBorders>
          </w:tcPr>
          <w:p>
            <w:pPr>
              <w:jc w:val="right"/>
              <w:ind w:right="190"/>
              <w:spacing w:after="0"/>
              <w:rPr>
                <w:sz w:val="20"/>
                <w:szCs w:val="20"/>
                <w:color w:val="auto"/>
              </w:rPr>
            </w:pPr>
            <w:r>
              <w:rPr>
                <w:rFonts w:ascii="Arial" w:cs="Arial" w:eastAsia="Arial" w:hAnsi="Arial"/>
                <w:sz w:val="14"/>
                <w:szCs w:val="14"/>
                <w:color w:val="auto"/>
              </w:rPr>
              <w:t>12.5 %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Average ROI</w:t>
            </w:r>
          </w:p>
        </w:tc>
        <w:tc>
          <w:tcPr>
            <w:tcW w:w="1380" w:type="dxa"/>
            <w:vAlign w:val="bottom"/>
            <w:tcBorders>
              <w:bottom w:val="single" w:sz="8" w:color="D7282F"/>
            </w:tcBorders>
          </w:tcPr>
          <w:p>
            <w:pPr>
              <w:jc w:val="right"/>
              <w:ind w:right="70"/>
              <w:spacing w:after="0"/>
              <w:rPr>
                <w:sz w:val="20"/>
                <w:szCs w:val="20"/>
                <w:color w:val="auto"/>
              </w:rPr>
            </w:pPr>
            <w:r>
              <w:rPr>
                <w:rFonts w:ascii="Arial" w:cs="Arial" w:eastAsia="Arial" w:hAnsi="Arial"/>
                <w:sz w:val="14"/>
                <w:szCs w:val="14"/>
                <w:color w:val="auto"/>
              </w:rPr>
              <w:t>13.2 %</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13.7 %</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&gt;= 14.2%</w:t>
            </w:r>
          </w:p>
        </w:tc>
        <w:tc>
          <w:tcPr>
            <w:tcW w:w="120" w:type="dxa"/>
            <w:vAlign w:val="bottom"/>
            <w:tcBorders>
              <w:bottom w:val="single" w:sz="8" w:color="D7282F"/>
              <w:right w:val="single" w:sz="8" w:color="D7282F"/>
            </w:tcBorders>
          </w:tcPr>
          <w:p>
            <w:pPr>
              <w:spacing w:after="0"/>
              <w:rPr>
                <w:sz w:val="19"/>
                <w:szCs w:val="19"/>
                <w:color w:val="auto"/>
              </w:rPr>
            </w:pPr>
          </w:p>
        </w:tc>
        <w:tc>
          <w:tcPr>
            <w:tcW w:w="148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4"/>
                <w:szCs w:val="14"/>
                <w:color w:val="auto"/>
              </w:rPr>
              <w:t>17.4 %</w:t>
            </w:r>
          </w:p>
        </w:tc>
        <w:tc>
          <w:tcPr>
            <w:tcW w:w="1600" w:type="dxa"/>
            <w:vAlign w:val="bottom"/>
            <w:tcBorders>
              <w:bottom w:val="single" w:sz="8" w:color="D7282F"/>
            </w:tcBorders>
            <w:gridSpan w:val="2"/>
          </w:tcPr>
          <w:p>
            <w:pPr>
              <w:jc w:val="right"/>
              <w:ind w:right="417"/>
              <w:spacing w:after="0"/>
              <w:rPr>
                <w:sz w:val="20"/>
                <w:szCs w:val="20"/>
                <w:color w:val="auto"/>
              </w:rPr>
            </w:pPr>
            <w:r>
              <w:rPr>
                <w:rFonts w:ascii="Arial" w:cs="Arial" w:eastAsia="Arial" w:hAnsi="Arial"/>
                <w:sz w:val="14"/>
                <w:szCs w:val="14"/>
                <w:color w:val="auto"/>
              </w:rPr>
              <w:t>200 %</w:t>
            </w:r>
          </w:p>
        </w:tc>
        <w:tc>
          <w:tcPr>
            <w:tcW w:w="860" w:type="dxa"/>
            <w:vAlign w:val="bottom"/>
            <w:tcBorders>
              <w:bottom w:val="single" w:sz="8" w:color="D7282F"/>
            </w:tcBorders>
          </w:tcPr>
          <w:p>
            <w:pPr>
              <w:jc w:val="right"/>
              <w:ind w:right="190"/>
              <w:spacing w:after="0"/>
              <w:rPr>
                <w:sz w:val="20"/>
                <w:szCs w:val="20"/>
                <w:color w:val="auto"/>
              </w:rPr>
            </w:pPr>
            <w:r>
              <w:rPr>
                <w:rFonts w:ascii="Arial" w:cs="Arial" w:eastAsia="Arial" w:hAnsi="Arial"/>
                <w:sz w:val="14"/>
                <w:szCs w:val="14"/>
                <w:color w:val="auto"/>
              </w:rPr>
              <w:t>12.5 %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203"/>
        </w:trPr>
        <w:tc>
          <w:tcPr>
            <w:tcW w:w="2560" w:type="dxa"/>
            <w:vAlign w:val="bottom"/>
            <w:tcBorders>
              <w:bottom w:val="single" w:sz="8" w:color="D7282F"/>
            </w:tcBorders>
          </w:tcPr>
          <w:p>
            <w:pPr>
              <w:spacing w:after="0"/>
              <w:rPr>
                <w:sz w:val="17"/>
                <w:szCs w:val="17"/>
                <w:color w:val="auto"/>
              </w:rPr>
            </w:pPr>
          </w:p>
        </w:tc>
        <w:tc>
          <w:tcPr>
            <w:tcW w:w="138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520" w:type="dxa"/>
            <w:vAlign w:val="bottom"/>
            <w:tcBorders>
              <w:left w:val="single" w:sz="8" w:color="D7282F"/>
              <w:bottom w:val="single" w:sz="8" w:color="D7282F"/>
            </w:tcBorders>
            <w:gridSpan w:val="8"/>
          </w:tcPr>
          <w:p>
            <w:pPr>
              <w:ind w:left="140"/>
              <w:spacing w:after="0"/>
              <w:rPr>
                <w:sz w:val="20"/>
                <w:szCs w:val="20"/>
                <w:color w:val="auto"/>
              </w:rPr>
            </w:pPr>
            <w:r>
              <w:rPr>
                <w:rFonts w:ascii="Arial" w:cs="Arial" w:eastAsia="Arial" w:hAnsi="Arial"/>
                <w:sz w:val="14"/>
                <w:szCs w:val="14"/>
                <w:b w:val="1"/>
                <w:bCs w:val="1"/>
                <w:color w:val="auto"/>
              </w:rPr>
              <w:t>Total PSU Calculated Percentage — Mr. Kapur calculated on a pro-rata basis based on performance of HBT, PMT, and Total Honeywell</w:t>
            </w:r>
            <w:r>
              <w:rPr>
                <w:rFonts w:ascii="Arial" w:cs="Arial" w:eastAsia="Arial" w:hAnsi="Arial"/>
                <w:sz w:val="18"/>
                <w:szCs w:val="18"/>
                <w:b w:val="1"/>
                <w:bCs w:val="1"/>
                <w:color w:val="auto"/>
                <w:vertAlign w:val="superscript"/>
              </w:rPr>
              <w:t>(2)</w:t>
            </w:r>
          </w:p>
        </w:tc>
        <w:tc>
          <w:tcPr>
            <w:tcW w:w="860" w:type="dxa"/>
            <w:vAlign w:val="bottom"/>
            <w:tcBorders>
              <w:bottom w:val="single" w:sz="8" w:color="D7282F"/>
            </w:tcBorders>
          </w:tcPr>
          <w:p>
            <w:pPr>
              <w:spacing w:after="0"/>
              <w:rPr>
                <w:sz w:val="19"/>
                <w:szCs w:val="19"/>
                <w:color w:val="auto"/>
              </w:rPr>
            </w:pPr>
          </w:p>
        </w:tc>
        <w:tc>
          <w:tcPr>
            <w:tcW w:w="86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3"/>
                <w:szCs w:val="13"/>
                <w:b w:val="1"/>
                <w:bCs w:val="1"/>
                <w:color w:val="auto"/>
              </w:rPr>
              <w:t>146.8 %</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80" w:right="100" w:hanging="254"/>
        <w:spacing w:after="0" w:line="232" w:lineRule="auto"/>
        <w:tabs>
          <w:tab w:leader="none" w:pos="269" w:val="left"/>
        </w:tabs>
        <w:numPr>
          <w:ilvl w:val="0"/>
          <w:numId w:val="161"/>
        </w:numPr>
        <w:rPr>
          <w:rFonts w:ascii="Arial" w:cs="Arial" w:eastAsia="Arial" w:hAnsi="Arial"/>
          <w:sz w:val="16"/>
          <w:szCs w:val="16"/>
          <w:color w:val="auto"/>
          <w:vertAlign w:val="superscript"/>
        </w:rPr>
      </w:pPr>
      <w:r>
        <w:rPr>
          <w:rFonts w:ascii="Arial" w:cs="Arial" w:eastAsia="Arial" w:hAnsi="Arial"/>
          <w:sz w:val="13"/>
          <w:szCs w:val="13"/>
          <w:color w:val="auto"/>
        </w:rPr>
        <w:t>Business unit executives have a portion of their Performance Plan payout based on performance against plan goals set at the business unit level (i.e., business unit three-year cumulative revenue, business unit average segment margin rate, and business unit three-year average ROI). Consistent with goal setting parameters, revenue was adjusted to exclude the impact of corporate transactions and fluctuations in foreign currency. Segment margin was adjusted to exclude the impact of corporate transactions. ROI was adjusted to exclude the impact of corporate transactions and the impact of pension income and asset fluctuations.</w:t>
      </w:r>
    </w:p>
    <w:p>
      <w:pPr>
        <w:spacing w:after="0" w:line="158" w:lineRule="exact"/>
        <w:rPr>
          <w:rFonts w:ascii="Arial" w:cs="Arial" w:eastAsia="Arial" w:hAnsi="Arial"/>
          <w:sz w:val="16"/>
          <w:szCs w:val="16"/>
          <w:color w:val="auto"/>
          <w:vertAlign w:val="superscript"/>
        </w:rPr>
      </w:pPr>
    </w:p>
    <w:p>
      <w:pPr>
        <w:ind w:left="280" w:right="340" w:hanging="254"/>
        <w:spacing w:after="0" w:line="226" w:lineRule="auto"/>
        <w:tabs>
          <w:tab w:leader="none" w:pos="269" w:val="left"/>
        </w:tabs>
        <w:numPr>
          <w:ilvl w:val="0"/>
          <w:numId w:val="161"/>
        </w:numPr>
        <w:rPr>
          <w:rFonts w:ascii="Arial" w:cs="Arial" w:eastAsia="Arial" w:hAnsi="Arial"/>
          <w:sz w:val="16"/>
          <w:szCs w:val="16"/>
          <w:color w:val="auto"/>
          <w:vertAlign w:val="superscript"/>
        </w:rPr>
      </w:pPr>
      <w:r>
        <w:rPr>
          <w:rFonts w:ascii="Arial" w:cs="Arial" w:eastAsia="Arial" w:hAnsi="Arial"/>
          <w:sz w:val="13"/>
          <w:szCs w:val="13"/>
          <w:color w:val="auto"/>
        </w:rPr>
        <w:t>For the portion of his time in each business unit (i.e., HBT and PMT), Mr. Kapur's calculated payout was based (i) 37.5% on performance against the business unit financial goals, (ii) 37.5% on performance against the Total Honeywell financial goals, and (iii) 25% on Honeywell's three-year relative TSR performance.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table below shows plan-basis TSR details for Honeywell and the 2021 Compensation Peer Group for the three-year performance period of January 1, 2021–December 31,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5340" w:type="dxa"/>
            <w:vAlign w:val="bottom"/>
          </w:tcPr>
          <w:p>
            <w:pPr>
              <w:jc w:val="right"/>
              <w:spacing w:after="0"/>
              <w:rPr>
                <w:sz w:val="20"/>
                <w:szCs w:val="20"/>
                <w:color w:val="auto"/>
              </w:rPr>
            </w:pPr>
            <w:r>
              <w:rPr>
                <w:rFonts w:ascii="Arial" w:cs="Arial" w:eastAsia="Arial" w:hAnsi="Arial"/>
                <w:sz w:val="14"/>
                <w:szCs w:val="14"/>
                <w:b w:val="1"/>
                <w:bCs w:val="1"/>
                <w:color w:val="auto"/>
              </w:rPr>
              <w:t>3-Year Relative</w:t>
            </w:r>
          </w:p>
        </w:tc>
      </w:tr>
      <w:tr>
        <w:trPr>
          <w:trHeight w:val="214"/>
        </w:trPr>
        <w:tc>
          <w:tcPr>
            <w:tcW w:w="58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Company Name</w:t>
            </w:r>
          </w:p>
        </w:tc>
        <w:tc>
          <w:tcPr>
            <w:tcW w:w="5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 xml:space="preserve">Percentile Ranking </w:t>
            </w:r>
            <w:r>
              <w:rPr>
                <w:rFonts w:ascii="Arial" w:cs="Arial" w:eastAsia="Arial" w:hAnsi="Arial"/>
                <w:sz w:val="18"/>
                <w:szCs w:val="18"/>
                <w:b w:val="1"/>
                <w:bCs w:val="1"/>
                <w:color w:val="auto"/>
                <w:vertAlign w:val="superscript"/>
              </w:rPr>
              <w:t>(1)</w:t>
            </w: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3M Company</w:t>
            </w:r>
          </w:p>
        </w:tc>
        <w:tc>
          <w:tcPr>
            <w:tcW w:w="5340" w:type="dxa"/>
            <w:vAlign w:val="bottom"/>
          </w:tcPr>
          <w:p>
            <w:pPr>
              <w:jc w:val="right"/>
              <w:spacing w:after="0"/>
              <w:rPr>
                <w:sz w:val="20"/>
                <w:szCs w:val="20"/>
                <w:color w:val="auto"/>
              </w:rPr>
            </w:pPr>
            <w:r>
              <w:rPr>
                <w:rFonts w:ascii="Arial" w:cs="Arial" w:eastAsia="Arial" w:hAnsi="Arial"/>
                <w:sz w:val="14"/>
                <w:szCs w:val="14"/>
                <w:color w:val="auto"/>
              </w:rPr>
              <w:t>0 %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Boeing Co.</w:t>
            </w:r>
          </w:p>
        </w:tc>
        <w:tc>
          <w:tcPr>
            <w:tcW w:w="534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Caterpillar Inc.</w:t>
            </w:r>
          </w:p>
        </w:tc>
        <w:tc>
          <w:tcPr>
            <w:tcW w:w="5340" w:type="dxa"/>
            <w:vAlign w:val="bottom"/>
          </w:tcPr>
          <w:p>
            <w:pPr>
              <w:jc w:val="right"/>
              <w:spacing w:after="0"/>
              <w:rPr>
                <w:sz w:val="20"/>
                <w:szCs w:val="20"/>
                <w:color w:val="auto"/>
              </w:rPr>
            </w:pPr>
            <w:r>
              <w:rPr>
                <w:rFonts w:ascii="Arial" w:cs="Arial" w:eastAsia="Arial" w:hAnsi="Arial"/>
                <w:sz w:val="14"/>
                <w:szCs w:val="14"/>
                <w:color w:val="auto"/>
              </w:rPr>
              <w:t>67 %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Deere &amp; Company</w:t>
            </w:r>
          </w:p>
        </w:tc>
        <w:tc>
          <w:tcPr>
            <w:tcW w:w="534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Dow Inc.</w:t>
            </w:r>
          </w:p>
        </w:tc>
        <w:tc>
          <w:tcPr>
            <w:tcW w:w="534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Dupont de Nemours, Inc.</w:t>
            </w:r>
          </w:p>
        </w:tc>
        <w:tc>
          <w:tcPr>
            <w:tcW w:w="534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Eaton Corporation plc</w:t>
            </w:r>
          </w:p>
        </w:tc>
        <w:tc>
          <w:tcPr>
            <w:tcW w:w="5340" w:type="dxa"/>
            <w:vAlign w:val="bottom"/>
          </w:tcPr>
          <w:p>
            <w:pPr>
              <w:jc w:val="right"/>
              <w:spacing w:after="0"/>
              <w:rPr>
                <w:sz w:val="20"/>
                <w:szCs w:val="20"/>
                <w:color w:val="auto"/>
              </w:rPr>
            </w:pPr>
            <w:r>
              <w:rPr>
                <w:rFonts w:ascii="Arial" w:cs="Arial" w:eastAsia="Arial" w:hAnsi="Arial"/>
                <w:sz w:val="14"/>
                <w:szCs w:val="14"/>
                <w:color w:val="auto"/>
              </w:rPr>
              <w:t>93 %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Emerson Electric Co.</w:t>
            </w:r>
          </w:p>
        </w:tc>
        <w:tc>
          <w:tcPr>
            <w:tcW w:w="534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General Dynamics Corporation</w:t>
            </w:r>
          </w:p>
        </w:tc>
        <w:tc>
          <w:tcPr>
            <w:tcW w:w="5340" w:type="dxa"/>
            <w:vAlign w:val="bottom"/>
          </w:tcPr>
          <w:p>
            <w:pPr>
              <w:jc w:val="right"/>
              <w:spacing w:after="0"/>
              <w:rPr>
                <w:sz w:val="20"/>
                <w:szCs w:val="20"/>
                <w:color w:val="auto"/>
              </w:rPr>
            </w:pPr>
            <w:r>
              <w:rPr>
                <w:rFonts w:ascii="Arial" w:cs="Arial" w:eastAsia="Arial" w:hAnsi="Arial"/>
                <w:sz w:val="14"/>
                <w:szCs w:val="14"/>
                <w:color w:val="auto"/>
              </w:rPr>
              <w:t>73 %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General Electric Company</w:t>
            </w:r>
          </w:p>
        </w:tc>
        <w:tc>
          <w:tcPr>
            <w:tcW w:w="5340" w:type="dxa"/>
            <w:vAlign w:val="bottom"/>
          </w:tcPr>
          <w:p>
            <w:pPr>
              <w:jc w:val="right"/>
              <w:spacing w:after="0"/>
              <w:rPr>
                <w:sz w:val="20"/>
                <w:szCs w:val="20"/>
                <w:color w:val="auto"/>
              </w:rPr>
            </w:pPr>
            <w:r>
              <w:rPr>
                <w:rFonts w:ascii="Arial" w:cs="Arial" w:eastAsia="Arial" w:hAnsi="Arial"/>
                <w:sz w:val="14"/>
                <w:szCs w:val="14"/>
                <w:color w:val="auto"/>
              </w:rPr>
              <w:t>80 %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Illinois Tool Works Inc.</w:t>
            </w:r>
          </w:p>
        </w:tc>
        <w:tc>
          <w:tcPr>
            <w:tcW w:w="5340" w:type="dxa"/>
            <w:vAlign w:val="bottom"/>
          </w:tcPr>
          <w:p>
            <w:pPr>
              <w:jc w:val="right"/>
              <w:spacing w:after="0"/>
              <w:rPr>
                <w:sz w:val="20"/>
                <w:szCs w:val="20"/>
                <w:color w:val="auto"/>
              </w:rPr>
            </w:pPr>
            <w:r>
              <w:rPr>
                <w:rFonts w:ascii="Arial" w:cs="Arial" w:eastAsia="Arial" w:hAnsi="Arial"/>
                <w:sz w:val="14"/>
                <w:szCs w:val="14"/>
                <w:color w:val="auto"/>
              </w:rPr>
              <w:t>53 %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Johnson Controls Int. plc</w:t>
            </w:r>
          </w:p>
        </w:tc>
        <w:tc>
          <w:tcPr>
            <w:tcW w:w="53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Lockheed Martin Corp.</w:t>
            </w:r>
          </w:p>
        </w:tc>
        <w:tc>
          <w:tcPr>
            <w:tcW w:w="534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Phillips 66</w:t>
            </w:r>
          </w:p>
        </w:tc>
        <w:tc>
          <w:tcPr>
            <w:tcW w:w="5340" w:type="dxa"/>
            <w:vAlign w:val="bottom"/>
          </w:tcPr>
          <w:p>
            <w:pPr>
              <w:jc w:val="right"/>
              <w:spacing w:after="0"/>
              <w:rPr>
                <w:sz w:val="20"/>
                <w:szCs w:val="20"/>
                <w:color w:val="auto"/>
              </w:rPr>
            </w:pPr>
            <w:r>
              <w:rPr>
                <w:rFonts w:ascii="Arial" w:cs="Arial" w:eastAsia="Arial" w:hAnsi="Arial"/>
                <w:sz w:val="14"/>
                <w:szCs w:val="14"/>
                <w:color w:val="auto"/>
              </w:rPr>
              <w:t>87 %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1"/>
        </w:trPr>
        <w:tc>
          <w:tcPr>
            <w:tcW w:w="5880" w:type="dxa"/>
            <w:vAlign w:val="bottom"/>
          </w:tcPr>
          <w:p>
            <w:pPr>
              <w:ind w:left="20"/>
              <w:spacing w:after="0"/>
              <w:rPr>
                <w:sz w:val="20"/>
                <w:szCs w:val="20"/>
                <w:color w:val="auto"/>
              </w:rPr>
            </w:pPr>
            <w:r>
              <w:rPr>
                <w:rFonts w:ascii="Arial" w:cs="Arial" w:eastAsia="Arial" w:hAnsi="Arial"/>
                <w:sz w:val="14"/>
                <w:szCs w:val="14"/>
                <w:color w:val="auto"/>
              </w:rPr>
              <w:t>Raytheon Technologies Corp.</w:t>
            </w:r>
          </w:p>
        </w:tc>
        <w:tc>
          <w:tcPr>
            <w:tcW w:w="534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2"/>
        </w:trPr>
        <w:tc>
          <w:tcPr>
            <w:tcW w:w="5880" w:type="dxa"/>
            <w:vAlign w:val="bottom"/>
            <w:tcBorders>
              <w:bottom w:val="single" w:sz="8" w:color="939598"/>
            </w:tcBorders>
          </w:tcPr>
          <w:p>
            <w:pPr>
              <w:spacing w:after="0" w:line="20" w:lineRule="exact"/>
              <w:rPr>
                <w:sz w:val="1"/>
                <w:szCs w:val="1"/>
                <w:color w:val="auto"/>
              </w:rPr>
            </w:pPr>
          </w:p>
        </w:tc>
        <w:tc>
          <w:tcPr>
            <w:tcW w:w="5340" w:type="dxa"/>
            <w:vAlign w:val="bottom"/>
            <w:tcBorders>
              <w:bottom w:val="single" w:sz="8" w:color="939598"/>
            </w:tcBorders>
          </w:tcPr>
          <w:p>
            <w:pPr>
              <w:spacing w:after="0" w:line="20" w:lineRule="exact"/>
              <w:rPr>
                <w:sz w:val="1"/>
                <w:szCs w:val="1"/>
                <w:color w:val="auto"/>
              </w:rPr>
            </w:pPr>
          </w:p>
        </w:tc>
      </w:tr>
      <w:tr>
        <w:trPr>
          <w:trHeight w:val="202"/>
        </w:trPr>
        <w:tc>
          <w:tcPr>
            <w:tcW w:w="5880" w:type="dxa"/>
            <w:vAlign w:val="bottom"/>
          </w:tcPr>
          <w:p>
            <w:pPr>
              <w:ind w:left="20"/>
              <w:spacing w:after="0"/>
              <w:rPr>
                <w:sz w:val="20"/>
                <w:szCs w:val="20"/>
                <w:color w:val="auto"/>
              </w:rPr>
            </w:pPr>
            <w:r>
              <w:rPr>
                <w:rFonts w:ascii="Arial" w:cs="Arial" w:eastAsia="Arial" w:hAnsi="Arial"/>
                <w:sz w:val="14"/>
                <w:szCs w:val="14"/>
                <w:color w:val="auto"/>
              </w:rPr>
              <w:t>Schlumberger Ltd.</w:t>
            </w:r>
          </w:p>
        </w:tc>
        <w:tc>
          <w:tcPr>
            <w:tcW w:w="534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2"/>
        </w:trPr>
        <w:tc>
          <w:tcPr>
            <w:tcW w:w="5880" w:type="dxa"/>
            <w:vAlign w:val="bottom"/>
            <w:tcBorders>
              <w:bottom w:val="single" w:sz="8" w:color="D7282F"/>
            </w:tcBorders>
          </w:tcPr>
          <w:p>
            <w:pPr>
              <w:spacing w:after="0" w:line="20" w:lineRule="exact"/>
              <w:rPr>
                <w:sz w:val="1"/>
                <w:szCs w:val="1"/>
                <w:color w:val="auto"/>
              </w:rPr>
            </w:pPr>
          </w:p>
        </w:tc>
        <w:tc>
          <w:tcPr>
            <w:tcW w:w="5340" w:type="dxa"/>
            <w:vAlign w:val="bottom"/>
            <w:tcBorders>
              <w:bottom w:val="single" w:sz="8" w:color="D7282F"/>
            </w:tcBorders>
          </w:tcPr>
          <w:p>
            <w:pPr>
              <w:spacing w:after="0" w:line="20" w:lineRule="exact"/>
              <w:rPr>
                <w:sz w:val="1"/>
                <w:szCs w:val="1"/>
                <w:color w:val="auto"/>
              </w:rPr>
            </w:pPr>
          </w:p>
        </w:tc>
      </w:tr>
      <w:tr>
        <w:trPr>
          <w:trHeight w:val="217"/>
        </w:trPr>
        <w:tc>
          <w:tcPr>
            <w:tcW w:w="5880" w:type="dxa"/>
            <w:vAlign w:val="bottom"/>
            <w:tcBorders>
              <w:bottom w:val="single" w:sz="8" w:color="D7282F"/>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Honeywell International Inc.</w:t>
            </w:r>
          </w:p>
        </w:tc>
        <w:tc>
          <w:tcPr>
            <w:tcW w:w="5340" w:type="dxa"/>
            <w:vAlign w:val="bottom"/>
            <w:tcBorders>
              <w:bottom w:val="single" w:sz="8" w:color="D7282F"/>
            </w:tcBorders>
            <w:shd w:val="clear" w:color="auto" w:fill="F2F2F2"/>
          </w:tcPr>
          <w:p>
            <w:pPr>
              <w:jc w:val="right"/>
              <w:spacing w:after="0"/>
              <w:rPr>
                <w:sz w:val="20"/>
                <w:szCs w:val="20"/>
                <w:color w:val="auto"/>
              </w:rPr>
            </w:pPr>
            <w:r>
              <w:rPr>
                <w:rFonts w:ascii="Arial" w:cs="Arial" w:eastAsia="Arial" w:hAnsi="Arial"/>
                <w:sz w:val="14"/>
                <w:szCs w:val="14"/>
                <w:b w:val="1"/>
                <w:bCs w:val="1"/>
                <w:color w:val="auto"/>
              </w:rPr>
              <w:t>10 %</w:t>
            </w:r>
          </w:p>
        </w:tc>
      </w:tr>
    </w:tbl>
    <w:p>
      <w:pPr>
        <w:spacing w:after="0" w:line="153" w:lineRule="exact"/>
        <w:rPr>
          <w:sz w:val="20"/>
          <w:szCs w:val="20"/>
          <w:color w:val="auto"/>
        </w:rPr>
      </w:pPr>
    </w:p>
    <w:p>
      <w:pPr>
        <w:ind w:left="200" w:hanging="192"/>
        <w:spacing w:after="0"/>
        <w:tabs>
          <w:tab w:leader="none" w:pos="200" w:val="left"/>
        </w:tabs>
        <w:numPr>
          <w:ilvl w:val="0"/>
          <w:numId w:val="162"/>
        </w:numPr>
        <w:rPr>
          <w:rFonts w:ascii="Arial" w:cs="Arial" w:eastAsia="Arial" w:hAnsi="Arial"/>
          <w:sz w:val="16"/>
          <w:szCs w:val="16"/>
          <w:color w:val="auto"/>
          <w:vertAlign w:val="superscript"/>
        </w:rPr>
      </w:pPr>
      <w:r>
        <w:rPr>
          <w:rFonts w:ascii="Arial" w:cs="Arial" w:eastAsia="Arial" w:hAnsi="Arial"/>
          <w:sz w:val="13"/>
          <w:szCs w:val="13"/>
          <w:color w:val="auto"/>
        </w:rPr>
        <w:t>Based on three-year TSR determined on a ‘plan-basis’, which uses a 30-trading day average of stock prices from the beginning, and to the end, of the three-year performance period.</w:t>
      </w:r>
    </w:p>
    <w:p>
      <w:pPr>
        <w:spacing w:after="0" w:line="10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Honeywell's plan-basis 3-year relative percentile ranking of 11% was below threshold for this performance plan cycle. As a result, no portion of the 2021-2023 performance plan award was earned on this metric.</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Payout Decision</w:t>
      </w:r>
    </w:p>
    <w:p>
      <w:pPr>
        <w:spacing w:after="0" w:line="127"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In February 2024, the MDCC reviewed and assessed the overall formulaic PSU calculation for the 2021-2023 performance cycle for the NEOs that received them. Calculated performance equaled 145% for the Corporate NEOs. The calculated payout for Mr. Kapur of 146.8% reflects a blended proration based on his service in HBT, PMT, and Corporate over the 3-year performance period. Messrs. Boldea and Currier did not receive PSUs for the 2021-2023 cycle.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2021-2023 PSU Payouts</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Based on the final approved award payout percentages for the 2021-2023 performance period for those NEOs who received their 2021-2023 Performance Plan award in the form of PSUs, the MDCC approved the following individual awards to the NEOs: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436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2021-2023 PSUs</w:t>
            </w:r>
          </w:p>
        </w:tc>
        <w:tc>
          <w:tcPr>
            <w:tcW w:w="16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Total 2021-2023</w:t>
            </w:r>
          </w:p>
        </w:tc>
      </w:tr>
      <w:tr>
        <w:trPr>
          <w:trHeight w:val="214"/>
        </w:trPr>
        <w:tc>
          <w:tcPr>
            <w:tcW w:w="39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NEO</w:t>
            </w:r>
          </w:p>
        </w:tc>
        <w:tc>
          <w:tcPr>
            <w:tcW w:w="436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at Target</w:t>
            </w:r>
            <w:r>
              <w:rPr>
                <w:rFonts w:ascii="Arial" w:cs="Arial" w:eastAsia="Arial" w:hAnsi="Arial"/>
                <w:sz w:val="18"/>
                <w:szCs w:val="18"/>
                <w:b w:val="1"/>
                <w:bCs w:val="1"/>
                <w:color w:val="auto"/>
                <w:vertAlign w:val="superscript"/>
              </w:rPr>
              <w:t>(1)</w:t>
            </w:r>
          </w:p>
        </w:tc>
        <w:tc>
          <w:tcPr>
            <w:tcW w:w="16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 Payout %</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PSUs Earned</w:t>
            </w:r>
          </w:p>
        </w:tc>
      </w:tr>
      <w:tr>
        <w:trPr>
          <w:trHeight w:val="217"/>
        </w:trPr>
        <w:tc>
          <w:tcPr>
            <w:tcW w:w="39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Adamczyk</w:t>
            </w:r>
          </w:p>
        </w:tc>
        <w:tc>
          <w:tcPr>
            <w:tcW w:w="4360" w:type="dxa"/>
            <w:vAlign w:val="bottom"/>
            <w:tcBorders>
              <w:bottom w:val="single" w:sz="8" w:color="939598"/>
            </w:tcBorders>
          </w:tcPr>
          <w:p>
            <w:pPr>
              <w:jc w:val="right"/>
              <w:ind w:right="288"/>
              <w:spacing w:after="0"/>
              <w:rPr>
                <w:sz w:val="20"/>
                <w:szCs w:val="20"/>
                <w:color w:val="auto"/>
              </w:rPr>
            </w:pPr>
            <w:r>
              <w:rPr>
                <w:rFonts w:ascii="Arial" w:cs="Arial" w:eastAsia="Arial" w:hAnsi="Arial"/>
                <w:sz w:val="14"/>
                <w:szCs w:val="14"/>
                <w:color w:val="auto"/>
              </w:rPr>
              <w:t>37,277</w:t>
            </w:r>
          </w:p>
        </w:tc>
        <w:tc>
          <w:tcPr>
            <w:tcW w:w="16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145 %</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54,052</w:t>
            </w:r>
          </w:p>
        </w:tc>
      </w:tr>
      <w:tr>
        <w:trPr>
          <w:trHeight w:val="223"/>
        </w:trPr>
        <w:tc>
          <w:tcPr>
            <w:tcW w:w="39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Kapur</w:t>
            </w:r>
          </w:p>
        </w:tc>
        <w:tc>
          <w:tcPr>
            <w:tcW w:w="4360" w:type="dxa"/>
            <w:vAlign w:val="bottom"/>
            <w:tcBorders>
              <w:bottom w:val="single" w:sz="8" w:color="939598"/>
            </w:tcBorders>
          </w:tcPr>
          <w:p>
            <w:pPr>
              <w:jc w:val="right"/>
              <w:ind w:right="248"/>
              <w:spacing w:after="0"/>
              <w:rPr>
                <w:sz w:val="20"/>
                <w:szCs w:val="20"/>
                <w:color w:val="auto"/>
              </w:rPr>
            </w:pPr>
            <w:r>
              <w:rPr>
                <w:rFonts w:ascii="Arial" w:cs="Arial" w:eastAsia="Arial" w:hAnsi="Arial"/>
                <w:sz w:val="14"/>
                <w:szCs w:val="14"/>
                <w:color w:val="auto"/>
              </w:rPr>
              <w:t>6,547</w:t>
            </w:r>
          </w:p>
        </w:tc>
        <w:tc>
          <w:tcPr>
            <w:tcW w:w="16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146.8 %</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9,611</w:t>
            </w:r>
          </w:p>
        </w:tc>
      </w:tr>
      <w:tr>
        <w:trPr>
          <w:trHeight w:val="223"/>
        </w:trPr>
        <w:tc>
          <w:tcPr>
            <w:tcW w:w="39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Lewis</w:t>
            </w:r>
          </w:p>
        </w:tc>
        <w:tc>
          <w:tcPr>
            <w:tcW w:w="4360" w:type="dxa"/>
            <w:vAlign w:val="bottom"/>
            <w:tcBorders>
              <w:bottom w:val="single" w:sz="8" w:color="939598"/>
            </w:tcBorders>
          </w:tcPr>
          <w:p>
            <w:pPr>
              <w:jc w:val="right"/>
              <w:ind w:right="248"/>
              <w:spacing w:after="0"/>
              <w:rPr>
                <w:sz w:val="20"/>
                <w:szCs w:val="20"/>
                <w:color w:val="auto"/>
              </w:rPr>
            </w:pPr>
            <w:r>
              <w:rPr>
                <w:rFonts w:ascii="Arial" w:cs="Arial" w:eastAsia="Arial" w:hAnsi="Arial"/>
                <w:sz w:val="14"/>
                <w:szCs w:val="14"/>
                <w:color w:val="auto"/>
              </w:rPr>
              <w:t>11,722</w:t>
            </w:r>
          </w:p>
        </w:tc>
        <w:tc>
          <w:tcPr>
            <w:tcW w:w="16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145 %</w:t>
            </w:r>
          </w:p>
        </w:tc>
        <w:tc>
          <w:tcPr>
            <w:tcW w:w="13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16,997</w:t>
            </w:r>
          </w:p>
        </w:tc>
      </w:tr>
      <w:tr>
        <w:trPr>
          <w:trHeight w:val="223"/>
        </w:trPr>
        <w:tc>
          <w:tcPr>
            <w:tcW w:w="39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Ms. Madden</w:t>
            </w:r>
          </w:p>
        </w:tc>
        <w:tc>
          <w:tcPr>
            <w:tcW w:w="436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11,722</w:t>
            </w:r>
          </w:p>
        </w:tc>
        <w:tc>
          <w:tcPr>
            <w:tcW w:w="16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145 %</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16,997</w:t>
            </w:r>
          </w:p>
        </w:tc>
      </w:tr>
    </w:tbl>
    <w:p>
      <w:pPr>
        <w:spacing w:after="0" w:line="126" w:lineRule="exact"/>
        <w:rPr>
          <w:sz w:val="20"/>
          <w:szCs w:val="20"/>
          <w:color w:val="auto"/>
        </w:rPr>
      </w:pPr>
    </w:p>
    <w:p>
      <w:pPr>
        <w:ind w:left="200" w:hanging="192"/>
        <w:spacing w:after="0"/>
        <w:tabs>
          <w:tab w:leader="none" w:pos="200" w:val="left"/>
        </w:tabs>
        <w:numPr>
          <w:ilvl w:val="0"/>
          <w:numId w:val="163"/>
        </w:numPr>
        <w:rPr>
          <w:rFonts w:ascii="Arial" w:cs="Arial" w:eastAsia="Arial" w:hAnsi="Arial"/>
          <w:sz w:val="16"/>
          <w:szCs w:val="16"/>
          <w:color w:val="auto"/>
          <w:vertAlign w:val="superscript"/>
        </w:rPr>
      </w:pPr>
      <w:r>
        <w:rPr>
          <w:rFonts w:ascii="Arial" w:cs="Arial" w:eastAsia="Arial" w:hAnsi="Arial"/>
          <w:sz w:val="13"/>
          <w:szCs w:val="13"/>
          <w:color w:val="auto"/>
        </w:rPr>
        <w:t>Includes additional PSUs from dividend equivalents.</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Earned awards became fully vested on February 12, 2024. 50% of the PSUs earned were converted to shares of Honeywell common stock, with the net shares paid subject to an additional one-year holding period, in accordance with the officer stock ownership guidelines. The remaining 50% was converted to cash based on the closing stock price of Honeywell common stock on December 31, 2023, and paid in March 2024.</w:t>
      </w:r>
    </w:p>
    <w:p>
      <w:pPr>
        <w:spacing w:after="0" w:line="21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sz w:val="1"/>
          <w:szCs w:val="1"/>
          <w:color w:val="auto"/>
        </w:rPr>
        <w:drawing>
          <wp:inline distT="0" distB="0" distL="0" distR="0">
            <wp:extent cx="548640" cy="10287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2021-2023 Performance Cash Unit Payouts (Mr. Currier only)</w:t>
      </w:r>
    </w:p>
    <w:p>
      <w:pPr>
        <w:spacing w:after="0" w:line="113"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In February 2024, the MDCC also reviewed the calculated outcomes for the 2021–2023 Performance Cash Units (PCUs) issued to non-officer executives in 2021 (which included Mr. Currier, who was a non-officer at the time of grant). The non-officer performance plan follows the same structure as the 2021–2023 PSUs described above, but excludes the portion of the award that is tied to relative TSR.</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Borders>
              <w:right w:val="single" w:sz="8" w:color="D7282F"/>
            </w:tcBorders>
          </w:tcPr>
          <w:p>
            <w:pPr>
              <w:spacing w:after="0"/>
              <w:rPr>
                <w:sz w:val="14"/>
                <w:szCs w:val="14"/>
                <w:color w:val="auto"/>
              </w:rPr>
            </w:pPr>
          </w:p>
        </w:tc>
        <w:tc>
          <w:tcPr>
            <w:tcW w:w="1500" w:type="dxa"/>
            <w:vAlign w:val="bottom"/>
            <w:tcBorders>
              <w:top w:val="single" w:sz="8" w:color="D7282F"/>
              <w:right w:val="single" w:sz="8" w:color="D7282F"/>
            </w:tcBorders>
          </w:tcPr>
          <w:p>
            <w:pPr>
              <w:jc w:val="right"/>
              <w:spacing w:after="0"/>
              <w:rPr>
                <w:sz w:val="20"/>
                <w:szCs w:val="20"/>
                <w:color w:val="auto"/>
              </w:rPr>
            </w:pPr>
            <w:r>
              <w:rPr>
                <w:rFonts w:ascii="Arial" w:cs="Arial" w:eastAsia="Arial" w:hAnsi="Arial"/>
                <w:sz w:val="13"/>
                <w:szCs w:val="13"/>
                <w:b w:val="1"/>
                <w:bCs w:val="1"/>
                <w:color w:val="auto"/>
              </w:rPr>
              <w:t>Actual Plan</w:t>
            </w:r>
          </w:p>
        </w:tc>
        <w:tc>
          <w:tcPr>
            <w:tcW w:w="1520" w:type="dxa"/>
            <w:vAlign w:val="bottom"/>
          </w:tcPr>
          <w:p>
            <w:pPr>
              <w:jc w:val="right"/>
              <w:ind w:right="330"/>
              <w:spacing w:after="0"/>
              <w:rPr>
                <w:sz w:val="20"/>
                <w:szCs w:val="20"/>
                <w:color w:val="auto"/>
              </w:rPr>
            </w:pPr>
            <w:r>
              <w:rPr>
                <w:rFonts w:ascii="Arial" w:cs="Arial" w:eastAsia="Arial" w:hAnsi="Arial"/>
                <w:sz w:val="13"/>
                <w:szCs w:val="13"/>
                <w:b w:val="1"/>
                <w:bCs w:val="1"/>
                <w:color w:val="auto"/>
              </w:rPr>
              <w:t>Payout</w:t>
            </w:r>
          </w:p>
        </w:tc>
        <w:tc>
          <w:tcPr>
            <w:tcW w:w="9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r>
      <w:tr>
        <w:trPr>
          <w:trHeight w:val="193"/>
        </w:trPr>
        <w:tc>
          <w:tcPr>
            <w:tcW w:w="2500" w:type="dxa"/>
            <w:vAlign w:val="bottom"/>
          </w:tcPr>
          <w:p>
            <w:pPr>
              <w:ind w:left="20"/>
              <w:spacing w:after="0"/>
              <w:rPr>
                <w:sz w:val="20"/>
                <w:szCs w:val="20"/>
                <w:color w:val="auto"/>
              </w:rPr>
            </w:pPr>
            <w:r>
              <w:rPr>
                <w:rFonts w:ascii="Arial" w:cs="Arial" w:eastAsia="Arial" w:hAnsi="Arial"/>
                <w:sz w:val="13"/>
                <w:szCs w:val="13"/>
                <w:b w:val="1"/>
                <w:bCs w:val="1"/>
                <w:color w:val="auto"/>
              </w:rPr>
              <w:t>AERO</w:t>
            </w:r>
          </w:p>
        </w:tc>
        <w:tc>
          <w:tcPr>
            <w:tcW w:w="1600" w:type="dxa"/>
            <w:vAlign w:val="bottom"/>
          </w:tcPr>
          <w:p>
            <w:pPr>
              <w:jc w:val="right"/>
              <w:ind w:right="249"/>
              <w:spacing w:after="0"/>
              <w:rPr>
                <w:sz w:val="20"/>
                <w:szCs w:val="20"/>
                <w:color w:val="auto"/>
              </w:rPr>
            </w:pPr>
            <w:r>
              <w:rPr>
                <w:rFonts w:ascii="Arial" w:cs="Arial" w:eastAsia="Arial" w:hAnsi="Arial"/>
                <w:sz w:val="13"/>
                <w:szCs w:val="13"/>
                <w:b w:val="1"/>
                <w:bCs w:val="1"/>
                <w:color w:val="auto"/>
              </w:rPr>
              <w:t>Threshold</w:t>
            </w:r>
          </w:p>
        </w:tc>
        <w:tc>
          <w:tcPr>
            <w:tcW w:w="1260" w:type="dxa"/>
            <w:vAlign w:val="bottom"/>
          </w:tcPr>
          <w:p>
            <w:pPr>
              <w:jc w:val="right"/>
              <w:ind w:right="269"/>
              <w:spacing w:after="0"/>
              <w:rPr>
                <w:sz w:val="20"/>
                <w:szCs w:val="20"/>
                <w:color w:val="auto"/>
              </w:rPr>
            </w:pPr>
            <w:r>
              <w:rPr>
                <w:rFonts w:ascii="Arial" w:cs="Arial" w:eastAsia="Arial" w:hAnsi="Arial"/>
                <w:sz w:val="13"/>
                <w:szCs w:val="13"/>
                <w:b w:val="1"/>
                <w:bCs w:val="1"/>
                <w:color w:val="auto"/>
              </w:rPr>
              <w:t>Target</w:t>
            </w:r>
          </w:p>
        </w:tc>
        <w:tc>
          <w:tcPr>
            <w:tcW w:w="1060" w:type="dxa"/>
            <w:vAlign w:val="bottom"/>
            <w:tcBorders>
              <w:right w:val="single" w:sz="8" w:color="D7282F"/>
            </w:tcBorders>
          </w:tcPr>
          <w:p>
            <w:pPr>
              <w:jc w:val="right"/>
              <w:ind w:right="49"/>
              <w:spacing w:after="0"/>
              <w:rPr>
                <w:sz w:val="20"/>
                <w:szCs w:val="20"/>
                <w:color w:val="auto"/>
              </w:rPr>
            </w:pPr>
            <w:r>
              <w:rPr>
                <w:rFonts w:ascii="Arial" w:cs="Arial" w:eastAsia="Arial" w:hAnsi="Arial"/>
                <w:sz w:val="13"/>
                <w:szCs w:val="13"/>
                <w:b w:val="1"/>
                <w:bCs w:val="1"/>
                <w:color w:val="auto"/>
              </w:rPr>
              <w:t>Maximum</w:t>
            </w:r>
          </w:p>
        </w:tc>
        <w:tc>
          <w:tcPr>
            <w:tcW w:w="1500" w:type="dxa"/>
            <w:vAlign w:val="bottom"/>
            <w:tcBorders>
              <w:right w:val="single" w:sz="8" w:color="D7282F"/>
            </w:tcBorders>
          </w:tcPr>
          <w:p>
            <w:pPr>
              <w:jc w:val="right"/>
              <w:spacing w:after="0"/>
              <w:rPr>
                <w:sz w:val="20"/>
                <w:szCs w:val="20"/>
                <w:color w:val="auto"/>
              </w:rPr>
            </w:pPr>
            <w:r>
              <w:rPr>
                <w:rFonts w:ascii="Arial" w:cs="Arial" w:eastAsia="Arial" w:hAnsi="Arial"/>
                <w:sz w:val="13"/>
                <w:szCs w:val="13"/>
                <w:b w:val="1"/>
                <w:bCs w:val="1"/>
                <w:color w:val="auto"/>
              </w:rPr>
              <w:t>Performance</w:t>
            </w:r>
            <w:r>
              <w:rPr>
                <w:rFonts w:ascii="Arial" w:cs="Arial" w:eastAsia="Arial" w:hAnsi="Arial"/>
                <w:sz w:val="16"/>
                <w:szCs w:val="16"/>
                <w:b w:val="1"/>
                <w:bCs w:val="1"/>
                <w:color w:val="auto"/>
                <w:vertAlign w:val="superscript"/>
              </w:rPr>
              <w:t>(1)</w:t>
            </w:r>
          </w:p>
        </w:tc>
        <w:tc>
          <w:tcPr>
            <w:tcW w:w="1520" w:type="dxa"/>
            <w:vAlign w:val="bottom"/>
          </w:tcPr>
          <w:p>
            <w:pPr>
              <w:jc w:val="right"/>
              <w:ind w:right="330"/>
              <w:spacing w:after="0"/>
              <w:rPr>
                <w:sz w:val="20"/>
                <w:szCs w:val="20"/>
                <w:color w:val="auto"/>
              </w:rPr>
            </w:pPr>
            <w:r>
              <w:rPr>
                <w:rFonts w:ascii="Arial" w:cs="Arial" w:eastAsia="Arial" w:hAnsi="Arial"/>
                <w:sz w:val="13"/>
                <w:szCs w:val="13"/>
                <w:b w:val="1"/>
                <w:bCs w:val="1"/>
                <w:color w:val="auto"/>
              </w:rPr>
              <w:t>Factor</w:t>
            </w:r>
          </w:p>
        </w:tc>
        <w:tc>
          <w:tcPr>
            <w:tcW w:w="940" w:type="dxa"/>
            <w:vAlign w:val="bottom"/>
          </w:tcPr>
          <w:p>
            <w:pPr>
              <w:jc w:val="right"/>
              <w:ind w:right="189"/>
              <w:spacing w:after="0"/>
              <w:rPr>
                <w:sz w:val="20"/>
                <w:szCs w:val="20"/>
                <w:color w:val="auto"/>
              </w:rPr>
            </w:pPr>
            <w:r>
              <w:rPr>
                <w:rFonts w:ascii="Arial" w:cs="Arial" w:eastAsia="Arial" w:hAnsi="Arial"/>
                <w:sz w:val="13"/>
                <w:szCs w:val="13"/>
                <w:b w:val="1"/>
                <w:bCs w:val="1"/>
                <w:color w:val="auto"/>
              </w:rPr>
              <w:t>Weight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Payout %</w:t>
            </w:r>
          </w:p>
        </w:tc>
      </w:tr>
      <w:tr>
        <w:trPr>
          <w:trHeight w:val="217"/>
        </w:trPr>
        <w:tc>
          <w:tcPr>
            <w:tcW w:w="2500" w:type="dxa"/>
            <w:vAlign w:val="bottom"/>
            <w:tcBorders>
              <w:top w:val="single" w:sz="8" w:color="D7282F"/>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AERO Revenue</w:t>
            </w:r>
          </w:p>
        </w:tc>
        <w:tc>
          <w:tcPr>
            <w:tcW w:w="1600" w:type="dxa"/>
            <w:vAlign w:val="bottom"/>
            <w:tcBorders>
              <w:top w:val="single" w:sz="8" w:color="D7282F"/>
              <w:bottom w:val="single" w:sz="8" w:color="939598"/>
            </w:tcBorders>
          </w:tcPr>
          <w:p>
            <w:pPr>
              <w:jc w:val="right"/>
              <w:ind w:right="249"/>
              <w:spacing w:after="0"/>
              <w:rPr>
                <w:sz w:val="20"/>
                <w:szCs w:val="20"/>
                <w:color w:val="auto"/>
              </w:rPr>
            </w:pPr>
            <w:r>
              <w:rPr>
                <w:rFonts w:ascii="Arial" w:cs="Arial" w:eastAsia="Arial" w:hAnsi="Arial"/>
                <w:sz w:val="14"/>
                <w:szCs w:val="14"/>
                <w:color w:val="auto"/>
              </w:rPr>
              <w:t>$36,021</w:t>
            </w:r>
          </w:p>
        </w:tc>
        <w:tc>
          <w:tcPr>
            <w:tcW w:w="1260" w:type="dxa"/>
            <w:vAlign w:val="bottom"/>
            <w:tcBorders>
              <w:top w:val="single" w:sz="8" w:color="D7282F"/>
              <w:bottom w:val="single" w:sz="8" w:color="939598"/>
            </w:tcBorders>
          </w:tcPr>
          <w:p>
            <w:pPr>
              <w:jc w:val="right"/>
              <w:ind w:right="269"/>
              <w:spacing w:after="0"/>
              <w:rPr>
                <w:sz w:val="20"/>
                <w:szCs w:val="20"/>
                <w:color w:val="auto"/>
              </w:rPr>
            </w:pPr>
            <w:r>
              <w:rPr>
                <w:rFonts w:ascii="Arial" w:cs="Arial" w:eastAsia="Arial" w:hAnsi="Arial"/>
                <w:sz w:val="14"/>
                <w:szCs w:val="14"/>
                <w:color w:val="auto"/>
              </w:rPr>
              <w:t>$37,327</w:t>
            </w:r>
          </w:p>
        </w:tc>
        <w:tc>
          <w:tcPr>
            <w:tcW w:w="1060" w:type="dxa"/>
            <w:vAlign w:val="bottom"/>
            <w:tcBorders>
              <w:top w:val="single" w:sz="8" w:color="D7282F"/>
              <w:bottom w:val="single" w:sz="8" w:color="939598"/>
              <w:right w:val="single" w:sz="8" w:color="D7282F"/>
            </w:tcBorders>
          </w:tcPr>
          <w:p>
            <w:pPr>
              <w:jc w:val="right"/>
              <w:ind w:right="49"/>
              <w:spacing w:after="0"/>
              <w:rPr>
                <w:sz w:val="20"/>
                <w:szCs w:val="20"/>
                <w:color w:val="auto"/>
              </w:rPr>
            </w:pPr>
            <w:r>
              <w:rPr>
                <w:rFonts w:ascii="Arial" w:cs="Arial" w:eastAsia="Arial" w:hAnsi="Arial"/>
                <w:sz w:val="14"/>
                <w:szCs w:val="14"/>
                <w:color w:val="auto"/>
              </w:rPr>
              <w:t>$38,634</w:t>
            </w:r>
          </w:p>
        </w:tc>
        <w:tc>
          <w:tcPr>
            <w:tcW w:w="1500" w:type="dxa"/>
            <w:vAlign w:val="bottom"/>
            <w:tcBorders>
              <w:top w:val="single" w:sz="8" w:color="D7282F"/>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$36,561</w:t>
            </w:r>
          </w:p>
        </w:tc>
        <w:tc>
          <w:tcPr>
            <w:tcW w:w="1520" w:type="dxa"/>
            <w:vAlign w:val="bottom"/>
            <w:tcBorders>
              <w:top w:val="single" w:sz="8" w:color="D7282F"/>
              <w:bottom w:val="single" w:sz="8" w:color="939598"/>
            </w:tcBorders>
          </w:tcPr>
          <w:p>
            <w:pPr>
              <w:jc w:val="right"/>
              <w:ind w:right="330"/>
              <w:spacing w:after="0"/>
              <w:rPr>
                <w:sz w:val="20"/>
                <w:szCs w:val="20"/>
                <w:color w:val="auto"/>
              </w:rPr>
            </w:pPr>
            <w:r>
              <w:rPr>
                <w:rFonts w:ascii="Arial" w:cs="Arial" w:eastAsia="Arial" w:hAnsi="Arial"/>
                <w:sz w:val="14"/>
                <w:szCs w:val="14"/>
                <w:color w:val="auto"/>
              </w:rPr>
              <w:t>71 %</w:t>
            </w:r>
          </w:p>
        </w:tc>
        <w:tc>
          <w:tcPr>
            <w:tcW w:w="940" w:type="dxa"/>
            <w:vAlign w:val="bottom"/>
            <w:tcBorders>
              <w:top w:val="single" w:sz="8" w:color="D7282F"/>
              <w:bottom w:val="single" w:sz="8" w:color="939598"/>
            </w:tcBorders>
          </w:tcPr>
          <w:p>
            <w:pPr>
              <w:jc w:val="right"/>
              <w:ind w:right="189"/>
              <w:spacing w:after="0"/>
              <w:rPr>
                <w:sz w:val="20"/>
                <w:szCs w:val="20"/>
                <w:color w:val="auto"/>
              </w:rPr>
            </w:pPr>
            <w:r>
              <w:rPr>
                <w:rFonts w:ascii="Arial" w:cs="Arial" w:eastAsia="Arial" w:hAnsi="Arial"/>
                <w:sz w:val="14"/>
                <w:szCs w:val="14"/>
                <w:color w:val="auto"/>
              </w:rPr>
              <w:t>16.7 %</w:t>
            </w:r>
          </w:p>
        </w:tc>
        <w:tc>
          <w:tcPr>
            <w:tcW w:w="86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12 %</w:t>
            </w:r>
          </w:p>
        </w:tc>
      </w:tr>
      <w:tr>
        <w:trPr>
          <w:trHeight w:val="223"/>
        </w:trPr>
        <w:tc>
          <w:tcPr>
            <w:tcW w:w="25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AERO Margin</w:t>
            </w:r>
          </w:p>
        </w:tc>
        <w:tc>
          <w:tcPr>
            <w:tcW w:w="160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26.2 %</w:t>
            </w:r>
          </w:p>
        </w:tc>
        <w:tc>
          <w:tcPr>
            <w:tcW w:w="126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26.7 %</w:t>
            </w:r>
          </w:p>
        </w:tc>
        <w:tc>
          <w:tcPr>
            <w:tcW w:w="1060" w:type="dxa"/>
            <w:vAlign w:val="bottom"/>
            <w:tcBorders>
              <w:bottom w:val="single" w:sz="8" w:color="939598"/>
              <w:right w:val="single" w:sz="8" w:color="D7282F"/>
            </w:tcBorders>
          </w:tcPr>
          <w:p>
            <w:pPr>
              <w:jc w:val="right"/>
              <w:ind w:right="49"/>
              <w:spacing w:after="0"/>
              <w:rPr>
                <w:sz w:val="20"/>
                <w:szCs w:val="20"/>
                <w:color w:val="auto"/>
              </w:rPr>
            </w:pPr>
            <w:r>
              <w:rPr>
                <w:rFonts w:ascii="Arial" w:cs="Arial" w:eastAsia="Arial" w:hAnsi="Arial"/>
                <w:sz w:val="14"/>
                <w:szCs w:val="14"/>
                <w:color w:val="auto"/>
              </w:rPr>
              <w:t>&gt;= 27.2%</w:t>
            </w:r>
          </w:p>
        </w:tc>
        <w:tc>
          <w:tcPr>
            <w:tcW w:w="150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27.1 %</w:t>
            </w:r>
          </w:p>
        </w:tc>
        <w:tc>
          <w:tcPr>
            <w:tcW w:w="1520" w:type="dxa"/>
            <w:vAlign w:val="bottom"/>
            <w:tcBorders>
              <w:bottom w:val="single" w:sz="8" w:color="939598"/>
            </w:tcBorders>
          </w:tcPr>
          <w:p>
            <w:pPr>
              <w:jc w:val="right"/>
              <w:ind w:right="330"/>
              <w:spacing w:after="0"/>
              <w:rPr>
                <w:sz w:val="20"/>
                <w:szCs w:val="20"/>
                <w:color w:val="auto"/>
              </w:rPr>
            </w:pPr>
            <w:r>
              <w:rPr>
                <w:rFonts w:ascii="Arial" w:cs="Arial" w:eastAsia="Arial" w:hAnsi="Arial"/>
                <w:sz w:val="14"/>
                <w:szCs w:val="14"/>
                <w:color w:val="auto"/>
              </w:rPr>
              <w:t>180 %</w:t>
            </w:r>
          </w:p>
        </w:tc>
        <w:tc>
          <w:tcPr>
            <w:tcW w:w="940" w:type="dxa"/>
            <w:vAlign w:val="bottom"/>
            <w:tcBorders>
              <w:bottom w:val="single" w:sz="8" w:color="939598"/>
            </w:tcBorders>
          </w:tcPr>
          <w:p>
            <w:pPr>
              <w:jc w:val="right"/>
              <w:ind w:right="189"/>
              <w:spacing w:after="0"/>
              <w:rPr>
                <w:sz w:val="20"/>
                <w:szCs w:val="20"/>
                <w:color w:val="auto"/>
              </w:rPr>
            </w:pPr>
            <w:r>
              <w:rPr>
                <w:rFonts w:ascii="Arial" w:cs="Arial" w:eastAsia="Arial" w:hAnsi="Arial"/>
                <w:sz w:val="14"/>
                <w:szCs w:val="14"/>
                <w:color w:val="auto"/>
              </w:rPr>
              <w:t>16.7 %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30 %</w:t>
            </w:r>
          </w:p>
        </w:tc>
      </w:tr>
      <w:tr>
        <w:trPr>
          <w:trHeight w:val="223"/>
        </w:trPr>
        <w:tc>
          <w:tcPr>
            <w:tcW w:w="25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AERO ROI</w:t>
            </w:r>
          </w:p>
        </w:tc>
        <w:tc>
          <w:tcPr>
            <w:tcW w:w="160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42.1 %</w:t>
            </w:r>
          </w:p>
        </w:tc>
        <w:tc>
          <w:tcPr>
            <w:tcW w:w="126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43.6 %</w:t>
            </w:r>
          </w:p>
        </w:tc>
        <w:tc>
          <w:tcPr>
            <w:tcW w:w="1060" w:type="dxa"/>
            <w:vAlign w:val="bottom"/>
            <w:tcBorders>
              <w:bottom w:val="single" w:sz="8" w:color="939598"/>
              <w:right w:val="single" w:sz="8" w:color="D7282F"/>
            </w:tcBorders>
          </w:tcPr>
          <w:p>
            <w:pPr>
              <w:jc w:val="right"/>
              <w:ind w:right="49"/>
              <w:spacing w:after="0"/>
              <w:rPr>
                <w:sz w:val="20"/>
                <w:szCs w:val="20"/>
                <w:color w:val="auto"/>
              </w:rPr>
            </w:pPr>
            <w:r>
              <w:rPr>
                <w:rFonts w:ascii="Arial" w:cs="Arial" w:eastAsia="Arial" w:hAnsi="Arial"/>
                <w:sz w:val="14"/>
                <w:szCs w:val="14"/>
                <w:color w:val="auto"/>
              </w:rPr>
              <w:t>&gt;= 45.1%</w:t>
            </w:r>
          </w:p>
        </w:tc>
        <w:tc>
          <w:tcPr>
            <w:tcW w:w="150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41.7 %</w:t>
            </w:r>
          </w:p>
        </w:tc>
        <w:tc>
          <w:tcPr>
            <w:tcW w:w="1520" w:type="dxa"/>
            <w:vAlign w:val="bottom"/>
            <w:tcBorders>
              <w:bottom w:val="single" w:sz="8" w:color="939598"/>
            </w:tcBorders>
          </w:tcPr>
          <w:p>
            <w:pPr>
              <w:jc w:val="right"/>
              <w:ind w:right="330"/>
              <w:spacing w:after="0"/>
              <w:rPr>
                <w:sz w:val="20"/>
                <w:szCs w:val="20"/>
                <w:color w:val="auto"/>
              </w:rPr>
            </w:pPr>
            <w:r>
              <w:rPr>
                <w:rFonts w:ascii="Arial" w:cs="Arial" w:eastAsia="Arial" w:hAnsi="Arial"/>
                <w:sz w:val="14"/>
                <w:szCs w:val="14"/>
                <w:color w:val="auto"/>
              </w:rPr>
              <w:t>0 %</w:t>
            </w:r>
          </w:p>
        </w:tc>
        <w:tc>
          <w:tcPr>
            <w:tcW w:w="940" w:type="dxa"/>
            <w:vAlign w:val="bottom"/>
            <w:tcBorders>
              <w:bottom w:val="single" w:sz="8" w:color="939598"/>
            </w:tcBorders>
          </w:tcPr>
          <w:p>
            <w:pPr>
              <w:jc w:val="right"/>
              <w:ind w:right="189"/>
              <w:spacing w:after="0"/>
              <w:rPr>
                <w:sz w:val="20"/>
                <w:szCs w:val="20"/>
                <w:color w:val="auto"/>
              </w:rPr>
            </w:pPr>
            <w:r>
              <w:rPr>
                <w:rFonts w:ascii="Arial" w:cs="Arial" w:eastAsia="Arial" w:hAnsi="Arial"/>
                <w:sz w:val="14"/>
                <w:szCs w:val="14"/>
                <w:color w:val="auto"/>
              </w:rPr>
              <w:t>16.7 %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0 %</w:t>
            </w:r>
          </w:p>
        </w:tc>
      </w:tr>
      <w:tr>
        <w:trPr>
          <w:trHeight w:val="223"/>
        </w:trPr>
        <w:tc>
          <w:tcPr>
            <w:tcW w:w="25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HON Revenue</w:t>
            </w:r>
          </w:p>
        </w:tc>
        <w:tc>
          <w:tcPr>
            <w:tcW w:w="1600" w:type="dxa"/>
            <w:vAlign w:val="bottom"/>
            <w:tcBorders>
              <w:bottom w:val="single" w:sz="8" w:color="939598"/>
            </w:tcBorders>
          </w:tcPr>
          <w:p>
            <w:pPr>
              <w:jc w:val="right"/>
              <w:ind w:right="249"/>
              <w:spacing w:after="0"/>
              <w:rPr>
                <w:sz w:val="20"/>
                <w:szCs w:val="20"/>
                <w:color w:val="auto"/>
              </w:rPr>
            </w:pPr>
            <w:r>
              <w:rPr>
                <w:rFonts w:ascii="Arial" w:cs="Arial" w:eastAsia="Arial" w:hAnsi="Arial"/>
                <w:sz w:val="14"/>
                <w:szCs w:val="14"/>
                <w:color w:val="auto"/>
              </w:rPr>
              <w:t>$102,156</w:t>
            </w:r>
          </w:p>
        </w:tc>
        <w:tc>
          <w:tcPr>
            <w:tcW w:w="126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$105,861</w:t>
            </w:r>
          </w:p>
        </w:tc>
        <w:tc>
          <w:tcPr>
            <w:tcW w:w="1060" w:type="dxa"/>
            <w:vAlign w:val="bottom"/>
            <w:tcBorders>
              <w:bottom w:val="single" w:sz="8" w:color="939598"/>
              <w:right w:val="single" w:sz="8" w:color="D7282F"/>
            </w:tcBorders>
          </w:tcPr>
          <w:p>
            <w:pPr>
              <w:jc w:val="right"/>
              <w:ind w:right="49"/>
              <w:spacing w:after="0"/>
              <w:rPr>
                <w:sz w:val="20"/>
                <w:szCs w:val="20"/>
                <w:color w:val="auto"/>
              </w:rPr>
            </w:pPr>
            <w:r>
              <w:rPr>
                <w:rFonts w:ascii="Arial" w:cs="Arial" w:eastAsia="Arial" w:hAnsi="Arial"/>
                <w:sz w:val="14"/>
                <w:szCs w:val="14"/>
                <w:color w:val="auto"/>
              </w:rPr>
              <w:t>$109,567</w:t>
            </w:r>
          </w:p>
        </w:tc>
        <w:tc>
          <w:tcPr>
            <w:tcW w:w="150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$108,837</w:t>
            </w:r>
          </w:p>
        </w:tc>
        <w:tc>
          <w:tcPr>
            <w:tcW w:w="1520" w:type="dxa"/>
            <w:vAlign w:val="bottom"/>
            <w:tcBorders>
              <w:bottom w:val="single" w:sz="8" w:color="939598"/>
            </w:tcBorders>
          </w:tcPr>
          <w:p>
            <w:pPr>
              <w:jc w:val="right"/>
              <w:ind w:right="330"/>
              <w:spacing w:after="0"/>
              <w:rPr>
                <w:sz w:val="20"/>
                <w:szCs w:val="20"/>
                <w:color w:val="auto"/>
              </w:rPr>
            </w:pPr>
            <w:r>
              <w:rPr>
                <w:rFonts w:ascii="Arial" w:cs="Arial" w:eastAsia="Arial" w:hAnsi="Arial"/>
                <w:sz w:val="14"/>
                <w:szCs w:val="14"/>
                <w:color w:val="auto"/>
              </w:rPr>
              <w:t>180 %</w:t>
            </w:r>
          </w:p>
        </w:tc>
        <w:tc>
          <w:tcPr>
            <w:tcW w:w="940" w:type="dxa"/>
            <w:vAlign w:val="bottom"/>
            <w:tcBorders>
              <w:bottom w:val="single" w:sz="8" w:color="939598"/>
            </w:tcBorders>
          </w:tcPr>
          <w:p>
            <w:pPr>
              <w:jc w:val="right"/>
              <w:ind w:right="189"/>
              <w:spacing w:after="0"/>
              <w:rPr>
                <w:sz w:val="20"/>
                <w:szCs w:val="20"/>
                <w:color w:val="auto"/>
              </w:rPr>
            </w:pPr>
            <w:r>
              <w:rPr>
                <w:rFonts w:ascii="Arial" w:cs="Arial" w:eastAsia="Arial" w:hAnsi="Arial"/>
                <w:sz w:val="14"/>
                <w:szCs w:val="14"/>
                <w:color w:val="auto"/>
              </w:rPr>
              <w:t>16.7 %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30 %</w:t>
            </w:r>
          </w:p>
        </w:tc>
      </w:tr>
      <w:tr>
        <w:trPr>
          <w:trHeight w:val="223"/>
        </w:trPr>
        <w:tc>
          <w:tcPr>
            <w:tcW w:w="25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HON Segment Margin Rate</w:t>
            </w:r>
          </w:p>
        </w:tc>
        <w:tc>
          <w:tcPr>
            <w:tcW w:w="160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20.8 %</w:t>
            </w:r>
          </w:p>
        </w:tc>
        <w:tc>
          <w:tcPr>
            <w:tcW w:w="1260" w:type="dxa"/>
            <w:vAlign w:val="bottom"/>
            <w:tcBorders>
              <w:bottom w:val="single" w:sz="8" w:color="939598"/>
            </w:tcBorders>
          </w:tcPr>
          <w:p>
            <w:pPr>
              <w:jc w:val="right"/>
              <w:ind w:right="269"/>
              <w:spacing w:after="0"/>
              <w:rPr>
                <w:sz w:val="20"/>
                <w:szCs w:val="20"/>
                <w:color w:val="auto"/>
              </w:rPr>
            </w:pPr>
            <w:r>
              <w:rPr>
                <w:rFonts w:ascii="Arial" w:cs="Arial" w:eastAsia="Arial" w:hAnsi="Arial"/>
                <w:sz w:val="14"/>
                <w:szCs w:val="14"/>
                <w:color w:val="auto"/>
              </w:rPr>
              <w:t>21.3 %</w:t>
            </w:r>
          </w:p>
        </w:tc>
        <w:tc>
          <w:tcPr>
            <w:tcW w:w="1060" w:type="dxa"/>
            <w:vAlign w:val="bottom"/>
            <w:tcBorders>
              <w:bottom w:val="single" w:sz="8" w:color="939598"/>
              <w:right w:val="single" w:sz="8" w:color="D7282F"/>
            </w:tcBorders>
          </w:tcPr>
          <w:p>
            <w:pPr>
              <w:jc w:val="right"/>
              <w:ind w:right="49"/>
              <w:spacing w:after="0"/>
              <w:rPr>
                <w:sz w:val="20"/>
                <w:szCs w:val="20"/>
                <w:color w:val="auto"/>
              </w:rPr>
            </w:pPr>
            <w:r>
              <w:rPr>
                <w:rFonts w:ascii="Arial" w:cs="Arial" w:eastAsia="Arial" w:hAnsi="Arial"/>
                <w:sz w:val="14"/>
                <w:szCs w:val="14"/>
                <w:color w:val="auto"/>
              </w:rPr>
              <w:t>&gt;= 21.8%</w:t>
            </w:r>
          </w:p>
        </w:tc>
        <w:tc>
          <w:tcPr>
            <w:tcW w:w="1500" w:type="dxa"/>
            <w:vAlign w:val="bottom"/>
            <w:tcBorders>
              <w:bottom w:val="single" w:sz="8" w:color="939598"/>
              <w:right w:val="single" w:sz="8" w:color="D7282F"/>
            </w:tcBorders>
          </w:tcPr>
          <w:p>
            <w:pPr>
              <w:jc w:val="right"/>
              <w:spacing w:after="0"/>
              <w:rPr>
                <w:sz w:val="20"/>
                <w:szCs w:val="20"/>
                <w:color w:val="auto"/>
              </w:rPr>
            </w:pPr>
            <w:r>
              <w:rPr>
                <w:rFonts w:ascii="Arial" w:cs="Arial" w:eastAsia="Arial" w:hAnsi="Arial"/>
                <w:sz w:val="14"/>
                <w:szCs w:val="14"/>
                <w:color w:val="auto"/>
              </w:rPr>
              <w:t>22.0 %</w:t>
            </w:r>
          </w:p>
        </w:tc>
        <w:tc>
          <w:tcPr>
            <w:tcW w:w="1520" w:type="dxa"/>
            <w:vAlign w:val="bottom"/>
            <w:tcBorders>
              <w:bottom w:val="single" w:sz="8" w:color="939598"/>
            </w:tcBorders>
          </w:tcPr>
          <w:p>
            <w:pPr>
              <w:jc w:val="right"/>
              <w:ind w:right="330"/>
              <w:spacing w:after="0"/>
              <w:rPr>
                <w:sz w:val="20"/>
                <w:szCs w:val="20"/>
                <w:color w:val="auto"/>
              </w:rPr>
            </w:pPr>
            <w:r>
              <w:rPr>
                <w:rFonts w:ascii="Arial" w:cs="Arial" w:eastAsia="Arial" w:hAnsi="Arial"/>
                <w:sz w:val="14"/>
                <w:szCs w:val="14"/>
                <w:color w:val="auto"/>
              </w:rPr>
              <w:t>200 %</w:t>
            </w:r>
          </w:p>
        </w:tc>
        <w:tc>
          <w:tcPr>
            <w:tcW w:w="940" w:type="dxa"/>
            <w:vAlign w:val="bottom"/>
            <w:tcBorders>
              <w:bottom w:val="single" w:sz="8" w:color="939598"/>
            </w:tcBorders>
          </w:tcPr>
          <w:p>
            <w:pPr>
              <w:jc w:val="right"/>
              <w:ind w:right="189"/>
              <w:spacing w:after="0"/>
              <w:rPr>
                <w:sz w:val="20"/>
                <w:szCs w:val="20"/>
                <w:color w:val="auto"/>
              </w:rPr>
            </w:pPr>
            <w:r>
              <w:rPr>
                <w:rFonts w:ascii="Arial" w:cs="Arial" w:eastAsia="Arial" w:hAnsi="Arial"/>
                <w:sz w:val="14"/>
                <w:szCs w:val="14"/>
                <w:color w:val="auto"/>
              </w:rPr>
              <w:t>16.7 %</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33 %</w:t>
            </w:r>
          </w:p>
        </w:tc>
      </w:tr>
      <w:tr>
        <w:trPr>
          <w:trHeight w:val="223"/>
        </w:trPr>
        <w:tc>
          <w:tcPr>
            <w:tcW w:w="2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HON Average ROI</w:t>
            </w:r>
          </w:p>
        </w:tc>
        <w:tc>
          <w:tcPr>
            <w:tcW w:w="1600" w:type="dxa"/>
            <w:vAlign w:val="bottom"/>
            <w:tcBorders>
              <w:bottom w:val="single" w:sz="8" w:color="D7282F"/>
            </w:tcBorders>
          </w:tcPr>
          <w:p>
            <w:pPr>
              <w:jc w:val="right"/>
              <w:ind w:right="269"/>
              <w:spacing w:after="0"/>
              <w:rPr>
                <w:sz w:val="20"/>
                <w:szCs w:val="20"/>
                <w:color w:val="auto"/>
              </w:rPr>
            </w:pPr>
            <w:r>
              <w:rPr>
                <w:rFonts w:ascii="Arial" w:cs="Arial" w:eastAsia="Arial" w:hAnsi="Arial"/>
                <w:sz w:val="14"/>
                <w:szCs w:val="14"/>
                <w:color w:val="auto"/>
              </w:rPr>
              <w:t>20.8 %</w:t>
            </w:r>
          </w:p>
        </w:tc>
        <w:tc>
          <w:tcPr>
            <w:tcW w:w="1260" w:type="dxa"/>
            <w:vAlign w:val="bottom"/>
            <w:tcBorders>
              <w:bottom w:val="single" w:sz="8" w:color="D7282F"/>
            </w:tcBorders>
          </w:tcPr>
          <w:p>
            <w:pPr>
              <w:jc w:val="right"/>
              <w:ind w:right="269"/>
              <w:spacing w:after="0"/>
              <w:rPr>
                <w:sz w:val="20"/>
                <w:szCs w:val="20"/>
                <w:color w:val="auto"/>
              </w:rPr>
            </w:pPr>
            <w:r>
              <w:rPr>
                <w:rFonts w:ascii="Arial" w:cs="Arial" w:eastAsia="Arial" w:hAnsi="Arial"/>
                <w:sz w:val="14"/>
                <w:szCs w:val="14"/>
                <w:color w:val="auto"/>
              </w:rPr>
              <w:t>21.6 %</w:t>
            </w:r>
          </w:p>
        </w:tc>
        <w:tc>
          <w:tcPr>
            <w:tcW w:w="1060" w:type="dxa"/>
            <w:vAlign w:val="bottom"/>
            <w:tcBorders>
              <w:bottom w:val="single" w:sz="8" w:color="D7282F"/>
              <w:right w:val="single" w:sz="8" w:color="D7282F"/>
            </w:tcBorders>
          </w:tcPr>
          <w:p>
            <w:pPr>
              <w:jc w:val="right"/>
              <w:ind w:right="49"/>
              <w:spacing w:after="0"/>
              <w:rPr>
                <w:sz w:val="20"/>
                <w:szCs w:val="20"/>
                <w:color w:val="auto"/>
              </w:rPr>
            </w:pPr>
            <w:r>
              <w:rPr>
                <w:rFonts w:ascii="Arial" w:cs="Arial" w:eastAsia="Arial" w:hAnsi="Arial"/>
                <w:sz w:val="14"/>
                <w:szCs w:val="14"/>
                <w:color w:val="auto"/>
              </w:rPr>
              <w:t>&gt;= 22.3%</w:t>
            </w:r>
          </w:p>
        </w:tc>
        <w:tc>
          <w:tcPr>
            <w:tcW w:w="150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4"/>
                <w:szCs w:val="14"/>
                <w:color w:val="auto"/>
              </w:rPr>
              <w:t>23.4 %</w:t>
            </w:r>
          </w:p>
        </w:tc>
        <w:tc>
          <w:tcPr>
            <w:tcW w:w="1520" w:type="dxa"/>
            <w:vAlign w:val="bottom"/>
            <w:tcBorders>
              <w:bottom w:val="single" w:sz="8" w:color="D7282F"/>
            </w:tcBorders>
          </w:tcPr>
          <w:p>
            <w:pPr>
              <w:jc w:val="right"/>
              <w:ind w:right="330"/>
              <w:spacing w:after="0"/>
              <w:rPr>
                <w:sz w:val="20"/>
                <w:szCs w:val="20"/>
                <w:color w:val="auto"/>
              </w:rPr>
            </w:pPr>
            <w:r>
              <w:rPr>
                <w:rFonts w:ascii="Arial" w:cs="Arial" w:eastAsia="Arial" w:hAnsi="Arial"/>
                <w:sz w:val="14"/>
                <w:szCs w:val="14"/>
                <w:color w:val="auto"/>
              </w:rPr>
              <w:t>200 %</w:t>
            </w:r>
          </w:p>
        </w:tc>
        <w:tc>
          <w:tcPr>
            <w:tcW w:w="940" w:type="dxa"/>
            <w:vAlign w:val="bottom"/>
            <w:tcBorders>
              <w:bottom w:val="single" w:sz="8" w:color="D7282F"/>
            </w:tcBorders>
          </w:tcPr>
          <w:p>
            <w:pPr>
              <w:jc w:val="right"/>
              <w:ind w:right="189"/>
              <w:spacing w:after="0"/>
              <w:rPr>
                <w:sz w:val="20"/>
                <w:szCs w:val="20"/>
                <w:color w:val="auto"/>
              </w:rPr>
            </w:pPr>
            <w:r>
              <w:rPr>
                <w:rFonts w:ascii="Arial" w:cs="Arial" w:eastAsia="Arial" w:hAnsi="Arial"/>
                <w:sz w:val="14"/>
                <w:szCs w:val="14"/>
                <w:color w:val="auto"/>
              </w:rPr>
              <w:t>16.7 %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33 %</w:t>
            </w:r>
          </w:p>
        </w:tc>
      </w:tr>
      <w:tr>
        <w:trPr>
          <w:trHeight w:val="148"/>
        </w:trPr>
        <w:tc>
          <w:tcPr>
            <w:tcW w:w="2500" w:type="dxa"/>
            <w:vAlign w:val="bottom"/>
            <w:tcBorders>
              <w:bottom w:val="single" w:sz="8" w:color="D7282F"/>
            </w:tcBorders>
          </w:tcPr>
          <w:p>
            <w:pPr>
              <w:spacing w:after="0"/>
              <w:rPr>
                <w:sz w:val="12"/>
                <w:szCs w:val="12"/>
                <w:color w:val="auto"/>
              </w:rPr>
            </w:pPr>
          </w:p>
        </w:tc>
        <w:tc>
          <w:tcPr>
            <w:tcW w:w="1600" w:type="dxa"/>
            <w:vAlign w:val="bottom"/>
            <w:tcBorders>
              <w:bottom w:val="single" w:sz="8" w:color="D7282F"/>
            </w:tcBorders>
          </w:tcPr>
          <w:p>
            <w:pPr>
              <w:spacing w:after="0"/>
              <w:rPr>
                <w:sz w:val="12"/>
                <w:szCs w:val="12"/>
                <w:color w:val="auto"/>
              </w:rPr>
            </w:pPr>
          </w:p>
        </w:tc>
        <w:tc>
          <w:tcPr>
            <w:tcW w:w="1260" w:type="dxa"/>
            <w:vAlign w:val="bottom"/>
            <w:tcBorders>
              <w:bottom w:val="single" w:sz="8" w:color="D7282F"/>
            </w:tcBorders>
          </w:tcPr>
          <w:p>
            <w:pPr>
              <w:spacing w:after="0"/>
              <w:rPr>
                <w:sz w:val="12"/>
                <w:szCs w:val="12"/>
                <w:color w:val="auto"/>
              </w:rPr>
            </w:pPr>
          </w:p>
        </w:tc>
        <w:tc>
          <w:tcPr>
            <w:tcW w:w="1060" w:type="dxa"/>
            <w:vAlign w:val="bottom"/>
            <w:tcBorders>
              <w:bottom w:val="single" w:sz="8" w:color="D7282F"/>
            </w:tcBorders>
          </w:tcPr>
          <w:p>
            <w:pPr>
              <w:spacing w:after="0"/>
              <w:rPr>
                <w:sz w:val="12"/>
                <w:szCs w:val="12"/>
                <w:color w:val="auto"/>
              </w:rPr>
            </w:pPr>
          </w:p>
        </w:tc>
        <w:tc>
          <w:tcPr>
            <w:tcW w:w="1500" w:type="dxa"/>
            <w:vAlign w:val="bottom"/>
            <w:tcBorders>
              <w:bottom w:val="single" w:sz="8" w:color="D7282F"/>
            </w:tcBorders>
          </w:tcPr>
          <w:p>
            <w:pPr>
              <w:spacing w:after="0"/>
              <w:rPr>
                <w:sz w:val="12"/>
                <w:szCs w:val="12"/>
                <w:color w:val="auto"/>
              </w:rPr>
            </w:pPr>
          </w:p>
        </w:tc>
        <w:tc>
          <w:tcPr>
            <w:tcW w:w="1520" w:type="dxa"/>
            <w:vAlign w:val="bottom"/>
            <w:tcBorders>
              <w:bottom w:val="single" w:sz="8" w:color="D7282F"/>
            </w:tcBorders>
          </w:tcPr>
          <w:p>
            <w:pPr>
              <w:spacing w:after="0"/>
              <w:rPr>
                <w:sz w:val="12"/>
                <w:szCs w:val="12"/>
                <w:color w:val="auto"/>
              </w:rPr>
            </w:pPr>
          </w:p>
        </w:tc>
        <w:tc>
          <w:tcPr>
            <w:tcW w:w="940" w:type="dxa"/>
            <w:vAlign w:val="bottom"/>
            <w:tcBorders>
              <w:bottom w:val="single" w:sz="8" w:color="D7282F"/>
            </w:tcBorders>
          </w:tcPr>
          <w:p>
            <w:pPr>
              <w:spacing w:after="0"/>
              <w:rPr>
                <w:sz w:val="12"/>
                <w:szCs w:val="12"/>
                <w:color w:val="auto"/>
              </w:rPr>
            </w:pPr>
          </w:p>
        </w:tc>
        <w:tc>
          <w:tcPr>
            <w:tcW w:w="860" w:type="dxa"/>
            <w:vAlign w:val="bottom"/>
            <w:tcBorders>
              <w:bottom w:val="single" w:sz="8" w:color="D7282F"/>
            </w:tcBorders>
          </w:tcPr>
          <w:p>
            <w:pPr>
              <w:spacing w:after="0"/>
              <w:rPr>
                <w:sz w:val="12"/>
                <w:szCs w:val="12"/>
                <w:color w:val="auto"/>
              </w:rPr>
            </w:pPr>
          </w:p>
        </w:tc>
      </w:tr>
      <w:tr>
        <w:trPr>
          <w:trHeight w:val="217"/>
        </w:trPr>
        <w:tc>
          <w:tcPr>
            <w:tcW w:w="9440" w:type="dxa"/>
            <w:vAlign w:val="bottom"/>
            <w:tcBorders>
              <w:left w:val="single" w:sz="8" w:color="D7282F"/>
              <w:bottom w:val="single" w:sz="8" w:color="D7282F"/>
            </w:tcBorders>
            <w:gridSpan w:val="6"/>
          </w:tcPr>
          <w:p>
            <w:pPr>
              <w:jc w:val="right"/>
              <w:ind w:right="150"/>
              <w:spacing w:after="0"/>
              <w:rPr>
                <w:sz w:val="20"/>
                <w:szCs w:val="20"/>
                <w:color w:val="auto"/>
              </w:rPr>
            </w:pPr>
            <w:r>
              <w:rPr>
                <w:rFonts w:ascii="Arial" w:cs="Arial" w:eastAsia="Arial" w:hAnsi="Arial"/>
                <w:sz w:val="14"/>
                <w:szCs w:val="14"/>
                <w:b w:val="1"/>
                <w:bCs w:val="1"/>
                <w:color w:val="auto"/>
              </w:rPr>
              <w:t>Total Earned Performance Cash Unit Payout Percentage — AERO executives (non-officer), includes Mr. Currier as non-officer in 2021</w:t>
            </w:r>
          </w:p>
        </w:tc>
        <w:tc>
          <w:tcPr>
            <w:tcW w:w="94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right w:val="single" w:sz="8" w:color="D7282F"/>
            </w:tcBorders>
          </w:tcPr>
          <w:p>
            <w:pPr>
              <w:jc w:val="right"/>
              <w:spacing w:after="0"/>
              <w:rPr>
                <w:sz w:val="20"/>
                <w:szCs w:val="20"/>
                <w:color w:val="auto"/>
              </w:rPr>
            </w:pPr>
            <w:r>
              <w:rPr>
                <w:rFonts w:ascii="Arial" w:cs="Arial" w:eastAsia="Arial" w:hAnsi="Arial"/>
                <w:sz w:val="13"/>
                <w:szCs w:val="13"/>
                <w:b w:val="1"/>
                <w:bCs w:val="1"/>
                <w:color w:val="auto"/>
              </w:rPr>
              <w:t>138 %</w:t>
            </w:r>
          </w:p>
        </w:tc>
      </w:tr>
    </w:tbl>
    <w:p>
      <w:pPr>
        <w:spacing w:after="0" w:line="126" w:lineRule="exact"/>
        <w:rPr>
          <w:sz w:val="20"/>
          <w:szCs w:val="20"/>
          <w:color w:val="auto"/>
        </w:rPr>
      </w:pPr>
    </w:p>
    <w:p>
      <w:pPr>
        <w:ind w:left="200" w:hanging="192"/>
        <w:spacing w:after="0"/>
        <w:tabs>
          <w:tab w:leader="none" w:pos="200" w:val="left"/>
        </w:tabs>
        <w:numPr>
          <w:ilvl w:val="0"/>
          <w:numId w:val="164"/>
        </w:numPr>
        <w:rPr>
          <w:rFonts w:ascii="Arial" w:cs="Arial" w:eastAsia="Arial" w:hAnsi="Arial"/>
          <w:sz w:val="16"/>
          <w:szCs w:val="16"/>
          <w:color w:val="auto"/>
          <w:vertAlign w:val="superscript"/>
        </w:rPr>
      </w:pPr>
      <w:r>
        <w:rPr>
          <w:rFonts w:ascii="Arial" w:cs="Arial" w:eastAsia="Arial" w:hAnsi="Arial"/>
          <w:sz w:val="13"/>
          <w:szCs w:val="13"/>
          <w:color w:val="auto"/>
        </w:rPr>
        <w:t>Results for AERO executives based 50% on performance against Total Honeywell targets and 50% on performance against Aerospace targets.</w:t>
      </w:r>
    </w:p>
    <w:p>
      <w:pPr>
        <w:spacing w:after="0" w:line="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Based on the final approved award payout percentage for non-officer Aerospace executives who received a 2021-2023 Performance Plan award in the form of performance cash units, the following individual award was earned by Mr. Currier:</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Total 2021-2023</w:t>
            </w:r>
          </w:p>
        </w:tc>
      </w:tr>
      <w:tr>
        <w:trPr>
          <w:trHeight w:val="176"/>
        </w:trPr>
        <w:tc>
          <w:tcPr>
            <w:tcW w:w="3060" w:type="dxa"/>
            <w:vAlign w:val="bottom"/>
          </w:tcPr>
          <w:p>
            <w:pPr>
              <w:spacing w:after="0"/>
              <w:rPr>
                <w:sz w:val="15"/>
                <w:szCs w:val="15"/>
                <w:color w:val="auto"/>
              </w:rPr>
            </w:pPr>
          </w:p>
        </w:tc>
        <w:tc>
          <w:tcPr>
            <w:tcW w:w="38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2021-2023</w:t>
            </w: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r>
      <w:tr>
        <w:trPr>
          <w:trHeight w:val="162"/>
        </w:trPr>
        <w:tc>
          <w:tcPr>
            <w:tcW w:w="3060" w:type="dxa"/>
            <w:vAlign w:val="bottom"/>
          </w:tcPr>
          <w:p>
            <w:pPr>
              <w:spacing w:after="0"/>
              <w:rPr>
                <w:sz w:val="14"/>
                <w:szCs w:val="14"/>
                <w:color w:val="auto"/>
              </w:rPr>
            </w:pPr>
          </w:p>
        </w:tc>
        <w:tc>
          <w:tcPr>
            <w:tcW w:w="3820" w:type="dxa"/>
            <w:vAlign w:val="bottom"/>
          </w:tcPr>
          <w:p>
            <w:pPr>
              <w:jc w:val="right"/>
              <w:ind w:right="168"/>
              <w:spacing w:after="0"/>
              <w:rPr>
                <w:sz w:val="20"/>
                <w:szCs w:val="20"/>
                <w:color w:val="auto"/>
              </w:rPr>
            </w:pPr>
            <w:r>
              <w:rPr>
                <w:rFonts w:ascii="Arial" w:cs="Arial" w:eastAsia="Arial" w:hAnsi="Arial"/>
                <w:sz w:val="14"/>
                <w:szCs w:val="14"/>
                <w:b w:val="1"/>
                <w:bCs w:val="1"/>
                <w:color w:val="auto"/>
              </w:rPr>
              <w:t>Performance Cash</w:t>
            </w:r>
          </w:p>
        </w:tc>
        <w:tc>
          <w:tcPr>
            <w:tcW w:w="1540" w:type="dxa"/>
            <w:vAlign w:val="bottom"/>
          </w:tcPr>
          <w:p>
            <w:pPr>
              <w:spacing w:after="0"/>
              <w:rPr>
                <w:sz w:val="14"/>
                <w:szCs w:val="14"/>
                <w:color w:val="auto"/>
              </w:rPr>
            </w:pPr>
          </w:p>
        </w:tc>
        <w:tc>
          <w:tcPr>
            <w:tcW w:w="14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 Earned</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Cash Award</w:t>
            </w:r>
          </w:p>
        </w:tc>
      </w:tr>
      <w:tr>
        <w:trPr>
          <w:trHeight w:val="219"/>
        </w:trPr>
        <w:tc>
          <w:tcPr>
            <w:tcW w:w="3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NEO</w:t>
            </w:r>
          </w:p>
        </w:tc>
        <w:tc>
          <w:tcPr>
            <w:tcW w:w="3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Units at Target</w:t>
            </w:r>
          </w:p>
        </w:tc>
        <w:tc>
          <w:tcPr>
            <w:tcW w:w="154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 Per Unit</w:t>
            </w:r>
          </w:p>
        </w:tc>
        <w:tc>
          <w:tcPr>
            <w:tcW w:w="14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Award</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Earned</w:t>
            </w:r>
          </w:p>
        </w:tc>
      </w:tr>
      <w:tr>
        <w:trPr>
          <w:trHeight w:val="223"/>
        </w:trPr>
        <w:tc>
          <w:tcPr>
            <w:tcW w:w="3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Mr. Currier</w:t>
            </w:r>
          </w:p>
        </w:tc>
        <w:tc>
          <w:tcPr>
            <w:tcW w:w="38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$934</w:t>
            </w:r>
          </w:p>
        </w:tc>
        <w:tc>
          <w:tcPr>
            <w:tcW w:w="154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$100.00</w:t>
            </w:r>
          </w:p>
        </w:tc>
        <w:tc>
          <w:tcPr>
            <w:tcW w:w="14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138 %</w:t>
            </w: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128,892</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earned award for Mr. Currier became fully vested on February 12, 2024, and was paid in cash in March 2024.</w:t>
      </w:r>
    </w:p>
    <w:p>
      <w:pPr>
        <w:spacing w:after="0" w:line="111"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In accordance with SEC disclosure requirements for cash-based awards, 100% of the earned cash award for Mr. Currier for the 2021-2023 performance period is included as part of 2023 Non-Equity Incentive Compensation on the Summary Compensation Table, even though originally granted in 2021. The MDCC considered this 2021-2023 cash unit award as part of Mr. Currier's 2021 total annual direct compensation (in the year it was granted), which differs from how it is reported on the Summary Compensation Table.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Mr. Currier became an executive officer in August 2023, and he has received PSU awards since then.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OPTIONS</w:t>
      </w:r>
    </w:p>
    <w:p>
      <w:pPr>
        <w:spacing w:after="0" w:line="182" w:lineRule="exact"/>
        <w:rPr>
          <w:sz w:val="20"/>
          <w:szCs w:val="20"/>
          <w:color w:val="auto"/>
        </w:rPr>
      </w:pPr>
    </w:p>
    <w:p>
      <w:pPr>
        <w:jc w:val="both"/>
        <w:ind w:left="1920" w:right="360"/>
        <w:spacing w:after="0" w:line="275" w:lineRule="auto"/>
        <w:rPr>
          <w:sz w:val="20"/>
          <w:szCs w:val="20"/>
          <w:color w:val="auto"/>
        </w:rPr>
      </w:pPr>
      <w:r>
        <w:rPr>
          <w:rFonts w:ascii="Arial" w:cs="Arial" w:eastAsia="Arial" w:hAnsi="Arial"/>
          <w:sz w:val="16"/>
          <w:szCs w:val="16"/>
          <w:color w:val="auto"/>
        </w:rPr>
        <w:t>Stock options granted to the NEOs in 2023 represented 25% of their total annual LTI value and mix. The MDCC believes that stock options continue to be an important element for focusing executives on actions that drive long-term stock appreciation, which is directly aligned with the interests of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-340360</wp:posOffset>
            </wp:positionV>
            <wp:extent cx="771525" cy="77152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50" w:lineRule="exact"/>
        <w:rPr>
          <w:sz w:val="20"/>
          <w:szCs w:val="20"/>
          <w:color w:val="auto"/>
        </w:rPr>
      </w:pPr>
    </w:p>
    <w:p>
      <w:pPr>
        <w:ind w:left="1920" w:right="20"/>
        <w:spacing w:after="0" w:line="265" w:lineRule="auto"/>
        <w:rPr>
          <w:sz w:val="20"/>
          <w:szCs w:val="20"/>
          <w:color w:val="auto"/>
        </w:rPr>
      </w:pPr>
      <w:r>
        <w:rPr>
          <w:rFonts w:ascii="Arial" w:cs="Arial" w:eastAsia="Arial" w:hAnsi="Arial"/>
          <w:sz w:val="16"/>
          <w:szCs w:val="16"/>
          <w:color w:val="auto"/>
        </w:rPr>
        <w:t>Stock options vest 25% per year over four years and have a 10-year term to exercise. The strike price for the 2023 annual stock options granted to NEOs in February is $199.60, which was the fair market value of Honeywell stock on the date of grant (February 10, 2023). The grant date fair value of a stock option was determined by a third-party valuation company using a Black-Scholes valuation method.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4960" w:type="dxa"/>
            <w:vAlign w:val="bottom"/>
          </w:tcPr>
          <w:p>
            <w:pPr>
              <w:jc w:val="right"/>
              <w:ind w:right="108"/>
              <w:spacing w:after="0"/>
              <w:rPr>
                <w:sz w:val="20"/>
                <w:szCs w:val="20"/>
                <w:color w:val="auto"/>
              </w:rPr>
            </w:pPr>
            <w:r>
              <w:rPr>
                <w:rFonts w:ascii="Arial" w:cs="Arial" w:eastAsia="Arial" w:hAnsi="Arial"/>
                <w:sz w:val="14"/>
                <w:szCs w:val="14"/>
                <w:b w:val="1"/>
                <w:bCs w:val="1"/>
                <w:color w:val="auto"/>
              </w:rPr>
              <w:t># of Stock</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214"/>
        </w:trPr>
        <w:tc>
          <w:tcPr>
            <w:tcW w:w="5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NEO</w:t>
            </w:r>
          </w:p>
        </w:tc>
        <w:tc>
          <w:tcPr>
            <w:tcW w:w="4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8"/>
                <w:szCs w:val="18"/>
                <w:b w:val="1"/>
                <w:bCs w:val="1"/>
                <w:color w:val="auto"/>
                <w:vertAlign w:val="superscript"/>
              </w:rPr>
              <w:t>(1)</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(2)</w:t>
            </w:r>
          </w:p>
        </w:tc>
      </w:tr>
      <w:tr>
        <w:trPr>
          <w:trHeight w:val="217"/>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Kapur</w:t>
            </w:r>
          </w:p>
        </w:tc>
        <w:tc>
          <w:tcPr>
            <w:tcW w:w="49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$65,552</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   2,510,104</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Lewis</w:t>
            </w:r>
          </w:p>
        </w:tc>
        <w:tc>
          <w:tcPr>
            <w:tcW w:w="49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34,270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1,367,716</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Ms. Madden</w:t>
            </w:r>
          </w:p>
        </w:tc>
        <w:tc>
          <w:tcPr>
            <w:tcW w:w="49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31,225</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1,246,190</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Boldea</w:t>
            </w:r>
          </w:p>
        </w:tc>
        <w:tc>
          <w:tcPr>
            <w:tcW w:w="49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23,805</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950,058</w:t>
            </w:r>
          </w:p>
        </w:tc>
      </w:tr>
      <w:tr>
        <w:trPr>
          <w:trHeight w:val="223"/>
        </w:trPr>
        <w:tc>
          <w:tcPr>
            <w:tcW w:w="50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Currier</w:t>
            </w:r>
          </w:p>
        </w:tc>
        <w:tc>
          <w:tcPr>
            <w:tcW w:w="49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24,271</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919,053</w:t>
            </w:r>
          </w:p>
        </w:tc>
      </w:tr>
      <w:tr>
        <w:trPr>
          <w:trHeight w:val="223"/>
        </w:trPr>
        <w:tc>
          <w:tcPr>
            <w:tcW w:w="5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Mr. Adamczyk</w:t>
            </w:r>
          </w:p>
        </w:tc>
        <w:tc>
          <w:tcPr>
            <w:tcW w:w="49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112,755</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4,500,052</w:t>
            </w:r>
          </w:p>
        </w:tc>
      </w:tr>
    </w:tbl>
    <w:p>
      <w:pPr>
        <w:spacing w:after="0" w:line="185" w:lineRule="exact"/>
        <w:rPr>
          <w:sz w:val="20"/>
          <w:szCs w:val="20"/>
          <w:color w:val="auto"/>
        </w:rPr>
      </w:pPr>
    </w:p>
    <w:p>
      <w:pPr>
        <w:ind w:left="200" w:right="100" w:hanging="192"/>
        <w:spacing w:after="0" w:line="230" w:lineRule="auto"/>
        <w:tabs>
          <w:tab w:leader="none" w:pos="200" w:val="left"/>
        </w:tabs>
        <w:numPr>
          <w:ilvl w:val="0"/>
          <w:numId w:val="165"/>
        </w:numPr>
        <w:rPr>
          <w:rFonts w:ascii="Arial" w:cs="Arial" w:eastAsia="Arial" w:hAnsi="Arial"/>
          <w:sz w:val="16"/>
          <w:szCs w:val="16"/>
          <w:color w:val="auto"/>
          <w:vertAlign w:val="superscript"/>
        </w:rPr>
      </w:pPr>
      <w:r>
        <w:rPr>
          <w:rFonts w:ascii="Arial" w:cs="Arial" w:eastAsia="Arial" w:hAnsi="Arial"/>
          <w:sz w:val="13"/>
          <w:szCs w:val="13"/>
          <w:color w:val="auto"/>
        </w:rPr>
        <w:t>Reflects the total number of stock options awarded to each NEO in 2023. The strike price for options granted is equal to the fair market value of Honeywell stock on the date of grant. Options vest 25% per year over four years from the grant date. Upon exercise, stock options are settled in shares of Honeywell stock with the NEO required to hold the resulting net gain shares at least one year before being able to sell them.</w:t>
      </w:r>
    </w:p>
    <w:p>
      <w:pPr>
        <w:spacing w:after="0" w:line="63" w:lineRule="exact"/>
        <w:rPr>
          <w:rFonts w:ascii="Arial" w:cs="Arial" w:eastAsia="Arial" w:hAnsi="Arial"/>
          <w:sz w:val="16"/>
          <w:szCs w:val="16"/>
          <w:color w:val="auto"/>
          <w:vertAlign w:val="superscript"/>
        </w:rPr>
      </w:pPr>
    </w:p>
    <w:p>
      <w:pPr>
        <w:ind w:left="200" w:right="20" w:hanging="192"/>
        <w:spacing w:after="0" w:line="232" w:lineRule="auto"/>
        <w:tabs>
          <w:tab w:leader="none" w:pos="200" w:val="left"/>
        </w:tabs>
        <w:numPr>
          <w:ilvl w:val="0"/>
          <w:numId w:val="165"/>
        </w:numPr>
        <w:rPr>
          <w:rFonts w:ascii="Arial" w:cs="Arial" w:eastAsia="Arial" w:hAnsi="Arial"/>
          <w:sz w:val="16"/>
          <w:szCs w:val="16"/>
          <w:color w:val="auto"/>
          <w:vertAlign w:val="superscript"/>
        </w:rPr>
      </w:pPr>
      <w:r>
        <w:rPr>
          <w:rFonts w:ascii="Arial" w:cs="Arial" w:eastAsia="Arial" w:hAnsi="Arial"/>
          <w:sz w:val="13"/>
          <w:szCs w:val="13"/>
          <w:color w:val="auto"/>
        </w:rPr>
        <w:t>Annual officer stock options were awarded to Messrs. Kapur (36,960 options), Lewis, Boldea, and Adamczyk and Ms. Madden on February 10, 2023, at a Black-Scholes value of $39.91 per option. Mr. Kapur received an additional stock option award (28,592 options) in connection with his promotion to Honeywell CEO on June 1, 2023, at a Black-Scholes value of $36.20 per option. Mr. Currier received his annual award (3,719 options) on February 23, 2023, at a Black-Scholes value of $38.73 per option, and an additional stock options award (20,552 options) at the time of his promotion to CEO and President, Aerospace on August 1, 2023, at a Black-Scholes value of $37.71 per option.</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107315</wp:posOffset>
            </wp:positionV>
            <wp:extent cx="771525" cy="77152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1820" w:right="160"/>
        <w:spacing w:after="0" w:line="275" w:lineRule="auto"/>
        <w:rPr>
          <w:sz w:val="20"/>
          <w:szCs w:val="20"/>
          <w:color w:val="auto"/>
        </w:rPr>
      </w:pPr>
      <w:r>
        <w:rPr>
          <w:rFonts w:ascii="Arial" w:cs="Arial" w:eastAsia="Arial" w:hAnsi="Arial"/>
          <w:sz w:val="16"/>
          <w:szCs w:val="16"/>
          <w:color w:val="auto"/>
        </w:rPr>
        <w:t>RSUs granted to the NEOs in 2023 represented 25% of their total annual LTI value and mix. RSUs vest 33%, 33%, and 34% on the second, third, and fourth anniversaries of the grant date, respectively. This vesting period is aligned with market practices and is designed to strengthen retention.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total number of RSUs granted to each NEO in 2023 and their respective grant date values: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7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b w:val="1"/>
                <w:bCs w:val="1"/>
                <w:color w:val="auto"/>
              </w:rPr>
              <w:t># of</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Grant Date</w:t>
            </w:r>
          </w:p>
        </w:tc>
      </w:tr>
      <w:tr>
        <w:trPr>
          <w:trHeight w:val="212"/>
        </w:trPr>
        <w:tc>
          <w:tcPr>
            <w:tcW w:w="878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NEO</w:t>
            </w:r>
          </w:p>
        </w:tc>
        <w:tc>
          <w:tcPr>
            <w:tcW w:w="1240" w:type="dxa"/>
            <w:vAlign w:val="bottom"/>
            <w:tcBorders>
              <w:bottom w:val="single" w:sz="8" w:color="D7282F"/>
            </w:tcBorders>
          </w:tcPr>
          <w:p>
            <w:pPr>
              <w:jc w:val="right"/>
              <w:ind w:right="112"/>
              <w:spacing w:after="0" w:line="212" w:lineRule="exact"/>
              <w:rPr>
                <w:sz w:val="20"/>
                <w:szCs w:val="20"/>
                <w:color w:val="auto"/>
              </w:rPr>
            </w:pPr>
            <w:r>
              <w:rPr>
                <w:rFonts w:ascii="Arial" w:cs="Arial" w:eastAsia="Arial" w:hAnsi="Arial"/>
                <w:sz w:val="24"/>
                <w:szCs w:val="24"/>
                <w:b w:val="1"/>
                <w:bCs w:val="1"/>
                <w:color w:val="auto"/>
                <w:vertAlign w:val="subscript"/>
              </w:rPr>
              <w:t>RSUs</w:t>
            </w:r>
            <w:r>
              <w:rPr>
                <w:rFonts w:ascii="Arial" w:cs="Arial" w:eastAsia="Arial" w:hAnsi="Arial"/>
                <w:sz w:val="9"/>
                <w:szCs w:val="9"/>
                <w:b w:val="1"/>
                <w:bCs w:val="1"/>
                <w:color w:val="auto"/>
              </w:rPr>
              <w:t>(1)(2)</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6"/>
                <w:szCs w:val="16"/>
                <w:b w:val="1"/>
                <w:bCs w:val="1"/>
                <w:color w:val="auto"/>
                <w:vertAlign w:val="superscript"/>
              </w:rPr>
              <w:t>(3)</w:t>
            </w:r>
          </w:p>
        </w:tc>
      </w:tr>
      <w:tr>
        <w:trPr>
          <w:trHeight w:val="217"/>
        </w:trPr>
        <w:tc>
          <w:tcPr>
            <w:tcW w:w="87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Kapur</w:t>
            </w:r>
          </w:p>
        </w:tc>
        <w:tc>
          <w:tcPr>
            <w:tcW w:w="1240" w:type="dxa"/>
            <w:vAlign w:val="bottom"/>
            <w:tcBorders>
              <w:bottom w:val="single" w:sz="8" w:color="939598"/>
            </w:tcBorders>
          </w:tcPr>
          <w:p>
            <w:pPr>
              <w:jc w:val="right"/>
              <w:ind w:right="172"/>
              <w:spacing w:after="0"/>
              <w:rPr>
                <w:sz w:val="20"/>
                <w:szCs w:val="20"/>
                <w:color w:val="auto"/>
              </w:rPr>
            </w:pPr>
            <w:r>
              <w:rPr>
                <w:rFonts w:ascii="Arial" w:cs="Arial" w:eastAsia="Arial" w:hAnsi="Arial"/>
                <w:sz w:val="14"/>
                <w:szCs w:val="14"/>
                <w:color w:val="auto"/>
              </w:rPr>
              <w:t>$12,770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   2,510,102</w:t>
            </w:r>
          </w:p>
        </w:tc>
      </w:tr>
      <w:tr>
        <w:trPr>
          <w:trHeight w:val="223"/>
        </w:trPr>
        <w:tc>
          <w:tcPr>
            <w:tcW w:w="87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Lewis</w:t>
            </w:r>
          </w:p>
        </w:tc>
        <w:tc>
          <w:tcPr>
            <w:tcW w:w="1240" w:type="dxa"/>
            <w:vAlign w:val="bottom"/>
            <w:tcBorders>
              <w:bottom w:val="single" w:sz="8" w:color="939598"/>
            </w:tcBorders>
          </w:tcPr>
          <w:p>
            <w:pPr>
              <w:jc w:val="right"/>
              <w:ind w:right="172"/>
              <w:spacing w:after="0"/>
              <w:rPr>
                <w:sz w:val="20"/>
                <w:szCs w:val="20"/>
                <w:color w:val="auto"/>
              </w:rPr>
            </w:pPr>
            <w:r>
              <w:rPr>
                <w:rFonts w:ascii="Arial" w:cs="Arial" w:eastAsia="Arial" w:hAnsi="Arial"/>
                <w:sz w:val="14"/>
                <w:szCs w:val="14"/>
                <w:color w:val="auto"/>
              </w:rPr>
              <w:t>6,850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1,367,260</w:t>
            </w:r>
          </w:p>
        </w:tc>
      </w:tr>
      <w:tr>
        <w:trPr>
          <w:trHeight w:val="223"/>
        </w:trPr>
        <w:tc>
          <w:tcPr>
            <w:tcW w:w="87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Ms. Madden</w:t>
            </w:r>
          </w:p>
        </w:tc>
        <w:tc>
          <w:tcPr>
            <w:tcW w:w="1240" w:type="dxa"/>
            <w:vAlign w:val="bottom"/>
            <w:tcBorders>
              <w:bottom w:val="single" w:sz="8" w:color="939598"/>
            </w:tcBorders>
          </w:tcPr>
          <w:p>
            <w:pPr>
              <w:jc w:val="right"/>
              <w:ind w:right="172"/>
              <w:spacing w:after="0"/>
              <w:rPr>
                <w:sz w:val="20"/>
                <w:szCs w:val="20"/>
                <w:color w:val="auto"/>
              </w:rPr>
            </w:pPr>
            <w:r>
              <w:rPr>
                <w:rFonts w:ascii="Arial" w:cs="Arial" w:eastAsia="Arial" w:hAnsi="Arial"/>
                <w:sz w:val="14"/>
                <w:szCs w:val="14"/>
                <w:color w:val="auto"/>
              </w:rPr>
              <w:t>6,245</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1,246,502</w:t>
            </w:r>
          </w:p>
        </w:tc>
      </w:tr>
      <w:tr>
        <w:trPr>
          <w:trHeight w:val="223"/>
        </w:trPr>
        <w:tc>
          <w:tcPr>
            <w:tcW w:w="87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Boldea</w:t>
            </w:r>
          </w:p>
        </w:tc>
        <w:tc>
          <w:tcPr>
            <w:tcW w:w="1240" w:type="dxa"/>
            <w:vAlign w:val="bottom"/>
            <w:tcBorders>
              <w:bottom w:val="single" w:sz="8" w:color="939598"/>
            </w:tcBorders>
          </w:tcPr>
          <w:p>
            <w:pPr>
              <w:jc w:val="right"/>
              <w:ind w:right="172"/>
              <w:spacing w:after="0"/>
              <w:rPr>
                <w:sz w:val="20"/>
                <w:szCs w:val="20"/>
                <w:color w:val="auto"/>
              </w:rPr>
            </w:pPr>
            <w:r>
              <w:rPr>
                <w:rFonts w:ascii="Arial" w:cs="Arial" w:eastAsia="Arial" w:hAnsi="Arial"/>
                <w:sz w:val="14"/>
                <w:szCs w:val="14"/>
                <w:color w:val="auto"/>
              </w:rPr>
              <w:t>4,760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950,096</w:t>
            </w:r>
          </w:p>
        </w:tc>
      </w:tr>
      <w:tr>
        <w:trPr>
          <w:trHeight w:val="223"/>
        </w:trPr>
        <w:tc>
          <w:tcPr>
            <w:tcW w:w="87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Currier</w:t>
            </w:r>
          </w:p>
        </w:tc>
        <w:tc>
          <w:tcPr>
            <w:tcW w:w="1240" w:type="dxa"/>
            <w:vAlign w:val="bottom"/>
            <w:tcBorders>
              <w:bottom w:val="single" w:sz="8" w:color="939598"/>
            </w:tcBorders>
          </w:tcPr>
          <w:p>
            <w:pPr>
              <w:jc w:val="right"/>
              <w:ind w:right="172"/>
              <w:spacing w:after="0"/>
              <w:rPr>
                <w:sz w:val="20"/>
                <w:szCs w:val="20"/>
                <w:color w:val="auto"/>
              </w:rPr>
            </w:pPr>
            <w:r>
              <w:rPr>
                <w:rFonts w:ascii="Arial" w:cs="Arial" w:eastAsia="Arial" w:hAnsi="Arial"/>
                <w:sz w:val="14"/>
                <w:szCs w:val="14"/>
                <w:color w:val="auto"/>
              </w:rPr>
              <w:t>4,740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919,310</w:t>
            </w:r>
          </w:p>
        </w:tc>
      </w:tr>
      <w:tr>
        <w:trPr>
          <w:trHeight w:val="223"/>
        </w:trPr>
        <w:tc>
          <w:tcPr>
            <w:tcW w:w="878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Mr. Adamczyk</w:t>
            </w:r>
          </w:p>
        </w:tc>
        <w:tc>
          <w:tcPr>
            <w:tcW w:w="1240" w:type="dxa"/>
            <w:vAlign w:val="bottom"/>
            <w:tcBorders>
              <w:bottom w:val="single" w:sz="8" w:color="D7282F"/>
            </w:tcBorders>
          </w:tcPr>
          <w:p>
            <w:pPr>
              <w:jc w:val="right"/>
              <w:ind w:right="172"/>
              <w:spacing w:after="0"/>
              <w:rPr>
                <w:sz w:val="20"/>
                <w:szCs w:val="20"/>
                <w:color w:val="auto"/>
              </w:rPr>
            </w:pPr>
            <w:r>
              <w:rPr>
                <w:rFonts w:ascii="Arial" w:cs="Arial" w:eastAsia="Arial" w:hAnsi="Arial"/>
                <w:sz w:val="14"/>
                <w:szCs w:val="14"/>
                <w:color w:val="auto"/>
              </w:rPr>
              <w:t>22,545</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4,499,982</w:t>
            </w:r>
          </w:p>
        </w:tc>
      </w:tr>
    </w:tbl>
    <w:p>
      <w:pPr>
        <w:spacing w:after="0" w:line="144" w:lineRule="exact"/>
        <w:rPr>
          <w:sz w:val="20"/>
          <w:szCs w:val="20"/>
          <w:color w:val="auto"/>
        </w:rPr>
      </w:pPr>
    </w:p>
    <w:p>
      <w:pPr>
        <w:ind w:left="200" w:right="180" w:hanging="192"/>
        <w:spacing w:after="0" w:line="236" w:lineRule="auto"/>
        <w:tabs>
          <w:tab w:leader="none" w:pos="200"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Annual RSUs were awarded to Messrs. Kapur (7,390 RSUs), Lewis, Boldea, Currier (742 RSUs) and Adamczyk and Ms. Madden in February 2023. Mr. Kapur received an additional award (5,380 RSUs) in connection with his promotion to Honeywell CEO on June 1, 2023. Mr. Currier received an additional award (3,998 RSUs) in connection with his promotion to CEO and President, Aerospace on August 1, 2023.</w:t>
      </w:r>
    </w:p>
    <w:p>
      <w:pPr>
        <w:spacing w:after="0" w:line="51" w:lineRule="exact"/>
        <w:rPr>
          <w:rFonts w:ascii="Arial" w:cs="Arial" w:eastAsia="Arial" w:hAnsi="Arial"/>
          <w:sz w:val="16"/>
          <w:szCs w:val="16"/>
          <w:color w:val="auto"/>
          <w:vertAlign w:val="superscript"/>
        </w:rPr>
      </w:pPr>
    </w:p>
    <w:p>
      <w:pPr>
        <w:ind w:left="200" w:right="340" w:hanging="192"/>
        <w:spacing w:after="0" w:line="236" w:lineRule="auto"/>
        <w:tabs>
          <w:tab w:leader="none" w:pos="200"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Officer RSUs vest 33%, 33%, and 34% on the second, third, and fourth anniversaries of the grant date, respectively. During the vesting period, dividend equivalents will be earned in the form of additional RSU shares based on regular dividends paid by Honeywell, with such additional dividends vesting on the same timing as the underlying RSUs to which they relate. In addition, upon vesting, RSUs are settled in shares of Honeywell stock with the NEO required to hold the resulting net shares at least one year before being able to sell them.</w:t>
      </w:r>
    </w:p>
    <w:p>
      <w:pPr>
        <w:spacing w:after="0" w:line="51" w:lineRule="exact"/>
        <w:rPr>
          <w:rFonts w:ascii="Arial" w:cs="Arial" w:eastAsia="Arial" w:hAnsi="Arial"/>
          <w:sz w:val="16"/>
          <w:szCs w:val="16"/>
          <w:color w:val="auto"/>
          <w:vertAlign w:val="superscript"/>
        </w:rPr>
      </w:pPr>
    </w:p>
    <w:p>
      <w:pPr>
        <w:ind w:left="200" w:right="40" w:hanging="192"/>
        <w:spacing w:after="0" w:line="226" w:lineRule="auto"/>
        <w:tabs>
          <w:tab w:leader="none" w:pos="200" w:val="left"/>
        </w:tabs>
        <w:numPr>
          <w:ilvl w:val="0"/>
          <w:numId w:val="166"/>
        </w:numPr>
        <w:rPr>
          <w:rFonts w:ascii="Arial" w:cs="Arial" w:eastAsia="Arial" w:hAnsi="Arial"/>
          <w:sz w:val="16"/>
          <w:szCs w:val="16"/>
          <w:color w:val="auto"/>
          <w:vertAlign w:val="superscript"/>
        </w:rPr>
      </w:pPr>
      <w:r>
        <w:rPr>
          <w:rFonts w:ascii="Arial" w:cs="Arial" w:eastAsia="Arial" w:hAnsi="Arial"/>
          <w:sz w:val="13"/>
          <w:szCs w:val="13"/>
          <w:color w:val="auto"/>
        </w:rPr>
        <w:t>Grant date value is determined using the average of the high and low stock prices of Honeywell stock on the grant date. Numbers shown are based on a grant date value of $199.60 for the February 10, 2023 grants, $194.31 for the February 23, 2023 grant (Currier only), $192.39 for the June 1, 2023 grant, and $193.88 for the August 1, 2023 grant.</w:t>
      </w:r>
    </w:p>
    <w:p>
      <w:pPr>
        <w:spacing w:after="0" w:line="24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sz w:val="1"/>
          <w:szCs w:val="1"/>
          <w:color w:val="auto"/>
        </w:rPr>
        <w:drawing>
          <wp:inline distT="0" distB="0" distL="0" distR="0">
            <wp:extent cx="548640" cy="10287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82" w:name="page83"/>
    <w:bookmarkEnd w:id="82"/>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OTHER COMPENSATION AND BENEFIT PROGRAMS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PLANS</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offer various retirement benefits to our NEOs. Specifically, depending upon when and where they joined the Company, some NEOs may participate in broad-based plans, including a defined benefit pension plan and a 401(k) savings plan that provides matching Company contributions. We also maintain an unfunded supplemental retirement plan to replace the portion of an executive’s pension benefit that cannot be paid under the broad-based plans because of Internal Revenue Service (IRS) limitations. More information on retirement benefits can be found beginning on page 87.</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PLANS</w:t>
      </w:r>
    </w:p>
    <w:p>
      <w:pPr>
        <w:spacing w:after="0" w:line="14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Honeywell executives (including the NEOs) may choose to participate in certain nonqualified deferred compensation plans to permit retirement savings in a tax-efficient manner. Executives can elect to defer up to 100% of their annual ICP awards. In addition, executives may also participate in the Honeywell Supplemental Savings Plan to defer base salary that cannot be contributed to the Company’s 401(k) savings plan due to IRS limitations. These amounts are matched by the Company only to the extent required to make up for a shortfall in the available match under the 401(k) savings plan due to IRS limitations. Deferred compensation balances earn interest at a fixed rate based on the Company’s 15-year cost of borrowing, which is subject to change on an annual basis (5.11% for 2023). Matching contributions are treated as if invested in Company common stock. These plans are explained in more detail on page 89.</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BENEFITS AND PERQUISITES</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NEOs are entitled to participate in Honeywell-wide benefits such as life, medical, dental, and accidental death and disability insurance, which are competitive with other similarly sized companies. The NEOs participate in these programs on the same basis as the rest of our salaried employees. We also maintain low-cost excess liability coverage for all executive-level personnel, including the NEOs. The NEOs are also eligible for an annual executive physical, and Charlotte-based officers participate in a low-cost regional concierge medical service program.</w:t>
      </w:r>
    </w:p>
    <w:p>
      <w:pPr>
        <w:spacing w:after="0" w:line="7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security policy requires that our Executive Chairman and CEO use Honeywell aircraft for all air travel (business or personal) to ensure personal security and protect the confidentiality of our business. From time to time, we also permit other executive officers to use Honeywell aircraft for personal or business use. The security plan for the Executive Chairman and CEO also provides for home security and related monitoring.</w:t>
      </w:r>
    </w:p>
    <w:p>
      <w:pPr>
        <w:spacing w:after="0" w:line="24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RISK OVERSIGHT CONSIDERATIONS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MDCC believes that balancing the various elements of Honeywell’s executive compensation program:</w:t>
      </w:r>
    </w:p>
    <w:p>
      <w:pPr>
        <w:spacing w:after="0" w:line="113" w:lineRule="exact"/>
        <w:rPr>
          <w:sz w:val="20"/>
          <w:szCs w:val="20"/>
          <w:color w:val="auto"/>
        </w:rPr>
      </w:pPr>
    </w:p>
    <w:p>
      <w:pPr>
        <w:ind w:left="200" w:hanging="192"/>
        <w:spacing w:after="0"/>
        <w:tabs>
          <w:tab w:leader="none" w:pos="200" w:val="left"/>
        </w:tabs>
        <w:numPr>
          <w:ilvl w:val="0"/>
          <w:numId w:val="167"/>
        </w:numPr>
        <w:rPr>
          <w:rFonts w:ascii="Arial" w:cs="Arial" w:eastAsia="Arial" w:hAnsi="Arial"/>
          <w:sz w:val="16"/>
          <w:szCs w:val="16"/>
          <w:b w:val="1"/>
          <w:bCs w:val="1"/>
          <w:color w:val="D7282F"/>
        </w:rPr>
      </w:pPr>
      <w:r>
        <w:rPr>
          <w:rFonts w:ascii="Arial" w:cs="Arial" w:eastAsia="Arial" w:hAnsi="Arial"/>
          <w:sz w:val="16"/>
          <w:szCs w:val="16"/>
          <w:color w:val="auto"/>
        </w:rPr>
        <w:t>Supports the achievement of competitive sales, earnings, and cash performance in variable economic and industry conditions without undue risk; and</w:t>
      </w:r>
    </w:p>
    <w:p>
      <w:pPr>
        <w:spacing w:after="0" w:line="86" w:lineRule="exact"/>
        <w:rPr>
          <w:rFonts w:ascii="Arial" w:cs="Arial" w:eastAsia="Arial" w:hAnsi="Arial"/>
          <w:sz w:val="16"/>
          <w:szCs w:val="16"/>
          <w:b w:val="1"/>
          <w:bCs w:val="1"/>
          <w:color w:val="D7282F"/>
        </w:rPr>
      </w:pPr>
    </w:p>
    <w:p>
      <w:pPr>
        <w:ind w:left="200" w:right="500" w:hanging="192"/>
        <w:spacing w:after="0" w:line="286" w:lineRule="auto"/>
        <w:tabs>
          <w:tab w:leader="none" w:pos="197" w:val="left"/>
        </w:tabs>
        <w:numPr>
          <w:ilvl w:val="0"/>
          <w:numId w:val="167"/>
        </w:numPr>
        <w:rPr>
          <w:rFonts w:ascii="Arial" w:cs="Arial" w:eastAsia="Arial" w:hAnsi="Arial"/>
          <w:sz w:val="16"/>
          <w:szCs w:val="16"/>
          <w:b w:val="1"/>
          <w:bCs w:val="1"/>
          <w:color w:val="D7282F"/>
        </w:rPr>
      </w:pPr>
      <w:r>
        <w:rPr>
          <w:rFonts w:ascii="Arial" w:cs="Arial" w:eastAsia="Arial" w:hAnsi="Arial"/>
          <w:sz w:val="16"/>
          <w:szCs w:val="16"/>
          <w:color w:val="auto"/>
        </w:rPr>
        <w:t>Mitigates the potential to reward risk-taking that may produce short-term results that appear in isolation to be favorable, but that may undermine the successful execution of the Company’s long-term business strategy and adversely impact shareowner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compensation design features guard against unnecessary or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4980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32320" cy="4980940"/>
                    </a:xfrm>
                    <a:prstGeom prst="rect">
                      <a:avLst/>
                    </a:prstGeom>
                    <a:noFill/>
                  </pic:spPr>
                </pic:pic>
              </a:graphicData>
            </a:graphic>
          </wp:anchor>
        </w:drawing>
      </w:r>
    </w:p>
    <w:p>
      <w:pPr>
        <w:spacing w:after="0" w:line="242" w:lineRule="exact"/>
        <w:rPr>
          <w:sz w:val="20"/>
          <w:szCs w:val="20"/>
          <w:color w:val="auto"/>
        </w:rPr>
      </w:pPr>
    </w:p>
    <w:p>
      <w:pPr>
        <w:ind w:left="160" w:right="360"/>
        <w:spacing w:after="0" w:line="286" w:lineRule="auto"/>
        <w:rPr>
          <w:sz w:val="20"/>
          <w:szCs w:val="20"/>
          <w:color w:val="auto"/>
        </w:rPr>
      </w:pPr>
      <w:r>
        <w:rPr>
          <w:rFonts w:ascii="Arial" w:cs="Arial" w:eastAsia="Arial" w:hAnsi="Arial"/>
          <w:sz w:val="16"/>
          <w:szCs w:val="16"/>
          <w:b w:val="1"/>
          <w:bCs w:val="1"/>
          <w:color w:val="auto"/>
        </w:rPr>
        <w:t xml:space="preserve">Robust processes </w:t>
      </w:r>
      <w:r>
        <w:rPr>
          <w:rFonts w:ascii="Arial" w:cs="Arial" w:eastAsia="Arial" w:hAnsi="Arial"/>
          <w:sz w:val="16"/>
          <w:szCs w:val="16"/>
          <w:color w:val="auto"/>
        </w:rPr>
        <w:t>for developing strategic and annual operating plans, approval of capital investments, internal controls over financial reporting,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financial, operational, and compliance policies and practices.</w:t>
      </w:r>
    </w:p>
    <w:p>
      <w:pPr>
        <w:spacing w:after="0" w:line="169" w:lineRule="exact"/>
        <w:rPr>
          <w:sz w:val="20"/>
          <w:szCs w:val="20"/>
          <w:color w:val="auto"/>
        </w:rPr>
      </w:pPr>
    </w:p>
    <w:p>
      <w:pPr>
        <w:ind w:left="160" w:right="180"/>
        <w:spacing w:after="0" w:line="286" w:lineRule="auto"/>
        <w:rPr>
          <w:sz w:val="20"/>
          <w:szCs w:val="20"/>
          <w:color w:val="auto"/>
        </w:rPr>
      </w:pPr>
      <w:r>
        <w:rPr>
          <w:rFonts w:ascii="Arial" w:cs="Arial" w:eastAsia="Arial" w:hAnsi="Arial"/>
          <w:sz w:val="16"/>
          <w:szCs w:val="16"/>
          <w:b w:val="1"/>
          <w:bCs w:val="1"/>
          <w:color w:val="auto"/>
        </w:rPr>
        <w:t xml:space="preserve">Diversity of the Company’s overall portfolio </w:t>
      </w:r>
      <w:r>
        <w:rPr>
          <w:rFonts w:ascii="Arial" w:cs="Arial" w:eastAsia="Arial" w:hAnsi="Arial"/>
          <w:sz w:val="16"/>
          <w:szCs w:val="16"/>
          <w:color w:val="auto"/>
        </w:rPr>
        <w:t>of businesses with respect to industries and markets served (types, long-cycle/short-cycle),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sold, and geographic footprint.</w:t>
      </w:r>
    </w:p>
    <w:p>
      <w:pPr>
        <w:spacing w:after="0" w:line="142" w:lineRule="exact"/>
        <w:rPr>
          <w:sz w:val="20"/>
          <w:szCs w:val="20"/>
          <w:color w:val="auto"/>
        </w:rPr>
      </w:pPr>
    </w:p>
    <w:p>
      <w:pPr>
        <w:ind w:left="160" w:right="340"/>
        <w:spacing w:after="0" w:line="286" w:lineRule="auto"/>
        <w:rPr>
          <w:sz w:val="20"/>
          <w:szCs w:val="20"/>
          <w:color w:val="auto"/>
        </w:rPr>
      </w:pPr>
      <w:r>
        <w:rPr>
          <w:rFonts w:ascii="Arial" w:cs="Arial" w:eastAsia="Arial" w:hAnsi="Arial"/>
          <w:sz w:val="16"/>
          <w:szCs w:val="16"/>
          <w:b w:val="1"/>
          <w:bCs w:val="1"/>
          <w:color w:val="auto"/>
        </w:rPr>
        <w:t xml:space="preserve">MDCC review and approval </w:t>
      </w:r>
      <w:r>
        <w:rPr>
          <w:rFonts w:ascii="Arial" w:cs="Arial" w:eastAsia="Arial" w:hAnsi="Arial"/>
          <w:sz w:val="16"/>
          <w:szCs w:val="16"/>
          <w:color w:val="auto"/>
        </w:rPr>
        <w:t>of corporate, business, and individual executive officer objectives to ensure that these goals are aligned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annual operating and strategic plans, achieve the proper risk/reward balance, and do not encourage unnecessary or excessive risk-taking.</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features that guard against unnecessary or excessive risk-taking include:</w:t>
      </w:r>
    </w:p>
    <w:p>
      <w:pPr>
        <w:spacing w:after="0" w:line="86" w:lineRule="exact"/>
        <w:rPr>
          <w:sz w:val="20"/>
          <w:szCs w:val="20"/>
          <w:color w:val="auto"/>
        </w:rPr>
      </w:pPr>
    </w:p>
    <w:p>
      <w:pPr>
        <w:ind w:left="360" w:right="280" w:hanging="199"/>
        <w:spacing w:after="0" w:line="290" w:lineRule="auto"/>
        <w:tabs>
          <w:tab w:leader="none" w:pos="357"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Pay mix between fixed and variable, annual, and long-term, and cash and equity compensation is designed to encourage strategies and actions that are in the Company’s long-term best interests.</w:t>
      </w:r>
    </w:p>
    <w:p>
      <w:pPr>
        <w:ind w:left="360" w:right="380" w:hanging="199"/>
        <w:spacing w:after="0" w:line="286" w:lineRule="auto"/>
        <w:tabs>
          <w:tab w:leader="none" w:pos="357"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Base salaries are positioned to be consistent with executives’ responsibilities, so they are not motivated to take excessive risks to achieve financial security.</w:t>
      </w:r>
    </w:p>
    <w:p>
      <w:pPr>
        <w:spacing w:after="0" w:line="7" w:lineRule="exact"/>
        <w:rPr>
          <w:rFonts w:ascii="Arial" w:cs="Arial" w:eastAsia="Arial" w:hAnsi="Arial"/>
          <w:sz w:val="16"/>
          <w:szCs w:val="16"/>
          <w:b w:val="1"/>
          <w:bCs w:val="1"/>
          <w:color w:val="D7282F"/>
        </w:rPr>
      </w:pPr>
    </w:p>
    <w:p>
      <w:pPr>
        <w:ind w:left="360" w:right="1080" w:hanging="199"/>
        <w:spacing w:after="0" w:line="281" w:lineRule="auto"/>
        <w:tabs>
          <w:tab w:leader="none" w:pos="357"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Incentive awards are determined based on a review of a variety of performance indicators, diversifying the risk associated with any single performance indicator.</w:t>
      </w:r>
    </w:p>
    <w:p>
      <w:pPr>
        <w:spacing w:after="0" w:line="1" w:lineRule="exact"/>
        <w:rPr>
          <w:rFonts w:ascii="Arial" w:cs="Arial" w:eastAsia="Arial" w:hAnsi="Arial"/>
          <w:sz w:val="16"/>
          <w:szCs w:val="16"/>
          <w:b w:val="1"/>
          <w:bCs w:val="1"/>
          <w:color w:val="D7282F"/>
        </w:rPr>
      </w:pPr>
    </w:p>
    <w:p>
      <w:pPr>
        <w:ind w:left="360" w:hanging="199"/>
        <w:spacing w:after="0"/>
        <w:tabs>
          <w:tab w:leader="none" w:pos="360"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Design of long-term compensation program rewards executives for driving sustainable, profitable growth.</w:t>
      </w:r>
    </w:p>
    <w:p>
      <w:pPr>
        <w:spacing w:after="0" w:line="72" w:lineRule="exact"/>
        <w:rPr>
          <w:rFonts w:ascii="Arial" w:cs="Arial" w:eastAsia="Arial" w:hAnsi="Arial"/>
          <w:sz w:val="16"/>
          <w:szCs w:val="16"/>
          <w:b w:val="1"/>
          <w:bCs w:val="1"/>
          <w:color w:val="D7282F"/>
        </w:rPr>
      </w:pPr>
    </w:p>
    <w:p>
      <w:pPr>
        <w:ind w:left="360" w:hanging="199"/>
        <w:spacing w:after="0"/>
        <w:tabs>
          <w:tab w:leader="none" w:pos="360"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Vesting periods for equity compensation awards encourage executives to focus on sustained stock price appreciation.</w:t>
      </w:r>
    </w:p>
    <w:p>
      <w:pPr>
        <w:spacing w:after="0" w:line="59" w:lineRule="exact"/>
        <w:rPr>
          <w:rFonts w:ascii="Arial" w:cs="Arial" w:eastAsia="Arial" w:hAnsi="Arial"/>
          <w:sz w:val="16"/>
          <w:szCs w:val="16"/>
          <w:b w:val="1"/>
          <w:bCs w:val="1"/>
          <w:color w:val="D7282F"/>
        </w:rPr>
      </w:pPr>
    </w:p>
    <w:p>
      <w:pPr>
        <w:ind w:left="360" w:right="460" w:hanging="199"/>
        <w:spacing w:after="0" w:line="290" w:lineRule="auto"/>
        <w:tabs>
          <w:tab w:leader="none" w:pos="357"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Incentive plans are not overly leveraged, have maximum payout caps, and have design features that are intended to balance pay for performance with an appropriate level of risk-taking.</w:t>
      </w:r>
    </w:p>
    <w:p>
      <w:pPr>
        <w:ind w:left="360" w:right="260" w:hanging="199"/>
        <w:spacing w:after="0" w:line="286" w:lineRule="auto"/>
        <w:tabs>
          <w:tab w:leader="none" w:pos="357" w:val="left"/>
        </w:tabs>
        <w:numPr>
          <w:ilvl w:val="0"/>
          <w:numId w:val="168"/>
        </w:numPr>
        <w:rPr>
          <w:rFonts w:ascii="Arial" w:cs="Arial" w:eastAsia="Arial" w:hAnsi="Arial"/>
          <w:sz w:val="16"/>
          <w:szCs w:val="16"/>
          <w:b w:val="1"/>
          <w:bCs w:val="1"/>
          <w:color w:val="D7282F"/>
        </w:rPr>
      </w:pPr>
      <w:r>
        <w:rPr>
          <w:rFonts w:ascii="Arial" w:cs="Arial" w:eastAsia="Arial" w:hAnsi="Arial"/>
          <w:sz w:val="16"/>
          <w:szCs w:val="16"/>
          <w:color w:val="auto"/>
        </w:rPr>
        <w:t>The MDCC retains discretionary authority to exclude unusual or infrequently occurring items, extraordinary items, and the cumulative effect of changes in accounting treatment when determining performance attainment under formulaic plans where events and/or business conditions warrant.</w:t>
      </w:r>
    </w:p>
    <w:p>
      <w:pPr>
        <w:spacing w:after="0" w:line="183" w:lineRule="exact"/>
        <w:rPr>
          <w:sz w:val="20"/>
          <w:szCs w:val="20"/>
          <w:color w:val="auto"/>
        </w:rPr>
      </w:pPr>
    </w:p>
    <w:p>
      <w:pPr>
        <w:ind w:left="160" w:right="220"/>
        <w:spacing w:after="0" w:line="261" w:lineRule="auto"/>
        <w:rPr>
          <w:sz w:val="20"/>
          <w:szCs w:val="20"/>
          <w:color w:val="auto"/>
        </w:rPr>
      </w:pPr>
      <w:r>
        <w:rPr>
          <w:rFonts w:ascii="Arial" w:cs="Arial" w:eastAsia="Arial" w:hAnsi="Arial"/>
          <w:sz w:val="16"/>
          <w:szCs w:val="16"/>
          <w:b w:val="1"/>
          <w:bCs w:val="1"/>
          <w:color w:val="auto"/>
        </w:rPr>
        <w:t xml:space="preserve">Clawback policies </w:t>
      </w:r>
      <w:r>
        <w:rPr>
          <w:rFonts w:ascii="Arial" w:cs="Arial" w:eastAsia="Arial" w:hAnsi="Arial"/>
          <w:sz w:val="16"/>
          <w:szCs w:val="16"/>
          <w:color w:val="auto"/>
        </w:rPr>
        <w:t>provide the ability to recoup performance-based incentive awards (any compensation, whether in equity or cash, granted, earned or</w:t>
      </w:r>
      <w:r>
        <w:rPr>
          <w:rFonts w:ascii="Arial" w:cs="Arial" w:eastAsia="Arial" w:hAnsi="Arial"/>
          <w:sz w:val="16"/>
          <w:szCs w:val="16"/>
          <w:b w:val="1"/>
          <w:bCs w:val="1"/>
          <w:color w:val="auto"/>
        </w:rPr>
        <w:t xml:space="preserve"> </w:t>
      </w:r>
      <w:r>
        <w:rPr>
          <w:rFonts w:ascii="Arial" w:cs="Arial" w:eastAsia="Arial" w:hAnsi="Arial"/>
          <w:sz w:val="16"/>
          <w:szCs w:val="16"/>
          <w:color w:val="auto"/>
        </w:rPr>
        <w:t>vested based wholly, or in part, on the attainment of a financial reporting measure) in the event of a restatement of the Company’s financial results. In addition to maintaining our existing clawback guidelines, which are applicable in the event our Board determines that a covered officer engaged in misconduct, our Board adopted a standalone Clawback Policy that is consistent with Rule 10D-1 of the Exchange Act and Nasdaq listing standards. In addition, clawback provisions in the Company’s stock plan and short-term incentive plan allow the Company to cancel shares or recover gains, or payments made, if an executive violates non-competition or non-solicitation provisions.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Prohibition on hedging and pledging of shares </w:t>
      </w:r>
      <w:r>
        <w:rPr>
          <w:rFonts w:ascii="Arial" w:cs="Arial" w:eastAsia="Arial" w:hAnsi="Arial"/>
          <w:sz w:val="16"/>
          <w:szCs w:val="16"/>
          <w:color w:val="auto"/>
        </w:rPr>
        <w:t>by executive officers and directors.</w:t>
      </w:r>
    </w:p>
    <w:p>
      <w:pPr>
        <w:spacing w:after="0" w:line="208" w:lineRule="exact"/>
        <w:rPr>
          <w:sz w:val="20"/>
          <w:szCs w:val="20"/>
          <w:color w:val="auto"/>
        </w:rPr>
      </w:pPr>
    </w:p>
    <w:p>
      <w:pPr>
        <w:ind w:left="160" w:right="200"/>
        <w:spacing w:after="0" w:line="286" w:lineRule="auto"/>
        <w:rPr>
          <w:sz w:val="20"/>
          <w:szCs w:val="20"/>
          <w:color w:val="auto"/>
        </w:rPr>
      </w:pPr>
      <w:r>
        <w:rPr>
          <w:rFonts w:ascii="Arial" w:cs="Arial" w:eastAsia="Arial" w:hAnsi="Arial"/>
          <w:sz w:val="16"/>
          <w:szCs w:val="16"/>
          <w:b w:val="1"/>
          <w:bCs w:val="1"/>
          <w:color w:val="auto"/>
        </w:rPr>
        <w:t xml:space="preserve">Ownership thresholds </w:t>
      </w:r>
      <w:r>
        <w:rPr>
          <w:rFonts w:ascii="Arial" w:cs="Arial" w:eastAsia="Arial" w:hAnsi="Arial"/>
          <w:sz w:val="16"/>
          <w:szCs w:val="16"/>
          <w:color w:val="auto"/>
        </w:rPr>
        <w:t>in the Company’s stock ownership guidelines for officers require NEOs to hold shares of common stock equal to four times their</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annual base salary (six times for the CEO), as detailed in the Stock Ownership Guidelines.</w:t>
      </w:r>
    </w:p>
    <w:p>
      <w:pPr>
        <w:spacing w:after="0" w:line="142" w:lineRule="exact"/>
        <w:rPr>
          <w:sz w:val="20"/>
          <w:szCs w:val="20"/>
          <w:color w:val="auto"/>
        </w:rPr>
      </w:pPr>
    </w:p>
    <w:p>
      <w:pPr>
        <w:ind w:left="160" w:right="520"/>
        <w:spacing w:after="0" w:line="286" w:lineRule="auto"/>
        <w:rPr>
          <w:sz w:val="20"/>
          <w:szCs w:val="20"/>
          <w:color w:val="auto"/>
        </w:rPr>
      </w:pPr>
      <w:r>
        <w:rPr>
          <w:rFonts w:ascii="Arial" w:cs="Arial" w:eastAsia="Arial" w:hAnsi="Arial"/>
          <w:sz w:val="16"/>
          <w:szCs w:val="16"/>
          <w:b w:val="1"/>
          <w:bCs w:val="1"/>
          <w:color w:val="auto"/>
        </w:rPr>
        <w:t xml:space="preserve">Holding periods </w:t>
      </w:r>
      <w:r>
        <w:rPr>
          <w:rFonts w:ascii="Arial" w:cs="Arial" w:eastAsia="Arial" w:hAnsi="Arial"/>
          <w:sz w:val="16"/>
          <w:szCs w:val="16"/>
          <w:color w:val="auto"/>
        </w:rPr>
        <w:t>in the Company's stock ownership guidelines require that officers must hold 100% of the net shares from vesting of RSUs,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issued from PSUs, and the net gain shares from option exercises for at least one year.</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upon the MDCC’s risk oversight and compensation policies, the risks arising from the Company’s compensation policies and practices are not reasonably likely to have a material adverse effect on Honeywell’s operations or results. A full discussion of the role of the Board in the risk oversight process begins on page 40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GUIDELINES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MDCC believes that Honeywell executives more effectively pursue shareowners’ long-term interests if they hold substantial amounts of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MDCC maintains minimum stock ownership guidelines for all executive officers.</w:t>
      </w:r>
    </w:p>
    <w:p>
      <w:pPr>
        <w:spacing w:after="0" w:line="70"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Under these guidelines, the CEO must hold shares of common stock equal in value to six times his current annual base salary. Other executive officers are required to own shares equal in value to four times their current base salary. Shares used in determining whether these guidelines are met include shares</w:t>
      </w:r>
    </w:p>
    <w:p>
      <w:pPr>
        <w:ind w:right="380"/>
        <w:spacing w:after="0" w:line="257" w:lineRule="auto"/>
        <w:rPr>
          <w:sz w:val="20"/>
          <w:szCs w:val="20"/>
          <w:color w:val="auto"/>
        </w:rPr>
      </w:pPr>
      <w:r>
        <w:rPr>
          <w:rFonts w:ascii="Arial" w:cs="Arial" w:eastAsia="Arial" w:hAnsi="Arial"/>
          <w:sz w:val="16"/>
          <w:szCs w:val="16"/>
          <w:color w:val="auto"/>
        </w:rPr>
        <w:t xml:space="preserve">held personally, equivalent shares held in qualified and nonqualified retirement accounts, and outstanding RSUs. </w:t>
      </w:r>
      <w:r>
        <w:rPr>
          <w:rFonts w:ascii="Arial" w:cs="Arial" w:eastAsia="Arial" w:hAnsi="Arial"/>
          <w:sz w:val="16"/>
          <w:szCs w:val="16"/>
          <w:b w:val="1"/>
          <w:bCs w:val="1"/>
          <w:color w:val="EE2724"/>
        </w:rPr>
        <w:t>Starting in 2023, and in response to</w:t>
      </w:r>
      <w:r>
        <w:rPr>
          <w:rFonts w:ascii="Arial" w:cs="Arial" w:eastAsia="Arial" w:hAnsi="Arial"/>
          <w:sz w:val="16"/>
          <w:szCs w:val="16"/>
          <w:color w:val="auto"/>
        </w:rPr>
        <w:t xml:space="preserve"> </w:t>
      </w:r>
      <w:r>
        <w:rPr>
          <w:rFonts w:ascii="Arial" w:cs="Arial" w:eastAsia="Arial" w:hAnsi="Arial"/>
          <w:sz w:val="16"/>
          <w:szCs w:val="16"/>
          <w:b w:val="1"/>
          <w:bCs w:val="1"/>
          <w:color w:val="EE2724"/>
        </w:rPr>
        <w:t>feedback received from shareowners, the MDCC determined that outstanding PSUs will no longer be counted toward the required share</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EE2724"/>
        </w:rPr>
        <w:t xml:space="preserve">ownership level. </w:t>
      </w:r>
      <w:r>
        <w:rPr>
          <w:rFonts w:ascii="Arial" w:cs="Arial" w:eastAsia="Arial" w:hAnsi="Arial"/>
          <w:sz w:val="16"/>
          <w:szCs w:val="16"/>
          <w:color w:val="000000"/>
        </w:rPr>
        <w:t>Other than Messrs. Boldea and Currier who have served as executive officers for less than two years, all other NEOs maintain ownership</w:t>
      </w:r>
      <w:r>
        <w:rPr>
          <w:rFonts w:ascii="Arial" w:cs="Arial" w:eastAsia="Arial" w:hAnsi="Arial"/>
          <w:sz w:val="16"/>
          <w:szCs w:val="16"/>
          <w:b w:val="1"/>
          <w:bCs w:val="1"/>
          <w:color w:val="EE2724"/>
        </w:rPr>
        <w:t xml:space="preserve"> </w:t>
      </w:r>
      <w:r>
        <w:rPr>
          <w:rFonts w:ascii="Arial" w:cs="Arial" w:eastAsia="Arial" w:hAnsi="Arial"/>
          <w:sz w:val="16"/>
          <w:szCs w:val="16"/>
          <w:color w:val="000000"/>
        </w:rPr>
        <w:t>levels above our revised guidelines, as shown in the following table. Starting in 2024, the CEO must hold shares of common stock equal in value to ten times his current base salary. Other executive officers are required to own shares equal in value to five times their current base salary.</w:t>
      </w:r>
    </w:p>
    <w:p>
      <w:pPr>
        <w:spacing w:after="0" w:line="18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sz w:val="1"/>
          <w:szCs w:val="1"/>
          <w:color w:val="auto"/>
        </w:rPr>
        <w:drawing>
          <wp:inline distT="0" distB="0" distL="0" distR="0">
            <wp:extent cx="548640" cy="10287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NAMED EXECUTIVE OFFICERS’ STOCK OWNERSHIP</w:t>
      </w:r>
    </w:p>
    <w:p>
      <w:pPr>
        <w:spacing w:after="0" w:line="166" w:lineRule="exact"/>
        <w:rPr>
          <w:sz w:val="20"/>
          <w:szCs w:val="20"/>
          <w:color w:val="auto"/>
        </w:rPr>
      </w:pPr>
    </w:p>
    <w:p>
      <w:pPr>
        <w:ind w:left="1140"/>
        <w:spacing w:after="0"/>
        <w:tabs>
          <w:tab w:leader="none" w:pos="6020" w:val="left"/>
        </w:tabs>
        <w:rPr>
          <w:sz w:val="20"/>
          <w:szCs w:val="20"/>
          <w:color w:val="auto"/>
        </w:rPr>
      </w:pPr>
      <w:r>
        <w:rPr>
          <w:rFonts w:ascii="Arial" w:cs="Arial" w:eastAsia="Arial" w:hAnsi="Arial"/>
          <w:sz w:val="16"/>
          <w:szCs w:val="16"/>
          <w:b w:val="1"/>
          <w:bCs w:val="1"/>
          <w:color w:val="6D6E71"/>
        </w:rPr>
        <w:t>Mr. Kapur, CEO</w:t>
      </w:r>
      <w:r>
        <w:rPr>
          <w:sz w:val="20"/>
          <w:szCs w:val="20"/>
          <w:color w:val="auto"/>
        </w:rPr>
        <w:tab/>
      </w:r>
      <w:r>
        <w:rPr>
          <w:rFonts w:ascii="Arial" w:cs="Arial" w:eastAsia="Arial" w:hAnsi="Arial"/>
          <w:sz w:val="16"/>
          <w:szCs w:val="16"/>
          <w:b w:val="1"/>
          <w:bCs w:val="1"/>
          <w:color w:val="6D6E71"/>
        </w:rPr>
        <w:t>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97790</wp:posOffset>
            </wp:positionV>
            <wp:extent cx="5717540" cy="22205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717540" cy="22205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1140" w:right="760"/>
        <w:spacing w:after="0" w:line="280"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b w:val="1"/>
          <w:bCs w:val="1"/>
          <w:color w:val="D7282F"/>
        </w:rPr>
        <w:t>8x</w:t>
      </w:r>
      <w:r>
        <w:rPr>
          <w:rFonts w:ascii="Arial" w:cs="Arial" w:eastAsia="Arial" w:hAnsi="Arial"/>
          <w:sz w:val="16"/>
          <w:szCs w:val="16"/>
          <w:color w:val="auto"/>
        </w:rPr>
        <w:t xml:space="preserve"> and </w:t>
      </w:r>
      <w:r>
        <w:rPr>
          <w:rFonts w:ascii="Arial" w:cs="Arial" w:eastAsia="Arial" w:hAnsi="Arial"/>
          <w:sz w:val="16"/>
          <w:szCs w:val="16"/>
          <w:b w:val="1"/>
          <w:bCs w:val="1"/>
          <w:color w:val="D7282F"/>
        </w:rPr>
        <w:t>13x</w:t>
      </w:r>
      <w:r>
        <w:rPr>
          <w:rFonts w:ascii="Arial" w:cs="Arial" w:eastAsia="Arial" w:hAnsi="Arial"/>
          <w:sz w:val="16"/>
          <w:szCs w:val="16"/>
          <w:color w:val="auto"/>
        </w:rPr>
        <w:t xml:space="preserve"> base pay, the value of our CEO's and our Other NEOs’ </w:t>
      </w:r>
      <w:r>
        <w:rPr>
          <w:rFonts w:ascii="Arial" w:cs="Arial" w:eastAsia="Arial" w:hAnsi="Arial"/>
          <w:sz w:val="16"/>
          <w:szCs w:val="16"/>
          <w:b w:val="1"/>
          <w:bCs w:val="1"/>
          <w:color w:val="D7282F"/>
        </w:rPr>
        <w:t>shareholdings meets or</w:t>
      </w:r>
      <w:r>
        <w:rPr>
          <w:rFonts w:ascii="Arial" w:cs="Arial" w:eastAsia="Arial" w:hAnsi="Arial"/>
          <w:sz w:val="16"/>
          <w:szCs w:val="16"/>
          <w:color w:val="auto"/>
        </w:rPr>
        <w:t xml:space="preserve"> </w:t>
      </w:r>
      <w:r>
        <w:rPr>
          <w:rFonts w:ascii="Arial" w:cs="Arial" w:eastAsia="Arial" w:hAnsi="Arial"/>
          <w:sz w:val="16"/>
          <w:szCs w:val="16"/>
          <w:b w:val="1"/>
          <w:bCs w:val="1"/>
          <w:color w:val="D7282F"/>
        </w:rPr>
        <w:t xml:space="preserve">exceeds </w:t>
      </w:r>
      <w:r>
        <w:rPr>
          <w:rFonts w:ascii="Arial" w:cs="Arial" w:eastAsia="Arial" w:hAnsi="Arial"/>
          <w:sz w:val="16"/>
          <w:szCs w:val="16"/>
          <w:color w:val="000000"/>
        </w:rPr>
        <w:t>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Higher levels of stock ownership reflect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 xml:space="preserve">long-term focus and commitment </w:t>
      </w:r>
      <w:r>
        <w:rPr>
          <w:rFonts w:ascii="Arial" w:cs="Arial" w:eastAsia="Arial" w:hAnsi="Arial"/>
          <w:sz w:val="16"/>
          <w:szCs w:val="16"/>
          <w:color w:val="000000"/>
        </w:rPr>
        <w:t>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Honeywell executive team</w:t>
      </w:r>
    </w:p>
    <w:p>
      <w:pPr>
        <w:spacing w:after="0" w:line="252" w:lineRule="exact"/>
        <w:rPr>
          <w:sz w:val="20"/>
          <w:szCs w:val="20"/>
          <w:color w:val="auto"/>
        </w:rPr>
      </w:pPr>
    </w:p>
    <w:p>
      <w:pPr>
        <w:sectPr>
          <w:pgSz w:w="11900" w:h="16838" w:orient="portrait"/>
          <w:cols w:equalWidth="0" w:num="2">
            <w:col w:w="5320" w:space="720"/>
            <w:col w:w="5200"/>
          </w:cols>
          <w:pgMar w:left="320" w:top="230"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Represents stock ownership as of March 13, 2024. Excludes shares held by Mr. Adamczyk, our former CEO.</w:t>
      </w:r>
    </w:p>
    <w:p>
      <w:pPr>
        <w:spacing w:after="0" w:line="10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addition, the stock ownership guidelines require officers to hold for at least one year 100% of the “net shares” obtained from RSUs that vest, the “net shares” issued from PSUs, and the “net gain shares” obtained from the exercise of stock options. “Net shares” means the number of shares issued when RSUs vest or PSUs are earned, less the number of shares withheld or sold to pay applicable taxes. “Net gain shares” means the number of shares obtained from exercising stock options, less the number of shares needed to cover the option exercise price and applicable taxes.</w:t>
      </w:r>
    </w:p>
    <w:p>
      <w:pPr>
        <w:spacing w:after="0" w:line="6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After the one-year holding period, officers may sell net shares or net gain shares (subject to the pre-approval by the CEO); however, after the sale, they must continue to meet the prescribed minimum stock ownership level.</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RECOUPMENT/CLAWBACK</w:t>
      </w:r>
    </w:p>
    <w:p>
      <w:pPr>
        <w:spacing w:after="0" w:line="141"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Our Board determined that it is in the Company’s best interests to ensure that all performance-based cash compensation and equity awards reflect actual performance. Consistent with such determination, our Board adopted a Clawback Policy, in accordance with Rule 10D-1 of the Exchange Act and Nasdaq listing standards.</w:t>
      </w:r>
    </w:p>
    <w:p>
      <w:pPr>
        <w:spacing w:after="0" w:line="5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This Clawback Policy is administered by our MDCC and enables the Company to recover from covered current and former executives certain incentive-based compensation in the event of an accounting restatement resulting from material noncompliance with any financial reporting requirements under the federal securities laws. Our Clawback Policy covers current and former executive officers, including all officers for purposes of Section 16 of the Exchange Act, and applies to any incentive-based cash compensation, that is granted, earned, or vested based wholly or in part on the attainment of any Company financial reporting measure.</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the Company is required to prepare an accounting restatement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MDCC shall require any executive officer covered by our Clawback Policy to reimburse or forfeit to the Company the amount of incentive-based compensation received by such executive officer based on the financial statements prior to the restatement that exceeds the amount such executive officer would have received had the incentive-based compensation been determined based on the financial restatement. The MDCC will not consider the executive officer’s responsibility or fault or lack thereof in enforcing our Clawback Policy to recoup the amount described above.</w:t>
      </w:r>
    </w:p>
    <w:p>
      <w:pPr>
        <w:spacing w:after="0" w:line="8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 addition, we maintain the clawback guidelines set forth in our Corporate Governance Guidelines. Under these guidelines, if the Board determines that a covered executive officer engaged in any misconduct that materially contributes to, or causes, a significant restatement of financial results, this may, independently, result in the recoupment (or clawback) of performance-based incentive awards (both equity- and cash-based awards). The complete text of the Corporate Governance Guidelines is posted on our website at investor.honeywell.com (see “Governance/Governance Overview”).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79</w:t>
            </w:r>
          </w:p>
        </w:tc>
      </w:tr>
      <w:tr>
        <w:trPr>
          <w:trHeight w:val="359"/>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3"/>
          <w:szCs w:val="13"/>
          <w:b w:val="1"/>
          <w:bCs w:val="1"/>
          <w:color w:val="6D6E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addition, if during the two-year period following an executive officer’s termination of employment with Honeywell, he or she commences employment with, or otherwise provides services to a Honeywell competitor, without the MDCC’s prior approval, or violates non-solicitation commitments, then the Company reserves the right, for awards issued under its Stock Incentive Plans, to:</w:t>
      </w:r>
    </w:p>
    <w:p>
      <w:pPr>
        <w:spacing w:after="0" w:line="56" w:lineRule="exact"/>
        <w:rPr>
          <w:sz w:val="20"/>
          <w:szCs w:val="20"/>
          <w:color w:val="auto"/>
        </w:rPr>
      </w:pPr>
    </w:p>
    <w:p>
      <w:pPr>
        <w:ind w:left="200" w:hanging="192"/>
        <w:spacing w:after="0"/>
        <w:tabs>
          <w:tab w:leader="none" w:pos="200" w:val="left"/>
        </w:tabs>
        <w:numPr>
          <w:ilvl w:val="0"/>
          <w:numId w:val="169"/>
        </w:numPr>
        <w:rPr>
          <w:rFonts w:ascii="Arial" w:cs="Arial" w:eastAsia="Arial" w:hAnsi="Arial"/>
          <w:sz w:val="16"/>
          <w:szCs w:val="16"/>
          <w:b w:val="1"/>
          <w:bCs w:val="1"/>
          <w:color w:val="CF142D"/>
        </w:rPr>
      </w:pPr>
      <w:r>
        <w:rPr>
          <w:rFonts w:ascii="Arial" w:cs="Arial" w:eastAsia="Arial" w:hAnsi="Arial"/>
          <w:sz w:val="16"/>
          <w:szCs w:val="16"/>
          <w:color w:val="auto"/>
        </w:rPr>
        <w:t>Cancel all unexercised options; and</w:t>
      </w:r>
    </w:p>
    <w:p>
      <w:pPr>
        <w:spacing w:after="0" w:line="86" w:lineRule="exact"/>
        <w:rPr>
          <w:rFonts w:ascii="Arial" w:cs="Arial" w:eastAsia="Arial" w:hAnsi="Arial"/>
          <w:sz w:val="16"/>
          <w:szCs w:val="16"/>
          <w:b w:val="1"/>
          <w:bCs w:val="1"/>
          <w:color w:val="CF142D"/>
        </w:rPr>
      </w:pPr>
    </w:p>
    <w:p>
      <w:pPr>
        <w:ind w:left="200" w:right="240" w:hanging="192"/>
        <w:spacing w:after="0" w:line="286" w:lineRule="auto"/>
        <w:tabs>
          <w:tab w:leader="none" w:pos="197" w:val="left"/>
        </w:tabs>
        <w:numPr>
          <w:ilvl w:val="0"/>
          <w:numId w:val="169"/>
        </w:numPr>
        <w:rPr>
          <w:rFonts w:ascii="Arial" w:cs="Arial" w:eastAsia="Arial" w:hAnsi="Arial"/>
          <w:sz w:val="16"/>
          <w:szCs w:val="16"/>
          <w:b w:val="1"/>
          <w:bCs w:val="1"/>
          <w:color w:val="CF142D"/>
        </w:rPr>
      </w:pPr>
      <w:r>
        <w:rPr>
          <w:rFonts w:ascii="Arial" w:cs="Arial" w:eastAsia="Arial" w:hAnsi="Arial"/>
          <w:sz w:val="16"/>
          <w:szCs w:val="16"/>
          <w:color w:val="auto"/>
        </w:rPr>
        <w:t>Recover any gains attributable to options that were exercised, and any value attributable to RSUs and Performance Plan awards that were paid, during the period beginning 12 months before and ending two years after the executive officer’s termination of employment.</w:t>
      </w:r>
    </w:p>
    <w:p>
      <w:pPr>
        <w:spacing w:after="0" w:line="6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Honeywell has entered into non-competition agreements with each of the NEOs that preclude them from going to work for a competitor for up to two years after termination of employment. The list of competitors and the duration of the non-competition covenant has been tailored, in each case, to the executive officer’s position and the competitive threat this represents. Because money damages cannot adequately compensate Honeywell for violations of these non-competition covenants, we have a full range of equitable remedies at our disposal to enforce these agreements, including the ability to seek injunctive relief.</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DEDUCTIBILITY OF EXECUTIVE COMPENSATION</w:t>
      </w:r>
    </w:p>
    <w:p>
      <w:pPr>
        <w:spacing w:after="0" w:line="12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Beginning in 2018, Section 162(m) of the Internal Revenue Code limits the federal income tax deduction for annual individual compensation to $1 million for the Company’s “covered employees” without any exception for performance-based compensation, subject to a transition rule for certain written binding contracts in effect on November 2, 2017, and not materially modified after that date. The Company intends to comply with the transition rule for written binding contracts in effect on November 2, 2017, to the extent applicable, so long as the MDCC determines that to be in the Company’s best interest. As discussed above under Compensation Practices and Policies, the MDCC seeks to closely align executive pay with performance, even if there is no longer a “performance-based” provision under Section 162(m), and, in any case, the MDCC reserves the ability to structure compensation arrangements to provide appropriate compensation to the Company’s executives, even where such compensation is not deductible under Section 162(m).</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PLEDGING AND HEDGING TRANSACTIONS IN COMPANY SECURITIES</w:t>
      </w:r>
    </w:p>
    <w:p>
      <w:pPr>
        <w:spacing w:after="0" w:line="12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Executive officers, directors, and any of their respective designees are prohibited from pledging Honeywell’s securities or using Honeywell’s securities to support margin debt. All other employees must exercise extreme caution in pledging Honeywell’s securities or using Honeywell’s securities to support margin debt.</w:t>
      </w:r>
    </w:p>
    <w:p>
      <w:pPr>
        <w:spacing w:after="0" w:line="5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Hedging by directors, executive officers, employees on our restricted trading list, any employee in possession of material nonpublic information, or any of their designees is prohibited, and it is strongly discouraged for all other employees. For this purpose, hedging means purchasing financial instruments (including prepaid variable forward sale contracts, equity swaps, collars, and interests in exchange funds) or otherwise engaging in transactions that are designed to hedge or offset any decrease in the market value of Company stock held, directly or indirectly, by them, whether the stock was acquired as part of a compensation arrangement or otherwise.</w:t>
      </w:r>
    </w:p>
    <w:p>
      <w:pPr>
        <w:spacing w:after="0" w:line="64"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All employees, directors, and any of their respective designees are prohibited from engaging in short sales of Honeywell securities. Selling or purchasing puts or calls or otherwise trading in or writing options on Honeywell’s securities by employees, officers, and directors is also prohibited.</w:t>
      </w:r>
    </w:p>
    <w:p>
      <w:pPr>
        <w:spacing w:after="0" w:line="225" w:lineRule="exact"/>
        <w:rPr>
          <w:sz w:val="20"/>
          <w:szCs w:val="20"/>
          <w:color w:val="auto"/>
        </w:rPr>
      </w:pPr>
    </w:p>
    <w:p>
      <w:pPr>
        <w:spacing w:after="0"/>
        <w:rPr>
          <w:sz w:val="20"/>
          <w:szCs w:val="20"/>
          <w:color w:val="auto"/>
        </w:rPr>
      </w:pPr>
      <w:r>
        <w:rPr>
          <w:rFonts w:ascii="Arial" w:cs="Arial" w:eastAsia="Arial" w:hAnsi="Arial"/>
          <w:sz w:val="30"/>
          <w:szCs w:val="30"/>
          <w:b w:val="1"/>
          <w:bCs w:val="1"/>
          <w:color w:val="D7282F"/>
        </w:rPr>
        <w:t>MANAGEMENT DEVELOPMENT AND COMPENSATION COMMITTEE REPORT</w:t>
      </w:r>
    </w:p>
    <w:p>
      <w:pPr>
        <w:spacing w:after="0" w:line="139"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The MDCC reviewed and discussed Honeywell’s Compensation Discussion and Analysis with management. Based on this review and discussion, the MDCC recommended to the Board of Directors that the Compensation Discussion and Analysis be included in this Proxy Statement and incorporated by reference in the Form 10-K for the year ended December 31, 2023.</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Management Development and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Grace Lieblein (Chair)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Duncan B. Angove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S. Ayer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 Scott Davis </w:t>
      </w:r>
      <w:r>
        <w:rPr>
          <w:rFonts w:ascii="Arial" w:cs="Arial" w:eastAsia="Arial" w:hAnsi="Arial"/>
          <w:sz w:val="16"/>
          <w:szCs w:val="16"/>
          <w:b w:val="1"/>
          <w:bCs w:val="1"/>
          <w:i w:val="1"/>
          <w:iCs w:val="1"/>
          <w:color w:val="auto"/>
        </w:rPr>
        <w:t>(ex officio)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Deborah Flint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Rose Lee</w:t>
      </w:r>
    </w:p>
    <w:p>
      <w:pPr>
        <w:spacing w:after="0" w:line="139"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sz w:val="1"/>
          <w:szCs w:val="1"/>
          <w:color w:val="auto"/>
        </w:rPr>
        <w:drawing>
          <wp:inline distT="0" distB="0" distL="0" distR="0">
            <wp:extent cx="548640" cy="10287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6" w:name="page87"/>
    <w:bookmarkEnd w:id="86"/>
    <w:p>
      <w:pPr>
        <w:spacing w:after="0"/>
        <w:rPr>
          <w:sz w:val="20"/>
          <w:szCs w:val="20"/>
          <w:color w:val="auto"/>
        </w:rPr>
      </w:pPr>
      <w:r>
        <w:rPr>
          <w:rFonts w:ascii="Arial" w:cs="Arial" w:eastAsia="Arial" w:hAnsi="Arial"/>
          <w:sz w:val="45"/>
          <w:szCs w:val="45"/>
          <w:b w:val="1"/>
          <w:bCs w:val="1"/>
          <w:color w:val="auto"/>
        </w:rPr>
        <w:t>EXECUTIVE COMPENSATION TABLES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SUMMARY COMPENSATION TABLE</w:t>
      </w:r>
    </w:p>
    <w:p>
      <w:pPr>
        <w:spacing w:after="0" w:line="196" w:lineRule="exact"/>
        <w:rPr>
          <w:sz w:val="20"/>
          <w:szCs w:val="20"/>
          <w:color w:val="auto"/>
        </w:rPr>
      </w:pPr>
    </w:p>
    <w:p>
      <w:pPr>
        <w:jc w:val="right"/>
        <w:ind w:right="2640"/>
        <w:spacing w:after="0"/>
        <w:rPr>
          <w:sz w:val="20"/>
          <w:szCs w:val="20"/>
          <w:color w:val="auto"/>
        </w:rPr>
      </w:pPr>
      <w:r>
        <w:rPr>
          <w:rFonts w:ascii="Arial" w:cs="Arial" w:eastAsia="Arial" w:hAnsi="Arial"/>
          <w:sz w:val="11"/>
          <w:szCs w:val="11"/>
          <w:b w:val="1"/>
          <w:bCs w:val="1"/>
          <w:color w:val="auto"/>
        </w:rPr>
        <w:t>Change In</w:t>
      </w:r>
    </w:p>
    <w:p>
      <w:pPr>
        <w:spacing w:after="0" w:line="5" w:lineRule="exact"/>
        <w:rPr>
          <w:sz w:val="20"/>
          <w:szCs w:val="20"/>
          <w:color w:val="auto"/>
        </w:rPr>
      </w:pPr>
    </w:p>
    <w:p>
      <w:pPr>
        <w:jc w:val="right"/>
        <w:ind w:right="2640"/>
        <w:spacing w:after="0"/>
        <w:rPr>
          <w:sz w:val="20"/>
          <w:szCs w:val="20"/>
          <w:color w:val="auto"/>
        </w:rPr>
      </w:pPr>
      <w:r>
        <w:rPr>
          <w:rFonts w:ascii="Arial" w:cs="Arial" w:eastAsia="Arial" w:hAnsi="Arial"/>
          <w:sz w:val="11"/>
          <w:szCs w:val="11"/>
          <w:b w:val="1"/>
          <w:bCs w:val="1"/>
          <w:color w:val="auto"/>
        </w:rPr>
        <w:t>Pension</w:t>
      </w:r>
    </w:p>
    <w:p>
      <w:pPr>
        <w:spacing w:after="0" w:line="4" w:lineRule="exact"/>
        <w:rPr>
          <w:sz w:val="20"/>
          <w:szCs w:val="20"/>
          <w:color w:val="auto"/>
        </w:rPr>
      </w:pPr>
    </w:p>
    <w:p>
      <w:pPr>
        <w:jc w:val="right"/>
        <w:ind w:right="2640"/>
        <w:spacing w:after="0"/>
        <w:rPr>
          <w:sz w:val="20"/>
          <w:szCs w:val="20"/>
          <w:color w:val="auto"/>
        </w:rPr>
      </w:pPr>
      <w:r>
        <w:rPr>
          <w:rFonts w:ascii="Arial" w:cs="Arial" w:eastAsia="Arial" w:hAnsi="Arial"/>
          <w:sz w:val="11"/>
          <w:szCs w:val="11"/>
          <w:b w:val="1"/>
          <w:bCs w:val="1"/>
          <w:color w:val="auto"/>
        </w:rPr>
        <w:t>Value and</w:t>
      </w:r>
    </w:p>
    <w:p>
      <w:pPr>
        <w:jc w:val="right"/>
        <w:ind w:right="2640"/>
        <w:spacing w:after="0"/>
        <w:rPr>
          <w:sz w:val="20"/>
          <w:szCs w:val="20"/>
          <w:color w:val="auto"/>
        </w:rPr>
      </w:pPr>
      <w:r>
        <w:rPr>
          <w:rFonts w:ascii="Arial" w:cs="Arial" w:eastAsia="Arial" w:hAnsi="Arial"/>
          <w:sz w:val="11"/>
          <w:szCs w:val="11"/>
          <w:b w:val="1"/>
          <w:bCs w:val="1"/>
          <w:color w:val="auto"/>
        </w:rPr>
        <w:t>Nonqualified</w:t>
      </w:r>
    </w:p>
    <w:tbl>
      <w:tblPr>
        <w:tblLayout w:type="fixed"/>
        <w:tblInd w:w="0" w:type="dxa"/>
        <w:tblCellMar>
          <w:top w:w="0" w:type="dxa"/>
          <w:left w:w="0" w:type="dxa"/>
          <w:bottom w:w="0" w:type="dxa"/>
          <w:right w:w="0" w:type="dxa"/>
        </w:tblCellMar>
      </w:tblPr>
      <w:tr>
        <w:trPr>
          <w:trHeight w:val="120"/>
        </w:trPr>
        <w:tc>
          <w:tcPr>
            <w:tcW w:w="200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Named</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tcPr>
          <w:p>
            <w:pPr>
              <w:jc w:val="right"/>
              <w:ind w:right="159"/>
              <w:spacing w:after="0" w:line="120" w:lineRule="exact"/>
              <w:rPr>
                <w:sz w:val="20"/>
                <w:szCs w:val="20"/>
                <w:color w:val="auto"/>
              </w:rPr>
            </w:pPr>
            <w:r>
              <w:rPr>
                <w:rFonts w:ascii="Arial" w:cs="Arial" w:eastAsia="Arial" w:hAnsi="Arial"/>
                <w:sz w:val="11"/>
                <w:szCs w:val="11"/>
                <w:b w:val="1"/>
                <w:bCs w:val="1"/>
                <w:color w:val="auto"/>
              </w:rPr>
              <w:t>Non-Equity</w:t>
            </w:r>
          </w:p>
        </w:tc>
        <w:tc>
          <w:tcPr>
            <w:tcW w:w="1140" w:type="dxa"/>
            <w:vAlign w:val="bottom"/>
          </w:tcPr>
          <w:p>
            <w:pPr>
              <w:jc w:val="right"/>
              <w:ind w:right="119"/>
              <w:spacing w:after="0" w:line="120" w:lineRule="exact"/>
              <w:rPr>
                <w:sz w:val="20"/>
                <w:szCs w:val="20"/>
                <w:color w:val="auto"/>
              </w:rPr>
            </w:pPr>
            <w:r>
              <w:rPr>
                <w:rFonts w:ascii="Arial" w:cs="Arial" w:eastAsia="Arial" w:hAnsi="Arial"/>
                <w:sz w:val="11"/>
                <w:szCs w:val="11"/>
                <w:b w:val="1"/>
                <w:bCs w:val="1"/>
                <w:color w:val="auto"/>
              </w:rPr>
              <w:t>Deferred</w:t>
            </w:r>
          </w:p>
        </w:tc>
        <w:tc>
          <w:tcPr>
            <w:tcW w:w="1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00" w:type="dxa"/>
            <w:vAlign w:val="bottom"/>
          </w:tcPr>
          <w:p>
            <w:pPr>
              <w:ind w:left="20"/>
              <w:spacing w:after="0"/>
              <w:rPr>
                <w:sz w:val="20"/>
                <w:szCs w:val="20"/>
                <w:color w:val="auto"/>
              </w:rPr>
            </w:pPr>
            <w:r>
              <w:rPr>
                <w:rFonts w:ascii="Arial" w:cs="Arial" w:eastAsia="Arial" w:hAnsi="Arial"/>
                <w:sz w:val="11"/>
                <w:szCs w:val="11"/>
                <w:b w:val="1"/>
                <w:bCs w:val="1"/>
                <w:color w:val="auto"/>
              </w:rPr>
              <w:t>Executive</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Stock</w:t>
            </w:r>
          </w:p>
        </w:tc>
        <w:tc>
          <w:tcPr>
            <w:tcW w:w="240" w:type="dxa"/>
            <w:vAlign w:val="bottom"/>
          </w:tcPr>
          <w:p>
            <w:pPr>
              <w:spacing w:after="0"/>
              <w:rPr>
                <w:sz w:val="11"/>
                <w:szCs w:val="11"/>
                <w:color w:val="auto"/>
              </w:rPr>
            </w:pPr>
          </w:p>
        </w:tc>
        <w:tc>
          <w:tcPr>
            <w:tcW w:w="880" w:type="dxa"/>
            <w:vAlign w:val="bottom"/>
          </w:tcPr>
          <w:p>
            <w:pPr>
              <w:jc w:val="right"/>
              <w:ind w:right="118"/>
              <w:spacing w:after="0"/>
              <w:rPr>
                <w:sz w:val="20"/>
                <w:szCs w:val="20"/>
                <w:color w:val="auto"/>
              </w:rPr>
            </w:pPr>
            <w:r>
              <w:rPr>
                <w:rFonts w:ascii="Arial" w:cs="Arial" w:eastAsia="Arial" w:hAnsi="Arial"/>
                <w:sz w:val="11"/>
                <w:szCs w:val="11"/>
                <w:b w:val="1"/>
                <w:bCs w:val="1"/>
                <w:color w:val="auto"/>
              </w:rPr>
              <w:t>Option</w:t>
            </w:r>
          </w:p>
        </w:tc>
        <w:tc>
          <w:tcPr>
            <w:tcW w:w="1260" w:type="dxa"/>
            <w:vAlign w:val="bottom"/>
          </w:tcPr>
          <w:p>
            <w:pPr>
              <w:jc w:val="right"/>
              <w:ind w:right="159"/>
              <w:spacing w:after="0"/>
              <w:rPr>
                <w:sz w:val="20"/>
                <w:szCs w:val="20"/>
                <w:color w:val="auto"/>
              </w:rPr>
            </w:pPr>
            <w:r>
              <w:rPr>
                <w:rFonts w:ascii="Arial" w:cs="Arial" w:eastAsia="Arial" w:hAnsi="Arial"/>
                <w:sz w:val="11"/>
                <w:szCs w:val="11"/>
                <w:b w:val="1"/>
                <w:bCs w:val="1"/>
                <w:color w:val="auto"/>
              </w:rPr>
              <w:t>Incentive Plan</w:t>
            </w:r>
          </w:p>
        </w:tc>
        <w:tc>
          <w:tcPr>
            <w:tcW w:w="1140" w:type="dxa"/>
            <w:vAlign w:val="bottom"/>
          </w:tcPr>
          <w:p>
            <w:pPr>
              <w:jc w:val="right"/>
              <w:ind w:right="119"/>
              <w:spacing w:after="0"/>
              <w:rPr>
                <w:sz w:val="20"/>
                <w:szCs w:val="20"/>
                <w:color w:val="auto"/>
              </w:rPr>
            </w:pPr>
            <w:r>
              <w:rPr>
                <w:rFonts w:ascii="Arial" w:cs="Arial" w:eastAsia="Arial" w:hAnsi="Arial"/>
                <w:sz w:val="11"/>
                <w:szCs w:val="11"/>
                <w:b w:val="1"/>
                <w:bCs w:val="1"/>
                <w:color w:val="auto"/>
              </w:rPr>
              <w:t>Compensation</w:t>
            </w:r>
          </w:p>
        </w:tc>
        <w:tc>
          <w:tcPr>
            <w:tcW w:w="1160" w:type="dxa"/>
            <w:vAlign w:val="bottom"/>
          </w:tcPr>
          <w:p>
            <w:pPr>
              <w:jc w:val="right"/>
              <w:ind w:right="78"/>
              <w:spacing w:after="0"/>
              <w:rPr>
                <w:sz w:val="20"/>
                <w:szCs w:val="20"/>
                <w:color w:val="auto"/>
              </w:rPr>
            </w:pPr>
            <w:r>
              <w:rPr>
                <w:rFonts w:ascii="Arial" w:cs="Arial" w:eastAsia="Arial" w:hAnsi="Arial"/>
                <w:sz w:val="11"/>
                <w:szCs w:val="11"/>
                <w:b w:val="1"/>
                <w:bCs w:val="1"/>
                <w:color w:val="auto"/>
              </w:rPr>
              <w:t>All Other</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78"/>
        </w:trPr>
        <w:tc>
          <w:tcPr>
            <w:tcW w:w="2000" w:type="dxa"/>
            <w:vAlign w:val="bottom"/>
            <w:tcBorders>
              <w:bottom w:val="single" w:sz="8" w:color="EE2724"/>
            </w:tcBorders>
          </w:tcPr>
          <w:p>
            <w:pPr>
              <w:ind w:left="20"/>
              <w:spacing w:after="0"/>
              <w:rPr>
                <w:sz w:val="20"/>
                <w:szCs w:val="20"/>
                <w:color w:val="auto"/>
              </w:rPr>
            </w:pPr>
            <w:r>
              <w:rPr>
                <w:rFonts w:ascii="Arial" w:cs="Arial" w:eastAsia="Arial" w:hAnsi="Arial"/>
                <w:sz w:val="11"/>
                <w:szCs w:val="11"/>
                <w:b w:val="1"/>
                <w:bCs w:val="1"/>
                <w:color w:val="auto"/>
              </w:rPr>
              <w:t>Officer</w:t>
            </w:r>
          </w:p>
        </w:tc>
        <w:tc>
          <w:tcPr>
            <w:tcW w:w="520" w:type="dxa"/>
            <w:vAlign w:val="bottom"/>
            <w:tcBorders>
              <w:bottom w:val="single" w:sz="8" w:color="EE2724"/>
            </w:tcBorders>
          </w:tcPr>
          <w:p>
            <w:pPr>
              <w:jc w:val="right"/>
              <w:spacing w:after="0"/>
              <w:rPr>
                <w:sz w:val="20"/>
                <w:szCs w:val="20"/>
                <w:color w:val="auto"/>
              </w:rPr>
            </w:pPr>
            <w:r>
              <w:rPr>
                <w:rFonts w:ascii="Arial" w:cs="Arial" w:eastAsia="Arial" w:hAnsi="Arial"/>
                <w:sz w:val="11"/>
                <w:szCs w:val="11"/>
                <w:b w:val="1"/>
                <w:bCs w:val="1"/>
                <w:color w:val="auto"/>
              </w:rPr>
              <w:t>Year</w:t>
            </w:r>
          </w:p>
        </w:tc>
        <w:tc>
          <w:tcPr>
            <w:tcW w:w="240" w:type="dxa"/>
            <w:vAlign w:val="bottom"/>
            <w:tcBorders>
              <w:bottom w:val="single" w:sz="8" w:color="EE2724"/>
            </w:tcBorders>
          </w:tcPr>
          <w:p>
            <w:pPr>
              <w:spacing w:after="0"/>
              <w:rPr>
                <w:sz w:val="15"/>
                <w:szCs w:val="15"/>
                <w:color w:val="auto"/>
              </w:rPr>
            </w:pPr>
          </w:p>
        </w:tc>
        <w:tc>
          <w:tcPr>
            <w:tcW w:w="720" w:type="dxa"/>
            <w:vAlign w:val="bottom"/>
            <w:tcBorders>
              <w:bottom w:val="single" w:sz="8" w:color="EE2724"/>
            </w:tcBorders>
          </w:tcPr>
          <w:p>
            <w:pPr>
              <w:jc w:val="right"/>
              <w:spacing w:after="0"/>
              <w:rPr>
                <w:sz w:val="20"/>
                <w:szCs w:val="20"/>
                <w:color w:val="auto"/>
              </w:rPr>
            </w:pPr>
            <w:r>
              <w:rPr>
                <w:rFonts w:ascii="Arial" w:cs="Arial" w:eastAsia="Arial" w:hAnsi="Arial"/>
                <w:sz w:val="11"/>
                <w:szCs w:val="11"/>
                <w:b w:val="1"/>
                <w:bCs w:val="1"/>
                <w:color w:val="auto"/>
              </w:rPr>
              <w:t>Salary</w:t>
            </w:r>
            <w:r>
              <w:rPr>
                <w:rFonts w:ascii="Arial" w:cs="Arial" w:eastAsia="Arial" w:hAnsi="Arial"/>
                <w:sz w:val="14"/>
                <w:szCs w:val="14"/>
                <w:b w:val="1"/>
                <w:bCs w:val="1"/>
                <w:color w:val="auto"/>
                <w:vertAlign w:val="superscript"/>
              </w:rPr>
              <w:t>(2)</w:t>
            </w:r>
          </w:p>
        </w:tc>
        <w:tc>
          <w:tcPr>
            <w:tcW w:w="160" w:type="dxa"/>
            <w:vAlign w:val="bottom"/>
            <w:tcBorders>
              <w:bottom w:val="single" w:sz="8" w:color="EE2724"/>
            </w:tcBorders>
          </w:tcPr>
          <w:p>
            <w:pPr>
              <w:spacing w:after="0"/>
              <w:rPr>
                <w:sz w:val="15"/>
                <w:szCs w:val="15"/>
                <w:color w:val="auto"/>
              </w:rPr>
            </w:pPr>
          </w:p>
        </w:tc>
        <w:tc>
          <w:tcPr>
            <w:tcW w:w="780" w:type="dxa"/>
            <w:vAlign w:val="bottom"/>
            <w:tcBorders>
              <w:bottom w:val="single" w:sz="8" w:color="EE2724"/>
            </w:tcBorders>
          </w:tcPr>
          <w:p>
            <w:pPr>
              <w:jc w:val="right"/>
              <w:ind w:right="138"/>
              <w:spacing w:after="0"/>
              <w:rPr>
                <w:sz w:val="20"/>
                <w:szCs w:val="20"/>
                <w:color w:val="auto"/>
              </w:rPr>
            </w:pPr>
            <w:r>
              <w:rPr>
                <w:rFonts w:ascii="Arial" w:cs="Arial" w:eastAsia="Arial" w:hAnsi="Arial"/>
                <w:sz w:val="11"/>
                <w:szCs w:val="11"/>
                <w:b w:val="1"/>
                <w:bCs w:val="1"/>
                <w:color w:val="auto"/>
              </w:rPr>
              <w:t>Bonus</w:t>
            </w:r>
          </w:p>
        </w:tc>
        <w:tc>
          <w:tcPr>
            <w:tcW w:w="840" w:type="dxa"/>
            <w:vAlign w:val="bottom"/>
            <w:tcBorders>
              <w:bottom w:val="single" w:sz="8" w:color="EE2724"/>
            </w:tcBorders>
          </w:tcPr>
          <w:p>
            <w:pPr>
              <w:jc w:val="right"/>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4"/>
                <w:szCs w:val="14"/>
                <w:b w:val="1"/>
                <w:bCs w:val="1"/>
                <w:color w:val="auto"/>
                <w:vertAlign w:val="superscript"/>
              </w:rPr>
              <w:t>(3)</w:t>
            </w:r>
          </w:p>
        </w:tc>
        <w:tc>
          <w:tcPr>
            <w:tcW w:w="240" w:type="dxa"/>
            <w:vAlign w:val="bottom"/>
            <w:tcBorders>
              <w:bottom w:val="single" w:sz="8" w:color="EE2724"/>
            </w:tcBorders>
          </w:tcPr>
          <w:p>
            <w:pPr>
              <w:spacing w:after="0"/>
              <w:rPr>
                <w:sz w:val="15"/>
                <w:szCs w:val="15"/>
                <w:color w:val="auto"/>
              </w:rPr>
            </w:pPr>
          </w:p>
        </w:tc>
        <w:tc>
          <w:tcPr>
            <w:tcW w:w="880" w:type="dxa"/>
            <w:vAlign w:val="bottom"/>
            <w:tcBorders>
              <w:bottom w:val="single" w:sz="8" w:color="EE2724"/>
            </w:tcBorders>
          </w:tcPr>
          <w:p>
            <w:pPr>
              <w:jc w:val="right"/>
              <w:ind w:right="118"/>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4"/>
                <w:szCs w:val="14"/>
                <w:b w:val="1"/>
                <w:bCs w:val="1"/>
                <w:color w:val="auto"/>
                <w:vertAlign w:val="superscript"/>
              </w:rPr>
              <w:t>(4)</w:t>
            </w:r>
          </w:p>
        </w:tc>
        <w:tc>
          <w:tcPr>
            <w:tcW w:w="1260" w:type="dxa"/>
            <w:vAlign w:val="bottom"/>
            <w:tcBorders>
              <w:bottom w:val="single" w:sz="8" w:color="EE2724"/>
            </w:tcBorders>
          </w:tcPr>
          <w:p>
            <w:pPr>
              <w:jc w:val="right"/>
              <w:ind w:right="159"/>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(5)</w:t>
            </w:r>
          </w:p>
        </w:tc>
        <w:tc>
          <w:tcPr>
            <w:tcW w:w="1140" w:type="dxa"/>
            <w:vAlign w:val="bottom"/>
            <w:tcBorders>
              <w:bottom w:val="single" w:sz="8" w:color="EE2724"/>
            </w:tcBorders>
          </w:tcPr>
          <w:p>
            <w:pPr>
              <w:jc w:val="right"/>
              <w:ind w:right="119"/>
              <w:spacing w:after="0"/>
              <w:rPr>
                <w:sz w:val="20"/>
                <w:szCs w:val="20"/>
                <w:color w:val="auto"/>
              </w:rPr>
            </w:pPr>
            <w:r>
              <w:rPr>
                <w:rFonts w:ascii="Arial" w:cs="Arial" w:eastAsia="Arial" w:hAnsi="Arial"/>
                <w:sz w:val="11"/>
                <w:szCs w:val="11"/>
                <w:b w:val="1"/>
                <w:bCs w:val="1"/>
                <w:color w:val="auto"/>
              </w:rPr>
              <w:t>Earnings</w:t>
            </w:r>
            <w:r>
              <w:rPr>
                <w:rFonts w:ascii="Arial" w:cs="Arial" w:eastAsia="Arial" w:hAnsi="Arial"/>
                <w:sz w:val="14"/>
                <w:szCs w:val="14"/>
                <w:b w:val="1"/>
                <w:bCs w:val="1"/>
                <w:color w:val="auto"/>
                <w:vertAlign w:val="superscript"/>
              </w:rPr>
              <w:t>(6)</w:t>
            </w:r>
          </w:p>
        </w:tc>
        <w:tc>
          <w:tcPr>
            <w:tcW w:w="1160" w:type="dxa"/>
            <w:vAlign w:val="bottom"/>
            <w:tcBorders>
              <w:bottom w:val="single" w:sz="8" w:color="EE2724"/>
            </w:tcBorders>
          </w:tcPr>
          <w:p>
            <w:pPr>
              <w:jc w:val="right"/>
              <w:ind w:right="78"/>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(7)</w:t>
            </w:r>
          </w:p>
        </w:tc>
        <w:tc>
          <w:tcPr>
            <w:tcW w:w="1100" w:type="dxa"/>
            <w:vAlign w:val="bottom"/>
            <w:tcBorders>
              <w:bottom w:val="single" w:sz="8" w:color="EE2724"/>
            </w:tcBorders>
          </w:tcPr>
          <w:p>
            <w:pPr>
              <w:jc w:val="right"/>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4"/>
                <w:szCs w:val="14"/>
                <w:b w:val="1"/>
                <w:bCs w:val="1"/>
                <w:color w:val="auto"/>
                <w:vertAlign w:val="superscript"/>
              </w:rPr>
              <w:t>(8)</w:t>
            </w: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Vimal Kapur</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2023</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1,225,000</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 $</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7,530,223</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2,510,104</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   2,416,500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   283,838</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   435,965</w:t>
            </w:r>
          </w:p>
        </w:tc>
        <w:tc>
          <w:tcPr>
            <w:tcW w:w="1100" w:type="dxa"/>
            <w:vAlign w:val="bottom"/>
          </w:tcPr>
          <w:p>
            <w:pPr>
              <w:jc w:val="right"/>
              <w:spacing w:after="0"/>
              <w:rPr>
                <w:sz w:val="20"/>
                <w:szCs w:val="20"/>
                <w:color w:val="auto"/>
              </w:rPr>
            </w:pPr>
            <w:r>
              <w:rPr>
                <w:rFonts w:ascii="Arial" w:cs="Arial" w:eastAsia="Arial" w:hAnsi="Arial"/>
                <w:sz w:val="13"/>
                <w:szCs w:val="13"/>
                <w:color w:val="auto"/>
              </w:rPr>
              <w:t>$   14,401,630</w:t>
            </w:r>
          </w:p>
        </w:tc>
        <w:tc>
          <w:tcPr>
            <w:tcW w:w="0" w:type="dxa"/>
            <w:vAlign w:val="bottom"/>
          </w:tcPr>
          <w:p>
            <w:pPr>
              <w:spacing w:after="0"/>
              <w:rPr>
                <w:sz w:val="1"/>
                <w:szCs w:val="1"/>
                <w:color w:val="auto"/>
              </w:rPr>
            </w:pPr>
          </w:p>
        </w:tc>
      </w:tr>
      <w:tr>
        <w:trPr>
          <w:trHeight w:val="4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Chief Executive</w:t>
            </w: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00" w:type="dxa"/>
            <w:vAlign w:val="bottom"/>
            <w:vMerge w:val="continue"/>
          </w:tcPr>
          <w:p>
            <w:pPr>
              <w:spacing w:after="0"/>
              <w:rPr>
                <w:sz w:val="7"/>
                <w:szCs w:val="7"/>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867,596</w:t>
            </w:r>
          </w:p>
        </w:tc>
        <w:tc>
          <w:tcPr>
            <w:tcW w:w="160" w:type="dxa"/>
            <w:vAlign w:val="bottom"/>
          </w:tcPr>
          <w:p>
            <w:pPr>
              <w:spacing w:after="0"/>
              <w:rPr>
                <w:sz w:val="7"/>
                <w:szCs w:val="7"/>
                <w:color w:val="auto"/>
              </w:rPr>
            </w:pPr>
          </w:p>
        </w:tc>
        <w:tc>
          <w:tcPr>
            <w:tcW w:w="78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8"/>
              <w:spacing w:after="0"/>
              <w:rPr>
                <w:sz w:val="20"/>
                <w:szCs w:val="20"/>
                <w:color w:val="auto"/>
              </w:rPr>
            </w:pPr>
            <w:r>
              <w:rPr>
                <w:rFonts w:ascii="Arial" w:cs="Arial" w:eastAsia="Arial" w:hAnsi="Arial"/>
                <w:sz w:val="13"/>
                <w:szCs w:val="13"/>
                <w:color w:val="auto"/>
              </w:rPr>
              <w:t>3,982,229</w:t>
            </w:r>
          </w:p>
        </w:tc>
        <w:tc>
          <w:tcPr>
            <w:tcW w:w="240" w:type="dxa"/>
            <w:vAlign w:val="bottom"/>
          </w:tcPr>
          <w:p>
            <w:pPr>
              <w:spacing w:after="0"/>
              <w:rPr>
                <w:sz w:val="7"/>
                <w:szCs w:val="7"/>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3"/>
                <w:szCs w:val="13"/>
                <w:color w:val="auto"/>
              </w:rPr>
              <w:t>2,063,137</w:t>
            </w:r>
          </w:p>
        </w:tc>
        <w:tc>
          <w:tcPr>
            <w:tcW w:w="1260" w:type="dxa"/>
            <w:vAlign w:val="bottom"/>
            <w:vMerge w:val="restart"/>
          </w:tcPr>
          <w:p>
            <w:pPr>
              <w:jc w:val="right"/>
              <w:ind w:right="199"/>
              <w:spacing w:after="0"/>
              <w:rPr>
                <w:sz w:val="20"/>
                <w:szCs w:val="20"/>
                <w:color w:val="auto"/>
              </w:rPr>
            </w:pPr>
            <w:r>
              <w:rPr>
                <w:rFonts w:ascii="Arial" w:cs="Arial" w:eastAsia="Arial" w:hAnsi="Arial"/>
                <w:sz w:val="13"/>
                <w:szCs w:val="13"/>
                <w:color w:val="auto"/>
              </w:rPr>
              <w:t>1,206,100</w:t>
            </w:r>
          </w:p>
        </w:tc>
        <w:tc>
          <w:tcPr>
            <w:tcW w:w="1140" w:type="dxa"/>
            <w:vAlign w:val="bottom"/>
            <w:vMerge w:val="restart"/>
          </w:tcPr>
          <w:p>
            <w:pPr>
              <w:jc w:val="right"/>
              <w:ind w:right="159"/>
              <w:spacing w:after="0"/>
              <w:rPr>
                <w:sz w:val="20"/>
                <w:szCs w:val="20"/>
                <w:color w:val="auto"/>
              </w:rPr>
            </w:pPr>
            <w:r>
              <w:rPr>
                <w:rFonts w:ascii="Arial" w:cs="Arial" w:eastAsia="Arial" w:hAnsi="Arial"/>
                <w:sz w:val="13"/>
                <w:szCs w:val="13"/>
                <w:color w:val="auto"/>
              </w:rPr>
              <w:t>195,272</w:t>
            </w:r>
          </w:p>
        </w:tc>
        <w:tc>
          <w:tcPr>
            <w:tcW w:w="1160" w:type="dxa"/>
            <w:vAlign w:val="bottom"/>
            <w:vMerge w:val="restart"/>
          </w:tcPr>
          <w:p>
            <w:pPr>
              <w:jc w:val="right"/>
              <w:ind w:right="138"/>
              <w:spacing w:after="0"/>
              <w:rPr>
                <w:sz w:val="20"/>
                <w:szCs w:val="20"/>
                <w:color w:val="auto"/>
              </w:rPr>
            </w:pPr>
            <w:r>
              <w:rPr>
                <w:rFonts w:ascii="Arial" w:cs="Arial" w:eastAsia="Arial" w:hAnsi="Arial"/>
                <w:sz w:val="13"/>
                <w:szCs w:val="13"/>
                <w:color w:val="auto"/>
              </w:rPr>
              <w:t>65,882</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8,380,216</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Officer</w:t>
            </w: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00" w:type="dxa"/>
            <w:vAlign w:val="bottom"/>
            <w:tcBorders>
              <w:bottom w:val="single" w:sz="8" w:color="939598"/>
            </w:tcBorders>
          </w:tcPr>
          <w:p>
            <w:pPr>
              <w:spacing w:after="0"/>
              <w:rPr>
                <w:sz w:val="3"/>
                <w:szCs w:val="3"/>
                <w:color w:val="auto"/>
              </w:rPr>
            </w:pP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Gregory P. Lewis</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920,612</w:t>
            </w:r>
          </w:p>
        </w:tc>
        <w:tc>
          <w:tcPr>
            <w:tcW w:w="160" w:type="dxa"/>
            <w:vAlign w:val="bottom"/>
          </w:tcPr>
          <w:p>
            <w:pPr>
              <w:spacing w:after="0"/>
              <w:rPr>
                <w:sz w:val="13"/>
                <w:szCs w:val="13"/>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4,102,410</w:t>
            </w:r>
          </w:p>
        </w:tc>
        <w:tc>
          <w:tcPr>
            <w:tcW w:w="240" w:type="dxa"/>
            <w:vAlign w:val="bottom"/>
          </w:tcPr>
          <w:p>
            <w:pPr>
              <w:spacing w:after="0"/>
              <w:rPr>
                <w:sz w:val="13"/>
                <w:szCs w:val="13"/>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1,367,716</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1,162,900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322,347</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75,443</w:t>
            </w:r>
          </w:p>
        </w:tc>
        <w:tc>
          <w:tcPr>
            <w:tcW w:w="1100" w:type="dxa"/>
            <w:vAlign w:val="bottom"/>
          </w:tcPr>
          <w:p>
            <w:pPr>
              <w:jc w:val="right"/>
              <w:spacing w:after="0"/>
              <w:rPr>
                <w:sz w:val="20"/>
                <w:szCs w:val="20"/>
                <w:color w:val="auto"/>
              </w:rPr>
            </w:pPr>
            <w:r>
              <w:rPr>
                <w:rFonts w:ascii="Arial" w:cs="Arial" w:eastAsia="Arial" w:hAnsi="Arial"/>
                <w:sz w:val="13"/>
                <w:szCs w:val="13"/>
                <w:color w:val="auto"/>
              </w:rPr>
              <w:t>7,951,428</w:t>
            </w:r>
          </w:p>
        </w:tc>
        <w:tc>
          <w:tcPr>
            <w:tcW w:w="0" w:type="dxa"/>
            <w:vAlign w:val="bottom"/>
          </w:tcPr>
          <w:p>
            <w:pPr>
              <w:spacing w:after="0"/>
              <w:rPr>
                <w:sz w:val="1"/>
                <w:szCs w:val="1"/>
                <w:color w:val="auto"/>
              </w:rPr>
            </w:pPr>
          </w:p>
        </w:tc>
      </w:tr>
      <w:tr>
        <w:trPr>
          <w:trHeight w:val="4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Senior Vice</w:t>
            </w: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00" w:type="dxa"/>
            <w:vAlign w:val="bottom"/>
            <w:vMerge w:val="continue"/>
          </w:tcPr>
          <w:p>
            <w:pPr>
              <w:spacing w:after="0"/>
              <w:rPr>
                <w:sz w:val="7"/>
                <w:szCs w:val="7"/>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881,754</w:t>
            </w:r>
          </w:p>
        </w:tc>
        <w:tc>
          <w:tcPr>
            <w:tcW w:w="160" w:type="dxa"/>
            <w:vAlign w:val="bottom"/>
          </w:tcPr>
          <w:p>
            <w:pPr>
              <w:spacing w:after="0"/>
              <w:rPr>
                <w:sz w:val="7"/>
                <w:szCs w:val="7"/>
                <w:color w:val="auto"/>
              </w:rPr>
            </w:pPr>
          </w:p>
        </w:tc>
        <w:tc>
          <w:tcPr>
            <w:tcW w:w="78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8"/>
              <w:spacing w:after="0"/>
              <w:rPr>
                <w:sz w:val="20"/>
                <w:szCs w:val="20"/>
                <w:color w:val="auto"/>
              </w:rPr>
            </w:pPr>
            <w:r>
              <w:rPr>
                <w:rFonts w:ascii="Arial" w:cs="Arial" w:eastAsia="Arial" w:hAnsi="Arial"/>
                <w:sz w:val="13"/>
                <w:szCs w:val="13"/>
                <w:color w:val="auto"/>
              </w:rPr>
              <w:t>3,952,325</w:t>
            </w:r>
          </w:p>
        </w:tc>
        <w:tc>
          <w:tcPr>
            <w:tcW w:w="240" w:type="dxa"/>
            <w:vAlign w:val="bottom"/>
          </w:tcPr>
          <w:p>
            <w:pPr>
              <w:spacing w:after="0"/>
              <w:rPr>
                <w:sz w:val="7"/>
                <w:szCs w:val="7"/>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3"/>
                <w:szCs w:val="13"/>
                <w:color w:val="auto"/>
              </w:rPr>
              <w:t>1,693,116</w:t>
            </w:r>
          </w:p>
        </w:tc>
        <w:tc>
          <w:tcPr>
            <w:tcW w:w="1260" w:type="dxa"/>
            <w:vAlign w:val="bottom"/>
            <w:vMerge w:val="restart"/>
          </w:tcPr>
          <w:p>
            <w:pPr>
              <w:jc w:val="right"/>
              <w:ind w:right="199"/>
              <w:spacing w:after="0"/>
              <w:rPr>
                <w:sz w:val="20"/>
                <w:szCs w:val="20"/>
                <w:color w:val="auto"/>
              </w:rPr>
            </w:pPr>
            <w:r>
              <w:rPr>
                <w:rFonts w:ascii="Arial" w:cs="Arial" w:eastAsia="Arial" w:hAnsi="Arial"/>
                <w:sz w:val="13"/>
                <w:szCs w:val="13"/>
                <w:color w:val="auto"/>
              </w:rPr>
              <w:t>1,064,300</w:t>
            </w:r>
          </w:p>
        </w:tc>
        <w:tc>
          <w:tcPr>
            <w:tcW w:w="1140" w:type="dxa"/>
            <w:vAlign w:val="bottom"/>
            <w:vMerge w:val="restart"/>
          </w:tcPr>
          <w:p>
            <w:pPr>
              <w:jc w:val="right"/>
              <w:ind w:right="159"/>
              <w:spacing w:after="0"/>
              <w:rPr>
                <w:sz w:val="20"/>
                <w:szCs w:val="20"/>
                <w:color w:val="auto"/>
              </w:rPr>
            </w:pPr>
            <w:r>
              <w:rPr>
                <w:rFonts w:ascii="Arial" w:cs="Arial" w:eastAsia="Arial" w:hAnsi="Arial"/>
                <w:sz w:val="13"/>
                <w:szCs w:val="13"/>
                <w:color w:val="auto"/>
              </w:rPr>
              <w:t>315,289</w:t>
            </w:r>
          </w:p>
        </w:tc>
        <w:tc>
          <w:tcPr>
            <w:tcW w:w="1160" w:type="dxa"/>
            <w:vAlign w:val="bottom"/>
            <w:vMerge w:val="restart"/>
          </w:tcPr>
          <w:p>
            <w:pPr>
              <w:jc w:val="right"/>
              <w:ind w:right="138"/>
              <w:spacing w:after="0"/>
              <w:rPr>
                <w:sz w:val="20"/>
                <w:szCs w:val="20"/>
                <w:color w:val="auto"/>
              </w:rPr>
            </w:pPr>
            <w:r>
              <w:rPr>
                <w:rFonts w:ascii="Arial" w:cs="Arial" w:eastAsia="Arial" w:hAnsi="Arial"/>
                <w:sz w:val="13"/>
                <w:szCs w:val="13"/>
                <w:color w:val="auto"/>
              </w:rPr>
              <w:t>72,292</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7,979,076</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20"/>
              <w:spacing w:after="0" w:line="106" w:lineRule="exact"/>
              <w:rPr>
                <w:sz w:val="20"/>
                <w:szCs w:val="20"/>
                <w:color w:val="auto"/>
              </w:rPr>
            </w:pPr>
            <w:r>
              <w:rPr>
                <w:rFonts w:ascii="Arial" w:cs="Arial" w:eastAsia="Arial" w:hAnsi="Arial"/>
                <w:sz w:val="12"/>
                <w:szCs w:val="12"/>
                <w:color w:val="auto"/>
              </w:rPr>
              <w:t>President and</w:t>
            </w: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00" w:type="dxa"/>
            <w:vAlign w:val="bottom"/>
            <w:vMerge w:val="continue"/>
          </w:tcPr>
          <w:p>
            <w:pPr>
              <w:spacing w:after="0"/>
              <w:rPr>
                <w:sz w:val="3"/>
                <w:szCs w:val="3"/>
                <w:color w:val="auto"/>
              </w:rPr>
            </w:pP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00" w:type="dxa"/>
            <w:vAlign w:val="bottom"/>
          </w:tcPr>
          <w:p>
            <w:pPr>
              <w:ind w:left="20"/>
              <w:spacing w:after="0"/>
              <w:rPr>
                <w:sz w:val="20"/>
                <w:szCs w:val="20"/>
                <w:color w:val="auto"/>
              </w:rPr>
            </w:pPr>
            <w:r>
              <w:rPr>
                <w:rFonts w:ascii="Arial" w:cs="Arial" w:eastAsia="Arial" w:hAnsi="Arial"/>
                <w:sz w:val="13"/>
                <w:szCs w:val="13"/>
                <w:color w:val="auto"/>
              </w:rPr>
              <w:t>Chief Financial Officer</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2021</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830,493</w:t>
            </w:r>
          </w:p>
        </w:tc>
        <w:tc>
          <w:tcPr>
            <w:tcW w:w="160" w:type="dxa"/>
            <w:vAlign w:val="bottom"/>
          </w:tcPr>
          <w:p>
            <w:pPr>
              <w:spacing w:after="0"/>
              <w:rPr>
                <w:sz w:val="14"/>
                <w:szCs w:val="14"/>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4,518,031</w:t>
            </w:r>
          </w:p>
        </w:tc>
        <w:tc>
          <w:tcPr>
            <w:tcW w:w="240" w:type="dxa"/>
            <w:vAlign w:val="bottom"/>
          </w:tcPr>
          <w:p>
            <w:pPr>
              <w:spacing w:after="0"/>
              <w:rPr>
                <w:sz w:val="14"/>
                <w:szCs w:val="14"/>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1,643,520</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1,107,000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215,089</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65,570</w:t>
            </w:r>
          </w:p>
        </w:tc>
        <w:tc>
          <w:tcPr>
            <w:tcW w:w="1100" w:type="dxa"/>
            <w:vAlign w:val="bottom"/>
          </w:tcPr>
          <w:p>
            <w:pPr>
              <w:jc w:val="right"/>
              <w:spacing w:after="0"/>
              <w:rPr>
                <w:sz w:val="20"/>
                <w:szCs w:val="20"/>
                <w:color w:val="auto"/>
              </w:rPr>
            </w:pPr>
            <w:r>
              <w:rPr>
                <w:rFonts w:ascii="Arial" w:cs="Arial" w:eastAsia="Arial" w:hAnsi="Arial"/>
                <w:sz w:val="13"/>
                <w:szCs w:val="13"/>
                <w:color w:val="auto"/>
              </w:rPr>
              <w:t>8,379,703</w:t>
            </w:r>
          </w:p>
        </w:tc>
        <w:tc>
          <w:tcPr>
            <w:tcW w:w="0" w:type="dxa"/>
            <w:vAlign w:val="bottom"/>
          </w:tcPr>
          <w:p>
            <w:pPr>
              <w:spacing w:after="0"/>
              <w:rPr>
                <w:sz w:val="1"/>
                <w:szCs w:val="1"/>
                <w:color w:val="auto"/>
              </w:rPr>
            </w:pPr>
          </w:p>
        </w:tc>
      </w:tr>
      <w:tr>
        <w:trPr>
          <w:trHeight w:val="41"/>
        </w:trPr>
        <w:tc>
          <w:tcPr>
            <w:tcW w:w="2000" w:type="dxa"/>
            <w:vAlign w:val="bottom"/>
            <w:tcBorders>
              <w:bottom w:val="single" w:sz="8" w:color="939598"/>
            </w:tcBorders>
          </w:tcPr>
          <w:p>
            <w:pPr>
              <w:spacing w:after="0"/>
              <w:rPr>
                <w:sz w:val="3"/>
                <w:szCs w:val="3"/>
                <w:color w:val="auto"/>
              </w:rPr>
            </w:pP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Anne T. Madden</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890,546</w:t>
            </w:r>
          </w:p>
        </w:tc>
        <w:tc>
          <w:tcPr>
            <w:tcW w:w="160" w:type="dxa"/>
            <w:vAlign w:val="bottom"/>
          </w:tcPr>
          <w:p>
            <w:pPr>
              <w:spacing w:after="0"/>
              <w:rPr>
                <w:sz w:val="13"/>
                <w:szCs w:val="13"/>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3,738,983</w:t>
            </w:r>
          </w:p>
        </w:tc>
        <w:tc>
          <w:tcPr>
            <w:tcW w:w="240" w:type="dxa"/>
            <w:vAlign w:val="bottom"/>
          </w:tcPr>
          <w:p>
            <w:pPr>
              <w:spacing w:after="0"/>
              <w:rPr>
                <w:sz w:val="13"/>
                <w:szCs w:val="13"/>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1,246,190</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1,076,500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492,913</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73,338</w:t>
            </w:r>
          </w:p>
        </w:tc>
        <w:tc>
          <w:tcPr>
            <w:tcW w:w="1100" w:type="dxa"/>
            <w:vAlign w:val="bottom"/>
          </w:tcPr>
          <w:p>
            <w:pPr>
              <w:jc w:val="right"/>
              <w:spacing w:after="0"/>
              <w:rPr>
                <w:sz w:val="20"/>
                <w:szCs w:val="20"/>
                <w:color w:val="auto"/>
              </w:rPr>
            </w:pPr>
            <w:r>
              <w:rPr>
                <w:rFonts w:ascii="Arial" w:cs="Arial" w:eastAsia="Arial" w:hAnsi="Arial"/>
                <w:sz w:val="13"/>
                <w:szCs w:val="13"/>
                <w:color w:val="auto"/>
              </w:rPr>
              <w:t>7,518,470</w:t>
            </w:r>
          </w:p>
        </w:tc>
        <w:tc>
          <w:tcPr>
            <w:tcW w:w="0" w:type="dxa"/>
            <w:vAlign w:val="bottom"/>
          </w:tcPr>
          <w:p>
            <w:pPr>
              <w:spacing w:after="0"/>
              <w:rPr>
                <w:sz w:val="1"/>
                <w:szCs w:val="1"/>
                <w:color w:val="auto"/>
              </w:rPr>
            </w:pPr>
          </w:p>
        </w:tc>
      </w:tr>
      <w:tr>
        <w:trPr>
          <w:trHeight w:val="4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Senior Vice</w:t>
            </w: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00" w:type="dxa"/>
            <w:vAlign w:val="bottom"/>
            <w:vMerge w:val="continue"/>
          </w:tcPr>
          <w:p>
            <w:pPr>
              <w:spacing w:after="0"/>
              <w:rPr>
                <w:sz w:val="7"/>
                <w:szCs w:val="7"/>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896,122</w:t>
            </w:r>
          </w:p>
        </w:tc>
        <w:tc>
          <w:tcPr>
            <w:tcW w:w="160" w:type="dxa"/>
            <w:vAlign w:val="bottom"/>
          </w:tcPr>
          <w:p>
            <w:pPr>
              <w:spacing w:after="0"/>
              <w:rPr>
                <w:sz w:val="7"/>
                <w:szCs w:val="7"/>
                <w:color w:val="auto"/>
              </w:rPr>
            </w:pPr>
          </w:p>
        </w:tc>
        <w:tc>
          <w:tcPr>
            <w:tcW w:w="78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8"/>
              <w:spacing w:after="0"/>
              <w:rPr>
                <w:sz w:val="20"/>
                <w:szCs w:val="20"/>
                <w:color w:val="auto"/>
              </w:rPr>
            </w:pPr>
            <w:r>
              <w:rPr>
                <w:rFonts w:ascii="Arial" w:cs="Arial" w:eastAsia="Arial" w:hAnsi="Arial"/>
                <w:sz w:val="13"/>
                <w:szCs w:val="13"/>
                <w:color w:val="auto"/>
              </w:rPr>
              <w:t>3,952,325</w:t>
            </w:r>
          </w:p>
        </w:tc>
        <w:tc>
          <w:tcPr>
            <w:tcW w:w="240" w:type="dxa"/>
            <w:vAlign w:val="bottom"/>
          </w:tcPr>
          <w:p>
            <w:pPr>
              <w:spacing w:after="0"/>
              <w:rPr>
                <w:sz w:val="7"/>
                <w:szCs w:val="7"/>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3"/>
                <w:szCs w:val="13"/>
                <w:color w:val="auto"/>
              </w:rPr>
              <w:t>1,693,116</w:t>
            </w:r>
          </w:p>
        </w:tc>
        <w:tc>
          <w:tcPr>
            <w:tcW w:w="1260" w:type="dxa"/>
            <w:vAlign w:val="bottom"/>
            <w:vMerge w:val="restart"/>
          </w:tcPr>
          <w:p>
            <w:pPr>
              <w:jc w:val="right"/>
              <w:ind w:right="199"/>
              <w:spacing w:after="0"/>
              <w:rPr>
                <w:sz w:val="20"/>
                <w:szCs w:val="20"/>
                <w:color w:val="auto"/>
              </w:rPr>
            </w:pPr>
            <w:r>
              <w:rPr>
                <w:rFonts w:ascii="Arial" w:cs="Arial" w:eastAsia="Arial" w:hAnsi="Arial"/>
                <w:sz w:val="13"/>
                <w:szCs w:val="13"/>
                <w:color w:val="auto"/>
              </w:rPr>
              <w:t>1,126,100</w:t>
            </w:r>
          </w:p>
        </w:tc>
        <w:tc>
          <w:tcPr>
            <w:tcW w:w="1140" w:type="dxa"/>
            <w:vAlign w:val="bottom"/>
            <w:vMerge w:val="restart"/>
          </w:tcPr>
          <w:p>
            <w:pPr>
              <w:jc w:val="right"/>
              <w:ind w:right="159"/>
              <w:spacing w:after="0"/>
              <w:rPr>
                <w:sz w:val="20"/>
                <w:szCs w:val="20"/>
                <w:color w:val="auto"/>
              </w:rPr>
            </w:pPr>
            <w:r>
              <w:rPr>
                <w:rFonts w:ascii="Arial" w:cs="Arial" w:eastAsia="Arial" w:hAnsi="Arial"/>
                <w:sz w:val="13"/>
                <w:szCs w:val="13"/>
                <w:color w:val="auto"/>
              </w:rPr>
              <w:t>519,846</w:t>
            </w:r>
          </w:p>
        </w:tc>
        <w:tc>
          <w:tcPr>
            <w:tcW w:w="1160" w:type="dxa"/>
            <w:vAlign w:val="bottom"/>
            <w:vMerge w:val="restart"/>
          </w:tcPr>
          <w:p>
            <w:pPr>
              <w:jc w:val="right"/>
              <w:ind w:right="138"/>
              <w:spacing w:after="0"/>
              <w:rPr>
                <w:sz w:val="20"/>
                <w:szCs w:val="20"/>
                <w:color w:val="auto"/>
              </w:rPr>
            </w:pPr>
            <w:r>
              <w:rPr>
                <w:rFonts w:ascii="Arial" w:cs="Arial" w:eastAsia="Arial" w:hAnsi="Arial"/>
                <w:sz w:val="13"/>
                <w:szCs w:val="13"/>
                <w:color w:val="auto"/>
              </w:rPr>
              <w:t>73,298</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8,260,807</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20"/>
              <w:spacing w:after="0" w:line="106" w:lineRule="exact"/>
              <w:rPr>
                <w:sz w:val="20"/>
                <w:szCs w:val="20"/>
                <w:color w:val="auto"/>
              </w:rPr>
            </w:pPr>
            <w:r>
              <w:rPr>
                <w:rFonts w:ascii="Arial" w:cs="Arial" w:eastAsia="Arial" w:hAnsi="Arial"/>
                <w:sz w:val="12"/>
                <w:szCs w:val="12"/>
                <w:color w:val="auto"/>
              </w:rPr>
              <w:t>President and</w:t>
            </w: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00" w:type="dxa"/>
            <w:vAlign w:val="bottom"/>
            <w:vMerge w:val="continue"/>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3"/>
                <w:szCs w:val="13"/>
                <w:color w:val="auto"/>
              </w:rPr>
              <w:t>General Counsel</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2021</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869,458</w:t>
            </w:r>
          </w:p>
        </w:tc>
        <w:tc>
          <w:tcPr>
            <w:tcW w:w="160" w:type="dxa"/>
            <w:vAlign w:val="bottom"/>
          </w:tcPr>
          <w:p>
            <w:pPr>
              <w:spacing w:after="0"/>
              <w:rPr>
                <w:sz w:val="15"/>
                <w:szCs w:val="15"/>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4,518,031</w:t>
            </w:r>
          </w:p>
        </w:tc>
        <w:tc>
          <w:tcPr>
            <w:tcW w:w="24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1,643,520</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1,159,000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389,020</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80,362</w:t>
            </w:r>
          </w:p>
        </w:tc>
        <w:tc>
          <w:tcPr>
            <w:tcW w:w="1100" w:type="dxa"/>
            <w:vAlign w:val="bottom"/>
          </w:tcPr>
          <w:p>
            <w:pPr>
              <w:jc w:val="right"/>
              <w:spacing w:after="0"/>
              <w:rPr>
                <w:sz w:val="20"/>
                <w:szCs w:val="20"/>
                <w:color w:val="auto"/>
              </w:rPr>
            </w:pPr>
            <w:r>
              <w:rPr>
                <w:rFonts w:ascii="Arial" w:cs="Arial" w:eastAsia="Arial" w:hAnsi="Arial"/>
                <w:sz w:val="13"/>
                <w:szCs w:val="13"/>
                <w:color w:val="auto"/>
              </w:rPr>
              <w:t>8,659,391</w:t>
            </w:r>
          </w:p>
        </w:tc>
        <w:tc>
          <w:tcPr>
            <w:tcW w:w="0" w:type="dxa"/>
            <w:vAlign w:val="bottom"/>
          </w:tcPr>
          <w:p>
            <w:pPr>
              <w:spacing w:after="0"/>
              <w:rPr>
                <w:sz w:val="1"/>
                <w:szCs w:val="1"/>
                <w:color w:val="auto"/>
              </w:rPr>
            </w:pPr>
          </w:p>
        </w:tc>
      </w:tr>
      <w:tr>
        <w:trPr>
          <w:trHeight w:val="54"/>
        </w:trPr>
        <w:tc>
          <w:tcPr>
            <w:tcW w:w="2000" w:type="dxa"/>
            <w:vAlign w:val="bottom"/>
            <w:tcBorders>
              <w:bottom w:val="single" w:sz="8" w:color="939598"/>
            </w:tcBorders>
          </w:tcPr>
          <w:p>
            <w:pPr>
              <w:spacing w:after="0"/>
              <w:rPr>
                <w:sz w:val="4"/>
                <w:szCs w:val="4"/>
                <w:color w:val="auto"/>
              </w:rPr>
            </w:pPr>
          </w:p>
        </w:tc>
        <w:tc>
          <w:tcPr>
            <w:tcW w:w="520" w:type="dxa"/>
            <w:vAlign w:val="bottom"/>
            <w:tcBorders>
              <w:bottom w:val="single" w:sz="8" w:color="939598"/>
            </w:tcBorders>
          </w:tcPr>
          <w:p>
            <w:pPr>
              <w:spacing w:after="0"/>
              <w:rPr>
                <w:sz w:val="4"/>
                <w:szCs w:val="4"/>
                <w:color w:val="auto"/>
              </w:rPr>
            </w:pPr>
          </w:p>
        </w:tc>
        <w:tc>
          <w:tcPr>
            <w:tcW w:w="240" w:type="dxa"/>
            <w:vAlign w:val="bottom"/>
            <w:tcBorders>
              <w:bottom w:val="single" w:sz="8" w:color="939598"/>
            </w:tcBorders>
          </w:tcPr>
          <w:p>
            <w:pPr>
              <w:spacing w:after="0"/>
              <w:rPr>
                <w:sz w:val="4"/>
                <w:szCs w:val="4"/>
                <w:color w:val="auto"/>
              </w:rPr>
            </w:pPr>
          </w:p>
        </w:tc>
        <w:tc>
          <w:tcPr>
            <w:tcW w:w="720" w:type="dxa"/>
            <w:vAlign w:val="bottom"/>
            <w:tcBorders>
              <w:bottom w:val="single" w:sz="8" w:color="939598"/>
            </w:tcBorders>
          </w:tcPr>
          <w:p>
            <w:pPr>
              <w:spacing w:after="0"/>
              <w:rPr>
                <w:sz w:val="4"/>
                <w:szCs w:val="4"/>
                <w:color w:val="auto"/>
              </w:rPr>
            </w:pPr>
          </w:p>
        </w:tc>
        <w:tc>
          <w:tcPr>
            <w:tcW w:w="160" w:type="dxa"/>
            <w:vAlign w:val="bottom"/>
            <w:tcBorders>
              <w:bottom w:val="single" w:sz="8" w:color="939598"/>
            </w:tcBorders>
          </w:tcPr>
          <w:p>
            <w:pPr>
              <w:spacing w:after="0"/>
              <w:rPr>
                <w:sz w:val="4"/>
                <w:szCs w:val="4"/>
                <w:color w:val="auto"/>
              </w:rPr>
            </w:pPr>
          </w:p>
        </w:tc>
        <w:tc>
          <w:tcPr>
            <w:tcW w:w="780" w:type="dxa"/>
            <w:vAlign w:val="bottom"/>
            <w:tcBorders>
              <w:bottom w:val="single" w:sz="8" w:color="939598"/>
            </w:tcBorders>
          </w:tcPr>
          <w:p>
            <w:pPr>
              <w:spacing w:after="0"/>
              <w:rPr>
                <w:sz w:val="4"/>
                <w:szCs w:val="4"/>
                <w:color w:val="auto"/>
              </w:rPr>
            </w:pPr>
          </w:p>
        </w:tc>
        <w:tc>
          <w:tcPr>
            <w:tcW w:w="840" w:type="dxa"/>
            <w:vAlign w:val="bottom"/>
            <w:tcBorders>
              <w:bottom w:val="single" w:sz="8" w:color="939598"/>
            </w:tcBorders>
          </w:tcPr>
          <w:p>
            <w:pPr>
              <w:spacing w:after="0"/>
              <w:rPr>
                <w:sz w:val="4"/>
                <w:szCs w:val="4"/>
                <w:color w:val="auto"/>
              </w:rPr>
            </w:pPr>
          </w:p>
        </w:tc>
        <w:tc>
          <w:tcPr>
            <w:tcW w:w="240" w:type="dxa"/>
            <w:vAlign w:val="bottom"/>
            <w:tcBorders>
              <w:bottom w:val="single" w:sz="8" w:color="939598"/>
            </w:tcBorders>
          </w:tcPr>
          <w:p>
            <w:pPr>
              <w:spacing w:after="0"/>
              <w:rPr>
                <w:sz w:val="4"/>
                <w:szCs w:val="4"/>
                <w:color w:val="auto"/>
              </w:rPr>
            </w:pPr>
          </w:p>
        </w:tc>
        <w:tc>
          <w:tcPr>
            <w:tcW w:w="880" w:type="dxa"/>
            <w:vAlign w:val="bottom"/>
            <w:tcBorders>
              <w:bottom w:val="single" w:sz="8" w:color="939598"/>
            </w:tcBorders>
          </w:tcPr>
          <w:p>
            <w:pPr>
              <w:spacing w:after="0"/>
              <w:rPr>
                <w:sz w:val="4"/>
                <w:szCs w:val="4"/>
                <w:color w:val="auto"/>
              </w:rPr>
            </w:pPr>
          </w:p>
        </w:tc>
        <w:tc>
          <w:tcPr>
            <w:tcW w:w="1260" w:type="dxa"/>
            <w:vAlign w:val="bottom"/>
            <w:tcBorders>
              <w:bottom w:val="single" w:sz="8" w:color="939598"/>
            </w:tcBorders>
          </w:tcPr>
          <w:p>
            <w:pPr>
              <w:spacing w:after="0"/>
              <w:rPr>
                <w:sz w:val="4"/>
                <w:szCs w:val="4"/>
                <w:color w:val="auto"/>
              </w:rPr>
            </w:pPr>
          </w:p>
        </w:tc>
        <w:tc>
          <w:tcPr>
            <w:tcW w:w="1140" w:type="dxa"/>
            <w:vAlign w:val="bottom"/>
            <w:tcBorders>
              <w:bottom w:val="single" w:sz="8" w:color="939598"/>
            </w:tcBorders>
          </w:tcPr>
          <w:p>
            <w:pPr>
              <w:spacing w:after="0"/>
              <w:rPr>
                <w:sz w:val="4"/>
                <w:szCs w:val="4"/>
                <w:color w:val="auto"/>
              </w:rPr>
            </w:pPr>
          </w:p>
        </w:tc>
        <w:tc>
          <w:tcPr>
            <w:tcW w:w="1160" w:type="dxa"/>
            <w:vAlign w:val="bottom"/>
            <w:tcBorders>
              <w:bottom w:val="single" w:sz="8" w:color="939598"/>
            </w:tcBorders>
          </w:tcPr>
          <w:p>
            <w:pPr>
              <w:spacing w:after="0"/>
              <w:rPr>
                <w:sz w:val="4"/>
                <w:szCs w:val="4"/>
                <w:color w:val="auto"/>
              </w:rPr>
            </w:pPr>
          </w:p>
        </w:tc>
        <w:tc>
          <w:tcPr>
            <w:tcW w:w="110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Lucian Boldea</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769,231</w:t>
            </w:r>
          </w:p>
        </w:tc>
        <w:tc>
          <w:tcPr>
            <w:tcW w:w="160" w:type="dxa"/>
            <w:vAlign w:val="bottom"/>
          </w:tcPr>
          <w:p>
            <w:pPr>
              <w:spacing w:after="0"/>
              <w:rPr>
                <w:sz w:val="13"/>
                <w:szCs w:val="13"/>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2,850,019</w:t>
            </w:r>
          </w:p>
        </w:tc>
        <w:tc>
          <w:tcPr>
            <w:tcW w:w="240" w:type="dxa"/>
            <w:vAlign w:val="bottom"/>
          </w:tcPr>
          <w:p>
            <w:pPr>
              <w:spacing w:after="0"/>
              <w:rPr>
                <w:sz w:val="13"/>
                <w:szCs w:val="13"/>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950,058</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975,200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501</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214,697</w:t>
            </w:r>
          </w:p>
        </w:tc>
        <w:tc>
          <w:tcPr>
            <w:tcW w:w="1100" w:type="dxa"/>
            <w:vAlign w:val="bottom"/>
          </w:tcPr>
          <w:p>
            <w:pPr>
              <w:jc w:val="right"/>
              <w:spacing w:after="0"/>
              <w:rPr>
                <w:sz w:val="20"/>
                <w:szCs w:val="20"/>
                <w:color w:val="auto"/>
              </w:rPr>
            </w:pPr>
            <w:r>
              <w:rPr>
                <w:rFonts w:ascii="Arial" w:cs="Arial" w:eastAsia="Arial" w:hAnsi="Arial"/>
                <w:sz w:val="13"/>
                <w:szCs w:val="13"/>
                <w:color w:val="auto"/>
              </w:rPr>
              <w:t>5,759,706</w:t>
            </w:r>
          </w:p>
        </w:tc>
        <w:tc>
          <w:tcPr>
            <w:tcW w:w="0" w:type="dxa"/>
            <w:vAlign w:val="bottom"/>
          </w:tcPr>
          <w:p>
            <w:pPr>
              <w:spacing w:after="0"/>
              <w:rPr>
                <w:sz w:val="1"/>
                <w:szCs w:val="1"/>
                <w:color w:val="auto"/>
              </w:rPr>
            </w:pPr>
          </w:p>
        </w:tc>
      </w:tr>
      <w:tr>
        <w:trPr>
          <w:trHeight w:val="4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President and</w:t>
            </w: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00" w:type="dxa"/>
            <w:vAlign w:val="bottom"/>
            <w:vMerge w:val="continue"/>
          </w:tcPr>
          <w:p>
            <w:pPr>
              <w:spacing w:after="0"/>
              <w:rPr>
                <w:sz w:val="7"/>
                <w:szCs w:val="7"/>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184,615</w:t>
            </w:r>
          </w:p>
        </w:tc>
        <w:tc>
          <w:tcPr>
            <w:tcW w:w="160" w:type="dxa"/>
            <w:vAlign w:val="bottom"/>
          </w:tcPr>
          <w:p>
            <w:pPr>
              <w:spacing w:after="0"/>
              <w:rPr>
                <w:sz w:val="7"/>
                <w:szCs w:val="7"/>
                <w:color w:val="auto"/>
              </w:rPr>
            </w:pPr>
          </w:p>
        </w:tc>
        <w:tc>
          <w:tcPr>
            <w:tcW w:w="780" w:type="dxa"/>
            <w:vAlign w:val="bottom"/>
            <w:vMerge w:val="restart"/>
          </w:tcPr>
          <w:p>
            <w:pPr>
              <w:jc w:val="right"/>
              <w:ind w:right="178"/>
              <w:spacing w:after="0"/>
              <w:rPr>
                <w:sz w:val="20"/>
                <w:szCs w:val="20"/>
                <w:color w:val="auto"/>
              </w:rPr>
            </w:pPr>
            <w:r>
              <w:rPr>
                <w:rFonts w:ascii="Arial" w:cs="Arial" w:eastAsia="Arial" w:hAnsi="Arial"/>
                <w:sz w:val="13"/>
                <w:szCs w:val="13"/>
                <w:color w:val="auto"/>
              </w:rPr>
              <w:t>200,000</w:t>
            </w:r>
          </w:p>
        </w:tc>
        <w:tc>
          <w:tcPr>
            <w:tcW w:w="840" w:type="dxa"/>
            <w:vAlign w:val="bottom"/>
            <w:vMerge w:val="restart"/>
          </w:tcPr>
          <w:p>
            <w:pPr>
              <w:jc w:val="right"/>
              <w:ind w:right="38"/>
              <w:spacing w:after="0"/>
              <w:rPr>
                <w:sz w:val="20"/>
                <w:szCs w:val="20"/>
                <w:color w:val="auto"/>
              </w:rPr>
            </w:pPr>
            <w:r>
              <w:rPr>
                <w:rFonts w:ascii="Arial" w:cs="Arial" w:eastAsia="Arial" w:hAnsi="Arial"/>
                <w:sz w:val="13"/>
                <w:szCs w:val="13"/>
                <w:color w:val="auto"/>
              </w:rPr>
              <w:t>6,300,176</w:t>
            </w:r>
          </w:p>
        </w:tc>
        <w:tc>
          <w:tcPr>
            <w:tcW w:w="240" w:type="dxa"/>
            <w:vAlign w:val="bottom"/>
          </w:tcPr>
          <w:p>
            <w:pPr>
              <w:spacing w:after="0"/>
              <w:rPr>
                <w:sz w:val="7"/>
                <w:szCs w:val="7"/>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3"/>
                <w:szCs w:val="13"/>
                <w:color w:val="auto"/>
              </w:rPr>
              <w:t>1,190,024</w:t>
            </w:r>
          </w:p>
        </w:tc>
        <w:tc>
          <w:tcPr>
            <w:tcW w:w="1260" w:type="dxa"/>
            <w:vAlign w:val="bottom"/>
            <w:vMerge w:val="restart"/>
          </w:tcPr>
          <w:p>
            <w:pPr>
              <w:jc w:val="right"/>
              <w:ind w:right="199"/>
              <w:spacing w:after="0"/>
              <w:rPr>
                <w:sz w:val="20"/>
                <w:szCs w:val="20"/>
                <w:color w:val="auto"/>
              </w:rPr>
            </w:pPr>
            <w:r>
              <w:rPr>
                <w:rFonts w:ascii="Arial" w:cs="Arial" w:eastAsia="Arial" w:hAnsi="Arial"/>
                <w:sz w:val="13"/>
                <w:szCs w:val="13"/>
                <w:color w:val="auto"/>
              </w:rPr>
              <w:t>832,000</w:t>
            </w:r>
          </w:p>
        </w:tc>
        <w:tc>
          <w:tcPr>
            <w:tcW w:w="1140" w:type="dxa"/>
            <w:vAlign w:val="bottom"/>
            <w:vMerge w:val="restart"/>
          </w:tcPr>
          <w:p>
            <w:pPr>
              <w:jc w:val="right"/>
              <w:ind w:right="159"/>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138"/>
              <w:spacing w:after="0"/>
              <w:rPr>
                <w:sz w:val="20"/>
                <w:szCs w:val="20"/>
                <w:color w:val="auto"/>
              </w:rPr>
            </w:pPr>
            <w:r>
              <w:rPr>
                <w:rFonts w:ascii="Arial" w:cs="Arial" w:eastAsia="Arial" w:hAnsi="Arial"/>
                <w:sz w:val="13"/>
                <w:szCs w:val="13"/>
                <w:color w:val="auto"/>
              </w:rPr>
              <w:t>13,423</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8,720,239</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Chief Executive</w:t>
            </w: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rPr>
                <w:sz w:val="20"/>
                <w:szCs w:val="20"/>
                <w:color w:val="auto"/>
              </w:rPr>
            </w:pPr>
            <w:r>
              <w:rPr>
                <w:rFonts w:ascii="Arial" w:cs="Arial" w:eastAsia="Arial" w:hAnsi="Arial"/>
                <w:sz w:val="13"/>
                <w:szCs w:val="13"/>
                <w:color w:val="auto"/>
              </w:rPr>
              <w:t>Officer, Performance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color w:val="auto"/>
              </w:rPr>
              <w:t>Materials and Technologies</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00" w:type="dxa"/>
            <w:vAlign w:val="bottom"/>
            <w:tcBorders>
              <w:bottom w:val="single" w:sz="8" w:color="939598"/>
            </w:tcBorders>
          </w:tcPr>
          <w:p>
            <w:pPr>
              <w:spacing w:after="0"/>
              <w:rPr>
                <w:sz w:val="3"/>
                <w:szCs w:val="3"/>
                <w:color w:val="auto"/>
              </w:rPr>
            </w:pP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line="151" w:lineRule="exact"/>
              <w:rPr>
                <w:sz w:val="20"/>
                <w:szCs w:val="20"/>
                <w:color w:val="auto"/>
              </w:rPr>
            </w:pPr>
            <w:r>
              <w:rPr>
                <w:rFonts w:ascii="Arial" w:cs="Arial" w:eastAsia="Arial" w:hAnsi="Arial"/>
                <w:sz w:val="13"/>
                <w:szCs w:val="13"/>
                <w:b w:val="1"/>
                <w:bCs w:val="1"/>
                <w:color w:val="auto"/>
              </w:rPr>
              <w:t>James Currier</w:t>
            </w:r>
            <w:r>
              <w:rPr>
                <w:rFonts w:ascii="Arial" w:cs="Arial" w:eastAsia="Arial" w:hAnsi="Arial"/>
                <w:sz w:val="16"/>
                <w:szCs w:val="16"/>
                <w:b w:val="1"/>
                <w:bCs w:val="1"/>
                <w:color w:val="auto"/>
                <w:vertAlign w:val="superscript"/>
              </w:rPr>
              <w:t>(1)</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531,560</w:t>
            </w:r>
          </w:p>
        </w:tc>
        <w:tc>
          <w:tcPr>
            <w:tcW w:w="160" w:type="dxa"/>
            <w:vAlign w:val="bottom"/>
          </w:tcPr>
          <w:p>
            <w:pPr>
              <w:spacing w:after="0"/>
              <w:rPr>
                <w:sz w:val="13"/>
                <w:szCs w:val="13"/>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2,469,418</w:t>
            </w:r>
          </w:p>
        </w:tc>
        <w:tc>
          <w:tcPr>
            <w:tcW w:w="240" w:type="dxa"/>
            <w:vAlign w:val="bottom"/>
          </w:tcPr>
          <w:p>
            <w:pPr>
              <w:spacing w:after="0"/>
              <w:rPr>
                <w:sz w:val="13"/>
                <w:szCs w:val="13"/>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919,053</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829,692</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99,247</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46,413</w:t>
            </w:r>
          </w:p>
        </w:tc>
        <w:tc>
          <w:tcPr>
            <w:tcW w:w="1100" w:type="dxa"/>
            <w:vAlign w:val="bottom"/>
          </w:tcPr>
          <w:p>
            <w:pPr>
              <w:jc w:val="right"/>
              <w:spacing w:after="0"/>
              <w:rPr>
                <w:sz w:val="20"/>
                <w:szCs w:val="20"/>
                <w:color w:val="auto"/>
              </w:rPr>
            </w:pPr>
            <w:r>
              <w:rPr>
                <w:rFonts w:ascii="Arial" w:cs="Arial" w:eastAsia="Arial" w:hAnsi="Arial"/>
                <w:sz w:val="13"/>
                <w:szCs w:val="13"/>
                <w:color w:val="auto"/>
              </w:rPr>
              <w:t>4,895,383</w:t>
            </w:r>
          </w:p>
        </w:tc>
        <w:tc>
          <w:tcPr>
            <w:tcW w:w="0" w:type="dxa"/>
            <w:vAlign w:val="bottom"/>
          </w:tcPr>
          <w:p>
            <w:pPr>
              <w:spacing w:after="0"/>
              <w:rPr>
                <w:sz w:val="1"/>
                <w:szCs w:val="1"/>
                <w:color w:val="auto"/>
              </w:rPr>
            </w:pPr>
          </w:p>
        </w:tc>
      </w:tr>
      <w:tr>
        <w:trPr>
          <w:trHeight w:val="149"/>
        </w:trPr>
        <w:tc>
          <w:tcPr>
            <w:tcW w:w="2000" w:type="dxa"/>
            <w:vAlign w:val="bottom"/>
          </w:tcPr>
          <w:p>
            <w:pPr>
              <w:ind w:left="20"/>
              <w:spacing w:after="0"/>
              <w:rPr>
                <w:sz w:val="20"/>
                <w:szCs w:val="20"/>
                <w:color w:val="auto"/>
              </w:rPr>
            </w:pPr>
            <w:r>
              <w:rPr>
                <w:rFonts w:ascii="Arial" w:cs="Arial" w:eastAsia="Arial" w:hAnsi="Arial"/>
                <w:sz w:val="13"/>
                <w:szCs w:val="13"/>
                <w:color w:val="auto"/>
              </w:rPr>
              <w:t>President and</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rPr>
                <w:sz w:val="20"/>
                <w:szCs w:val="20"/>
                <w:color w:val="auto"/>
              </w:rPr>
            </w:pPr>
            <w:r>
              <w:rPr>
                <w:rFonts w:ascii="Arial" w:cs="Arial" w:eastAsia="Arial" w:hAnsi="Arial"/>
                <w:sz w:val="13"/>
                <w:szCs w:val="13"/>
                <w:color w:val="auto"/>
              </w:rPr>
              <w:t>Chief Executive</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0"/>
              <w:spacing w:after="0"/>
              <w:rPr>
                <w:sz w:val="20"/>
                <w:szCs w:val="20"/>
                <w:color w:val="auto"/>
              </w:rPr>
            </w:pPr>
            <w:r>
              <w:rPr>
                <w:rFonts w:ascii="Arial" w:cs="Arial" w:eastAsia="Arial" w:hAnsi="Arial"/>
                <w:sz w:val="13"/>
                <w:szCs w:val="13"/>
                <w:color w:val="auto"/>
              </w:rPr>
              <w:t>Officer, Aerospace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00" w:type="dxa"/>
            <w:vAlign w:val="bottom"/>
            <w:tcBorders>
              <w:bottom w:val="single" w:sz="8" w:color="939598"/>
            </w:tcBorders>
          </w:tcPr>
          <w:p>
            <w:pPr>
              <w:spacing w:after="0"/>
              <w:rPr>
                <w:sz w:val="3"/>
                <w:szCs w:val="3"/>
                <w:color w:val="auto"/>
              </w:rPr>
            </w:pP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000" w:type="dxa"/>
            <w:vAlign w:val="bottom"/>
          </w:tcPr>
          <w:p>
            <w:pPr>
              <w:ind w:left="20"/>
              <w:spacing w:after="0"/>
              <w:rPr>
                <w:sz w:val="20"/>
                <w:szCs w:val="20"/>
                <w:color w:val="auto"/>
              </w:rPr>
            </w:pPr>
            <w:r>
              <w:rPr>
                <w:rFonts w:ascii="Arial" w:cs="Arial" w:eastAsia="Arial" w:hAnsi="Arial"/>
                <w:sz w:val="13"/>
                <w:szCs w:val="13"/>
                <w:b w:val="1"/>
                <w:bCs w:val="1"/>
                <w:color w:val="auto"/>
              </w:rPr>
              <w:t>Darius Adamczyk</w:t>
            </w: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2023</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1,459,712</w:t>
            </w:r>
          </w:p>
        </w:tc>
        <w:tc>
          <w:tcPr>
            <w:tcW w:w="160" w:type="dxa"/>
            <w:vAlign w:val="bottom"/>
          </w:tcPr>
          <w:p>
            <w:pPr>
              <w:spacing w:after="0"/>
              <w:rPr>
                <w:sz w:val="13"/>
                <w:szCs w:val="13"/>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13,500,247</w:t>
            </w:r>
          </w:p>
        </w:tc>
        <w:tc>
          <w:tcPr>
            <w:tcW w:w="240" w:type="dxa"/>
            <w:vAlign w:val="bottom"/>
          </w:tcPr>
          <w:p>
            <w:pPr>
              <w:spacing w:after="0"/>
              <w:rPr>
                <w:sz w:val="13"/>
                <w:szCs w:val="13"/>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4,500,052</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2,834,000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515,490</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219,867</w:t>
            </w:r>
          </w:p>
        </w:tc>
        <w:tc>
          <w:tcPr>
            <w:tcW w:w="1100" w:type="dxa"/>
            <w:vAlign w:val="bottom"/>
          </w:tcPr>
          <w:p>
            <w:pPr>
              <w:jc w:val="right"/>
              <w:spacing w:after="0"/>
              <w:rPr>
                <w:sz w:val="20"/>
                <w:szCs w:val="20"/>
                <w:color w:val="auto"/>
              </w:rPr>
            </w:pPr>
            <w:r>
              <w:rPr>
                <w:rFonts w:ascii="Arial" w:cs="Arial" w:eastAsia="Arial" w:hAnsi="Arial"/>
                <w:sz w:val="13"/>
                <w:szCs w:val="13"/>
                <w:color w:val="auto"/>
              </w:rPr>
              <w:t>23,029,368</w:t>
            </w:r>
          </w:p>
        </w:tc>
        <w:tc>
          <w:tcPr>
            <w:tcW w:w="0" w:type="dxa"/>
            <w:vAlign w:val="bottom"/>
          </w:tcPr>
          <w:p>
            <w:pPr>
              <w:spacing w:after="0"/>
              <w:rPr>
                <w:sz w:val="1"/>
                <w:szCs w:val="1"/>
                <w:color w:val="auto"/>
              </w:rPr>
            </w:pPr>
          </w:p>
        </w:tc>
      </w:tr>
      <w:tr>
        <w:trPr>
          <w:trHeight w:val="45"/>
        </w:trPr>
        <w:tc>
          <w:tcPr>
            <w:tcW w:w="2000" w:type="dxa"/>
            <w:vAlign w:val="bottom"/>
            <w:vMerge w:val="restart"/>
          </w:tcPr>
          <w:p>
            <w:pPr>
              <w:ind w:left="20"/>
              <w:spacing w:after="0"/>
              <w:rPr>
                <w:sz w:val="20"/>
                <w:szCs w:val="20"/>
                <w:color w:val="auto"/>
              </w:rPr>
            </w:pPr>
            <w:r>
              <w:rPr>
                <w:rFonts w:ascii="Arial" w:cs="Arial" w:eastAsia="Arial" w:hAnsi="Arial"/>
                <w:sz w:val="13"/>
                <w:szCs w:val="13"/>
                <w:color w:val="auto"/>
              </w:rPr>
              <w:t>Executive Chairman</w:t>
            </w:r>
          </w:p>
        </w:tc>
        <w:tc>
          <w:tcPr>
            <w:tcW w:w="52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160" w:type="dxa"/>
            <w:vAlign w:val="bottom"/>
            <w:tcBorders>
              <w:bottom w:val="single" w:sz="8" w:color="939598"/>
            </w:tcBorders>
          </w:tcPr>
          <w:p>
            <w:pPr>
              <w:spacing w:after="0"/>
              <w:rPr>
                <w:sz w:val="3"/>
                <w:szCs w:val="3"/>
                <w:color w:val="auto"/>
              </w:rPr>
            </w:pPr>
          </w:p>
        </w:tc>
        <w:tc>
          <w:tcPr>
            <w:tcW w:w="780" w:type="dxa"/>
            <w:vAlign w:val="bottom"/>
            <w:tcBorders>
              <w:bottom w:val="single" w:sz="8" w:color="939598"/>
            </w:tcBorders>
          </w:tcPr>
          <w:p>
            <w:pPr>
              <w:spacing w:after="0"/>
              <w:rPr>
                <w:sz w:val="3"/>
                <w:szCs w:val="3"/>
                <w:color w:val="auto"/>
              </w:rPr>
            </w:pPr>
          </w:p>
        </w:tc>
        <w:tc>
          <w:tcPr>
            <w:tcW w:w="840" w:type="dxa"/>
            <w:vAlign w:val="bottom"/>
            <w:tcBorders>
              <w:bottom w:val="single" w:sz="8" w:color="939598"/>
            </w:tcBorders>
          </w:tcPr>
          <w:p>
            <w:pPr>
              <w:spacing w:after="0"/>
              <w:rPr>
                <w:sz w:val="3"/>
                <w:szCs w:val="3"/>
                <w:color w:val="auto"/>
              </w:rPr>
            </w:pPr>
          </w:p>
        </w:tc>
        <w:tc>
          <w:tcPr>
            <w:tcW w:w="24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1260" w:type="dxa"/>
            <w:vAlign w:val="bottom"/>
            <w:tcBorders>
              <w:bottom w:val="single" w:sz="8" w:color="939598"/>
            </w:tcBorders>
          </w:tcPr>
          <w:p>
            <w:pPr>
              <w:spacing w:after="0"/>
              <w:rPr>
                <w:sz w:val="3"/>
                <w:szCs w:val="3"/>
                <w:color w:val="auto"/>
              </w:rPr>
            </w:pPr>
          </w:p>
        </w:tc>
        <w:tc>
          <w:tcPr>
            <w:tcW w:w="11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10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00" w:type="dxa"/>
            <w:vAlign w:val="bottom"/>
            <w:vMerge w:val="continue"/>
          </w:tcPr>
          <w:p>
            <w:pPr>
              <w:spacing w:after="0"/>
              <w:rPr>
                <w:sz w:val="7"/>
                <w:szCs w:val="7"/>
                <w:color w:val="auto"/>
              </w:rPr>
            </w:pPr>
          </w:p>
        </w:tc>
        <w:tc>
          <w:tcPr>
            <w:tcW w:w="520" w:type="dxa"/>
            <w:vAlign w:val="bottom"/>
            <w:vMerge w:val="restart"/>
          </w:tcPr>
          <w:p>
            <w:pPr>
              <w:jc w:val="right"/>
              <w:ind w:right="78"/>
              <w:spacing w:after="0"/>
              <w:rPr>
                <w:sz w:val="20"/>
                <w:szCs w:val="20"/>
                <w:color w:val="auto"/>
              </w:rPr>
            </w:pPr>
            <w:r>
              <w:rPr>
                <w:rFonts w:ascii="Arial" w:cs="Arial" w:eastAsia="Arial" w:hAnsi="Arial"/>
                <w:sz w:val="13"/>
                <w:szCs w:val="13"/>
                <w:color w:val="auto"/>
              </w:rPr>
              <w:t>2022</w:t>
            </w:r>
          </w:p>
        </w:tc>
        <w:tc>
          <w:tcPr>
            <w:tcW w:w="24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1,700,000</w:t>
            </w:r>
          </w:p>
        </w:tc>
        <w:tc>
          <w:tcPr>
            <w:tcW w:w="160" w:type="dxa"/>
            <w:vAlign w:val="bottom"/>
          </w:tcPr>
          <w:p>
            <w:pPr>
              <w:spacing w:after="0"/>
              <w:rPr>
                <w:sz w:val="7"/>
                <w:szCs w:val="7"/>
                <w:color w:val="auto"/>
              </w:rPr>
            </w:pPr>
          </w:p>
        </w:tc>
        <w:tc>
          <w:tcPr>
            <w:tcW w:w="780" w:type="dxa"/>
            <w:vAlign w:val="bottom"/>
            <w:vMerge w:val="restart"/>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38"/>
              <w:spacing w:after="0"/>
              <w:rPr>
                <w:sz w:val="20"/>
                <w:szCs w:val="20"/>
                <w:color w:val="auto"/>
              </w:rPr>
            </w:pPr>
            <w:r>
              <w:rPr>
                <w:rFonts w:ascii="Arial" w:cs="Arial" w:eastAsia="Arial" w:hAnsi="Arial"/>
                <w:sz w:val="13"/>
                <w:szCs w:val="13"/>
                <w:color w:val="auto"/>
              </w:rPr>
              <w:t>13,397,352</w:t>
            </w:r>
          </w:p>
        </w:tc>
        <w:tc>
          <w:tcPr>
            <w:tcW w:w="240" w:type="dxa"/>
            <w:vAlign w:val="bottom"/>
          </w:tcPr>
          <w:p>
            <w:pPr>
              <w:spacing w:after="0"/>
              <w:rPr>
                <w:sz w:val="7"/>
                <w:szCs w:val="7"/>
                <w:color w:val="auto"/>
              </w:rPr>
            </w:pPr>
          </w:p>
        </w:tc>
        <w:tc>
          <w:tcPr>
            <w:tcW w:w="880" w:type="dxa"/>
            <w:vAlign w:val="bottom"/>
            <w:vMerge w:val="restart"/>
          </w:tcPr>
          <w:p>
            <w:pPr>
              <w:jc w:val="right"/>
              <w:ind w:right="158"/>
              <w:spacing w:after="0"/>
              <w:rPr>
                <w:sz w:val="20"/>
                <w:szCs w:val="20"/>
                <w:color w:val="auto"/>
              </w:rPr>
            </w:pPr>
            <w:r>
              <w:rPr>
                <w:rFonts w:ascii="Arial" w:cs="Arial" w:eastAsia="Arial" w:hAnsi="Arial"/>
                <w:sz w:val="13"/>
                <w:szCs w:val="13"/>
                <w:color w:val="auto"/>
              </w:rPr>
              <w:t>5,597,460</w:t>
            </w:r>
          </w:p>
        </w:tc>
        <w:tc>
          <w:tcPr>
            <w:tcW w:w="1260" w:type="dxa"/>
            <w:vAlign w:val="bottom"/>
            <w:vMerge w:val="restart"/>
          </w:tcPr>
          <w:p>
            <w:pPr>
              <w:jc w:val="right"/>
              <w:ind w:right="199"/>
              <w:spacing w:after="0"/>
              <w:rPr>
                <w:sz w:val="20"/>
                <w:szCs w:val="20"/>
                <w:color w:val="auto"/>
              </w:rPr>
            </w:pPr>
            <w:r>
              <w:rPr>
                <w:rFonts w:ascii="Arial" w:cs="Arial" w:eastAsia="Arial" w:hAnsi="Arial"/>
                <w:sz w:val="13"/>
                <w:szCs w:val="13"/>
                <w:color w:val="auto"/>
              </w:rPr>
              <w:t>3,736,600</w:t>
            </w:r>
          </w:p>
        </w:tc>
        <w:tc>
          <w:tcPr>
            <w:tcW w:w="1140" w:type="dxa"/>
            <w:vAlign w:val="bottom"/>
            <w:vMerge w:val="restart"/>
          </w:tcPr>
          <w:p>
            <w:pPr>
              <w:jc w:val="right"/>
              <w:ind w:right="159"/>
              <w:spacing w:after="0"/>
              <w:rPr>
                <w:sz w:val="20"/>
                <w:szCs w:val="20"/>
                <w:color w:val="auto"/>
              </w:rPr>
            </w:pPr>
            <w:r>
              <w:rPr>
                <w:rFonts w:ascii="Arial" w:cs="Arial" w:eastAsia="Arial" w:hAnsi="Arial"/>
                <w:sz w:val="13"/>
                <w:szCs w:val="13"/>
                <w:color w:val="auto"/>
              </w:rPr>
              <w:t>757,453</w:t>
            </w:r>
          </w:p>
        </w:tc>
        <w:tc>
          <w:tcPr>
            <w:tcW w:w="1160" w:type="dxa"/>
            <w:vAlign w:val="bottom"/>
            <w:vMerge w:val="restart"/>
          </w:tcPr>
          <w:p>
            <w:pPr>
              <w:jc w:val="right"/>
              <w:ind w:right="138"/>
              <w:spacing w:after="0"/>
              <w:rPr>
                <w:sz w:val="20"/>
                <w:szCs w:val="20"/>
                <w:color w:val="auto"/>
              </w:rPr>
            </w:pPr>
            <w:r>
              <w:rPr>
                <w:rFonts w:ascii="Arial" w:cs="Arial" w:eastAsia="Arial" w:hAnsi="Arial"/>
                <w:sz w:val="13"/>
                <w:szCs w:val="13"/>
                <w:color w:val="auto"/>
              </w:rPr>
              <w:t>248,733</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25,437,598</w:t>
            </w:r>
          </w:p>
        </w:tc>
        <w:tc>
          <w:tcPr>
            <w:tcW w:w="0" w:type="dxa"/>
            <w:vAlign w:val="bottom"/>
          </w:tcPr>
          <w:p>
            <w:pPr>
              <w:spacing w:after="0"/>
              <w:rPr>
                <w:sz w:val="1"/>
                <w:szCs w:val="1"/>
                <w:color w:val="auto"/>
              </w:rPr>
            </w:pPr>
          </w:p>
        </w:tc>
      </w:tr>
      <w:tr>
        <w:trPr>
          <w:trHeight w:val="85"/>
        </w:trPr>
        <w:tc>
          <w:tcPr>
            <w:tcW w:w="2000" w:type="dxa"/>
            <w:vAlign w:val="bottom"/>
            <w:vMerge w:val="restart"/>
          </w:tcPr>
          <w:p>
            <w:pPr>
              <w:ind w:left="20"/>
              <w:spacing w:after="0" w:line="106" w:lineRule="exact"/>
              <w:rPr>
                <w:sz w:val="20"/>
                <w:szCs w:val="20"/>
                <w:color w:val="auto"/>
              </w:rPr>
            </w:pPr>
            <w:r>
              <w:rPr>
                <w:rFonts w:ascii="Arial" w:cs="Arial" w:eastAsia="Arial" w:hAnsi="Arial"/>
                <w:sz w:val="12"/>
                <w:szCs w:val="12"/>
                <w:color w:val="auto"/>
              </w:rPr>
              <w:t>and Former CEO</w:t>
            </w: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00" w:type="dxa"/>
            <w:vAlign w:val="bottom"/>
            <w:vMerge w:val="continue"/>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126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1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520" w:type="dxa"/>
            <w:vAlign w:val="bottom"/>
          </w:tcPr>
          <w:p>
            <w:pPr>
              <w:jc w:val="right"/>
              <w:ind w:right="78"/>
              <w:spacing w:after="0"/>
              <w:rPr>
                <w:sz w:val="20"/>
                <w:szCs w:val="20"/>
                <w:color w:val="auto"/>
              </w:rPr>
            </w:pPr>
            <w:r>
              <w:rPr>
                <w:rFonts w:ascii="Arial" w:cs="Arial" w:eastAsia="Arial" w:hAnsi="Arial"/>
                <w:sz w:val="13"/>
                <w:szCs w:val="13"/>
                <w:color w:val="auto"/>
              </w:rPr>
              <w:t>2021</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1,675,616</w:t>
            </w:r>
          </w:p>
        </w:tc>
        <w:tc>
          <w:tcPr>
            <w:tcW w:w="160" w:type="dxa"/>
            <w:vAlign w:val="bottom"/>
          </w:tcPr>
          <w:p>
            <w:pPr>
              <w:spacing w:after="0"/>
              <w:rPr>
                <w:sz w:val="14"/>
                <w:szCs w:val="14"/>
                <w:color w:val="auto"/>
              </w:rPr>
            </w:pPr>
          </w:p>
        </w:tc>
        <w:tc>
          <w:tcPr>
            <w:tcW w:w="780" w:type="dxa"/>
            <w:vAlign w:val="bottom"/>
          </w:tcPr>
          <w:p>
            <w:pPr>
              <w:jc w:val="right"/>
              <w:ind w:right="17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38"/>
              <w:spacing w:after="0"/>
              <w:rPr>
                <w:sz w:val="20"/>
                <w:szCs w:val="20"/>
                <w:color w:val="auto"/>
              </w:rPr>
            </w:pPr>
            <w:r>
              <w:rPr>
                <w:rFonts w:ascii="Arial" w:cs="Arial" w:eastAsia="Arial" w:hAnsi="Arial"/>
                <w:sz w:val="13"/>
                <w:szCs w:val="13"/>
                <w:color w:val="auto"/>
              </w:rPr>
              <w:t>14,486,389</w:t>
            </w:r>
          </w:p>
        </w:tc>
        <w:tc>
          <w:tcPr>
            <w:tcW w:w="240" w:type="dxa"/>
            <w:vAlign w:val="bottom"/>
          </w:tcPr>
          <w:p>
            <w:pPr>
              <w:spacing w:after="0"/>
              <w:rPr>
                <w:sz w:val="14"/>
                <w:szCs w:val="14"/>
                <w:color w:val="auto"/>
              </w:rPr>
            </w:pPr>
          </w:p>
        </w:tc>
        <w:tc>
          <w:tcPr>
            <w:tcW w:w="880" w:type="dxa"/>
            <w:vAlign w:val="bottom"/>
          </w:tcPr>
          <w:p>
            <w:pPr>
              <w:jc w:val="right"/>
              <w:ind w:right="158"/>
              <w:spacing w:after="0"/>
              <w:rPr>
                <w:sz w:val="20"/>
                <w:szCs w:val="20"/>
                <w:color w:val="auto"/>
              </w:rPr>
            </w:pPr>
            <w:r>
              <w:rPr>
                <w:rFonts w:ascii="Arial" w:cs="Arial" w:eastAsia="Arial" w:hAnsi="Arial"/>
                <w:sz w:val="13"/>
                <w:szCs w:val="13"/>
                <w:color w:val="auto"/>
              </w:rPr>
              <w:t>5,248,350</w:t>
            </w:r>
          </w:p>
        </w:tc>
        <w:tc>
          <w:tcPr>
            <w:tcW w:w="1260" w:type="dxa"/>
            <w:vAlign w:val="bottom"/>
          </w:tcPr>
          <w:p>
            <w:pPr>
              <w:jc w:val="right"/>
              <w:ind w:right="199"/>
              <w:spacing w:after="0"/>
              <w:rPr>
                <w:sz w:val="20"/>
                <w:szCs w:val="20"/>
                <w:color w:val="auto"/>
              </w:rPr>
            </w:pPr>
            <w:r>
              <w:rPr>
                <w:rFonts w:ascii="Arial" w:cs="Arial" w:eastAsia="Arial" w:hAnsi="Arial"/>
                <w:sz w:val="13"/>
                <w:szCs w:val="13"/>
                <w:color w:val="auto"/>
              </w:rPr>
              <w:t>3,910,000</w:t>
            </w:r>
          </w:p>
        </w:tc>
        <w:tc>
          <w:tcPr>
            <w:tcW w:w="1140" w:type="dxa"/>
            <w:vAlign w:val="bottom"/>
          </w:tcPr>
          <w:p>
            <w:pPr>
              <w:jc w:val="right"/>
              <w:ind w:right="159"/>
              <w:spacing w:after="0"/>
              <w:rPr>
                <w:sz w:val="20"/>
                <w:szCs w:val="20"/>
                <w:color w:val="auto"/>
              </w:rPr>
            </w:pPr>
            <w:r>
              <w:rPr>
                <w:rFonts w:ascii="Arial" w:cs="Arial" w:eastAsia="Arial" w:hAnsi="Arial"/>
                <w:sz w:val="13"/>
                <w:szCs w:val="13"/>
                <w:color w:val="auto"/>
              </w:rPr>
              <w:t>608,232</w:t>
            </w:r>
          </w:p>
        </w:tc>
        <w:tc>
          <w:tcPr>
            <w:tcW w:w="1160" w:type="dxa"/>
            <w:vAlign w:val="bottom"/>
          </w:tcPr>
          <w:p>
            <w:pPr>
              <w:jc w:val="right"/>
              <w:ind w:right="138"/>
              <w:spacing w:after="0"/>
              <w:rPr>
                <w:sz w:val="20"/>
                <w:szCs w:val="20"/>
                <w:color w:val="auto"/>
              </w:rPr>
            </w:pPr>
            <w:r>
              <w:rPr>
                <w:rFonts w:ascii="Arial" w:cs="Arial" w:eastAsia="Arial" w:hAnsi="Arial"/>
                <w:sz w:val="13"/>
                <w:szCs w:val="13"/>
                <w:color w:val="auto"/>
              </w:rPr>
              <w:t>171,533</w:t>
            </w:r>
          </w:p>
        </w:tc>
        <w:tc>
          <w:tcPr>
            <w:tcW w:w="1100" w:type="dxa"/>
            <w:vAlign w:val="bottom"/>
          </w:tcPr>
          <w:p>
            <w:pPr>
              <w:jc w:val="right"/>
              <w:spacing w:after="0"/>
              <w:rPr>
                <w:sz w:val="20"/>
                <w:szCs w:val="20"/>
                <w:color w:val="auto"/>
              </w:rPr>
            </w:pPr>
            <w:r>
              <w:rPr>
                <w:rFonts w:ascii="Arial" w:cs="Arial" w:eastAsia="Arial" w:hAnsi="Arial"/>
                <w:sz w:val="13"/>
                <w:szCs w:val="13"/>
                <w:color w:val="auto"/>
              </w:rPr>
              <w:t>26,100,120</w:t>
            </w:r>
          </w:p>
        </w:tc>
        <w:tc>
          <w:tcPr>
            <w:tcW w:w="0" w:type="dxa"/>
            <w:vAlign w:val="bottom"/>
          </w:tcPr>
          <w:p>
            <w:pPr>
              <w:spacing w:after="0"/>
              <w:rPr>
                <w:sz w:val="1"/>
                <w:szCs w:val="1"/>
                <w:color w:val="auto"/>
              </w:rPr>
            </w:pPr>
          </w:p>
        </w:tc>
      </w:tr>
      <w:tr>
        <w:trPr>
          <w:trHeight w:val="28"/>
        </w:trPr>
        <w:tc>
          <w:tcPr>
            <w:tcW w:w="2000" w:type="dxa"/>
            <w:vAlign w:val="bottom"/>
            <w:tcBorders>
              <w:bottom w:val="single" w:sz="8" w:color="D7282F"/>
            </w:tcBorders>
          </w:tcPr>
          <w:p>
            <w:pPr>
              <w:spacing w:after="0"/>
              <w:rPr>
                <w:sz w:val="2"/>
                <w:szCs w:val="2"/>
                <w:color w:val="auto"/>
              </w:rPr>
            </w:pPr>
          </w:p>
        </w:tc>
        <w:tc>
          <w:tcPr>
            <w:tcW w:w="52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720" w:type="dxa"/>
            <w:vAlign w:val="bottom"/>
            <w:tcBorders>
              <w:bottom w:val="single" w:sz="8" w:color="D7282F"/>
            </w:tcBorders>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78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880" w:type="dxa"/>
            <w:vAlign w:val="bottom"/>
            <w:tcBorders>
              <w:bottom w:val="single" w:sz="8" w:color="D7282F"/>
            </w:tcBorders>
          </w:tcPr>
          <w:p>
            <w:pPr>
              <w:spacing w:after="0"/>
              <w:rPr>
                <w:sz w:val="2"/>
                <w:szCs w:val="2"/>
                <w:color w:val="auto"/>
              </w:rPr>
            </w:pPr>
          </w:p>
        </w:tc>
        <w:tc>
          <w:tcPr>
            <w:tcW w:w="1260" w:type="dxa"/>
            <w:vAlign w:val="bottom"/>
            <w:tcBorders>
              <w:bottom w:val="single" w:sz="8" w:color="D7282F"/>
            </w:tcBorders>
          </w:tcPr>
          <w:p>
            <w:pPr>
              <w:spacing w:after="0"/>
              <w:rPr>
                <w:sz w:val="2"/>
                <w:szCs w:val="2"/>
                <w:color w:val="auto"/>
              </w:rPr>
            </w:pPr>
          </w:p>
        </w:tc>
        <w:tc>
          <w:tcPr>
            <w:tcW w:w="1140" w:type="dxa"/>
            <w:vAlign w:val="bottom"/>
            <w:tcBorders>
              <w:bottom w:val="single" w:sz="8" w:color="D7282F"/>
            </w:tcBorders>
          </w:tcPr>
          <w:p>
            <w:pPr>
              <w:spacing w:after="0"/>
              <w:rPr>
                <w:sz w:val="2"/>
                <w:szCs w:val="2"/>
                <w:color w:val="auto"/>
              </w:rPr>
            </w:pPr>
          </w:p>
        </w:tc>
        <w:tc>
          <w:tcPr>
            <w:tcW w:w="1160" w:type="dxa"/>
            <w:vAlign w:val="bottom"/>
            <w:tcBorders>
              <w:bottom w:val="single" w:sz="8" w:color="D7282F"/>
            </w:tcBorders>
          </w:tcPr>
          <w:p>
            <w:pPr>
              <w:spacing w:after="0"/>
              <w:rPr>
                <w:sz w:val="2"/>
                <w:szCs w:val="2"/>
                <w:color w:val="auto"/>
              </w:rPr>
            </w:pPr>
          </w:p>
        </w:tc>
        <w:tc>
          <w:tcPr>
            <w:tcW w:w="110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0" w:hanging="192"/>
        <w:spacing w:after="0"/>
        <w:tabs>
          <w:tab w:leader="none" w:pos="200" w:val="left"/>
        </w:tabs>
        <w:numPr>
          <w:ilvl w:val="0"/>
          <w:numId w:val="170"/>
        </w:numPr>
        <w:rPr>
          <w:rFonts w:ascii="Arial" w:cs="Arial" w:eastAsia="Arial" w:hAnsi="Arial"/>
          <w:sz w:val="16"/>
          <w:szCs w:val="16"/>
          <w:color w:val="auto"/>
          <w:vertAlign w:val="superscript"/>
        </w:rPr>
      </w:pPr>
      <w:r>
        <w:rPr>
          <w:rFonts w:ascii="Arial" w:cs="Arial" w:eastAsia="Arial" w:hAnsi="Arial"/>
          <w:sz w:val="13"/>
          <w:szCs w:val="13"/>
          <w:color w:val="auto"/>
        </w:rPr>
        <w:t>Mr. Currier is being reported as an NEO for the first time in 2024 (2023 compensation).</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70"/>
        </w:numPr>
        <w:rPr>
          <w:rFonts w:ascii="Arial" w:cs="Arial" w:eastAsia="Arial" w:hAnsi="Arial"/>
          <w:sz w:val="16"/>
          <w:szCs w:val="16"/>
          <w:color w:val="auto"/>
          <w:vertAlign w:val="superscript"/>
        </w:rPr>
      </w:pPr>
      <w:r>
        <w:rPr>
          <w:rFonts w:ascii="Arial" w:cs="Arial" w:eastAsia="Arial" w:hAnsi="Arial"/>
          <w:sz w:val="13"/>
          <w:szCs w:val="13"/>
          <w:color w:val="auto"/>
        </w:rPr>
        <w:t>Represents actual base salary paid in 2023.</w:t>
      </w:r>
    </w:p>
    <w:p>
      <w:pPr>
        <w:spacing w:after="0" w:line="63" w:lineRule="exact"/>
        <w:rPr>
          <w:rFonts w:ascii="Arial" w:cs="Arial" w:eastAsia="Arial" w:hAnsi="Arial"/>
          <w:sz w:val="16"/>
          <w:szCs w:val="16"/>
          <w:color w:val="auto"/>
          <w:vertAlign w:val="superscript"/>
        </w:rPr>
      </w:pPr>
    </w:p>
    <w:p>
      <w:pPr>
        <w:ind w:left="200" w:right="60" w:hanging="192"/>
        <w:spacing w:after="0" w:line="237" w:lineRule="auto"/>
        <w:tabs>
          <w:tab w:leader="none" w:pos="200" w:val="left"/>
        </w:tabs>
        <w:numPr>
          <w:ilvl w:val="0"/>
          <w:numId w:val="170"/>
        </w:numPr>
        <w:rPr>
          <w:rFonts w:ascii="Arial" w:cs="Arial" w:eastAsia="Arial" w:hAnsi="Arial"/>
          <w:sz w:val="16"/>
          <w:szCs w:val="16"/>
          <w:color w:val="auto"/>
          <w:vertAlign w:val="superscript"/>
        </w:rPr>
      </w:pPr>
      <w:r>
        <w:rPr>
          <w:rFonts w:ascii="Arial" w:cs="Arial" w:eastAsia="Arial" w:hAnsi="Arial"/>
          <w:sz w:val="13"/>
          <w:szCs w:val="13"/>
          <w:color w:val="auto"/>
        </w:rPr>
        <w:t>The 2023 Stock Awards column represents the sum of two components (i) PSU awards under the 2023-2025 Performance Plan, and (ii) RSU awards granted during the year. The unit grant date fair values of PSUs issued in 2023 were $203.07 for annual grants made to Messrs. Kapur (14,527 units), Lewis, Boldea, and Adamczyk and Ms. Madden on February 10, 2023, $200.71 for the promotional grant made to Mr. Kapur on June 1, 2023 (10,314 units), and $182.43 for the award to Mr. Currier on August 1, 2023. PSU unit values were calculated based on the value of Honeywell stock on the date of grant for the 75% of the award tied to performance against internal metrics, and (b) a multifactor Monte Carlo simulation of Honeywell’s stock price and TSR relative to each of the other companies in the Compensation Peer Group, determined in accordance with FASB ASC Topic 718, for the 25% of the award with payout determined based on three-year TSR relative to the Compensation Peer Group. The unit grant date fair values of RSUs issued in 2023 were $199.60 for annual grants made to Messrs. Kapur (7,390 RSUs), Lewis, Boldea, and Adamczyk and Ms. Madden on February 10, 2023, $194.31 for the February 23, 2023 annual grant to Mr. Currier only (742 units), $192.39 for the June 1, 2023 promotional award to Mr. Kapur (5,380 RSUs), and $193.88 for the August 1, 2023 promotional award to Mr. Currier (3,998 RSUs). RSU unit values are determined using the average of the high and low stock prices of Honeywell stock on the grant date.</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7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2023-2025</w:t>
            </w: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7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Performance</w:t>
            </w:r>
          </w:p>
        </w:tc>
        <w:tc>
          <w:tcPr>
            <w:tcW w:w="1520" w:type="dxa"/>
            <w:vAlign w:val="bottom"/>
          </w:tcPr>
          <w:p>
            <w:pPr>
              <w:jc w:val="right"/>
              <w:ind w:right="57"/>
              <w:spacing w:after="0"/>
              <w:rPr>
                <w:sz w:val="20"/>
                <w:szCs w:val="20"/>
                <w:color w:val="auto"/>
              </w:rPr>
            </w:pPr>
            <w:r>
              <w:rPr>
                <w:rFonts w:ascii="Arial" w:cs="Arial" w:eastAsia="Arial" w:hAnsi="Arial"/>
                <w:sz w:val="13"/>
                <w:szCs w:val="13"/>
                <w:b w:val="1"/>
                <w:bCs w:val="1"/>
                <w:color w:val="auto"/>
              </w:rPr>
              <w:t>Restricted Stock</w:t>
            </w: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Total Stock</w:t>
            </w:r>
          </w:p>
        </w:tc>
      </w:tr>
      <w:tr>
        <w:trPr>
          <w:trHeight w:val="185"/>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NEO</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Stock Units</w:t>
            </w:r>
          </w:p>
        </w:tc>
        <w:tc>
          <w:tcPr>
            <w:tcW w:w="1520" w:type="dxa"/>
            <w:vAlign w:val="bottom"/>
          </w:tcPr>
          <w:p>
            <w:pPr>
              <w:jc w:val="right"/>
              <w:ind w:right="57"/>
              <w:spacing w:after="0"/>
              <w:rPr>
                <w:sz w:val="20"/>
                <w:szCs w:val="20"/>
                <w:color w:val="auto"/>
              </w:rPr>
            </w:pPr>
            <w:r>
              <w:rPr>
                <w:rFonts w:ascii="Arial" w:cs="Arial" w:eastAsia="Arial" w:hAnsi="Arial"/>
                <w:sz w:val="13"/>
                <w:szCs w:val="13"/>
                <w:b w:val="1"/>
                <w:bCs w:val="1"/>
                <w:color w:val="auto"/>
              </w:rPr>
              <w:t>Units</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r>
      <w:tr>
        <w:trPr>
          <w:trHeight w:val="22"/>
        </w:trPr>
        <w:tc>
          <w:tcPr>
            <w:tcW w:w="7260" w:type="dxa"/>
            <w:vAlign w:val="bottom"/>
            <w:tcBorders>
              <w:bottom w:val="single" w:sz="8" w:color="EE2724"/>
            </w:tcBorders>
          </w:tcPr>
          <w:p>
            <w:pPr>
              <w:spacing w:after="0" w:line="20" w:lineRule="exact"/>
              <w:rPr>
                <w:sz w:val="1"/>
                <w:szCs w:val="1"/>
                <w:color w:val="auto"/>
              </w:rPr>
            </w:pPr>
          </w:p>
        </w:tc>
        <w:tc>
          <w:tcPr>
            <w:tcW w:w="900" w:type="dxa"/>
            <w:vAlign w:val="bottom"/>
            <w:tcBorders>
              <w:bottom w:val="single" w:sz="8" w:color="EE2724"/>
            </w:tcBorders>
          </w:tcPr>
          <w:p>
            <w:pPr>
              <w:spacing w:after="0" w:line="20" w:lineRule="exact"/>
              <w:rPr>
                <w:sz w:val="1"/>
                <w:szCs w:val="1"/>
                <w:color w:val="auto"/>
              </w:rPr>
            </w:pPr>
          </w:p>
        </w:tc>
        <w:tc>
          <w:tcPr>
            <w:tcW w:w="1520" w:type="dxa"/>
            <w:vAlign w:val="bottom"/>
            <w:tcBorders>
              <w:bottom w:val="single" w:sz="8" w:color="D7282F"/>
            </w:tcBorders>
          </w:tcPr>
          <w:p>
            <w:pPr>
              <w:spacing w:after="0" w:line="20" w:lineRule="exact"/>
              <w:rPr>
                <w:sz w:val="1"/>
                <w:szCs w:val="1"/>
                <w:color w:val="auto"/>
              </w:rPr>
            </w:pPr>
          </w:p>
        </w:tc>
        <w:tc>
          <w:tcPr>
            <w:tcW w:w="280" w:type="dxa"/>
            <w:vAlign w:val="bottom"/>
            <w:tcBorders>
              <w:bottom w:val="single" w:sz="8" w:color="D7282F"/>
            </w:tcBorders>
          </w:tcPr>
          <w:p>
            <w:pPr>
              <w:spacing w:after="0" w:line="20" w:lineRule="exact"/>
              <w:rPr>
                <w:sz w:val="1"/>
                <w:szCs w:val="1"/>
                <w:color w:val="auto"/>
              </w:rPr>
            </w:pPr>
          </w:p>
        </w:tc>
        <w:tc>
          <w:tcPr>
            <w:tcW w:w="800" w:type="dxa"/>
            <w:vAlign w:val="bottom"/>
            <w:tcBorders>
              <w:bottom w:val="single" w:sz="8" w:color="D7282F"/>
            </w:tcBorders>
          </w:tcPr>
          <w:p>
            <w:pPr>
              <w:spacing w:after="0" w:line="20" w:lineRule="exact"/>
              <w:rPr>
                <w:sz w:val="1"/>
                <w:szCs w:val="1"/>
                <w:color w:val="auto"/>
              </w:rPr>
            </w:pPr>
          </w:p>
        </w:tc>
      </w:tr>
      <w:tr>
        <w:trPr>
          <w:trHeight w:val="174"/>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900" w:type="dxa"/>
            <w:vAlign w:val="bottom"/>
          </w:tcPr>
          <w:p>
            <w:pPr>
              <w:jc w:val="right"/>
              <w:spacing w:after="0"/>
              <w:rPr>
                <w:sz w:val="20"/>
                <w:szCs w:val="20"/>
                <w:color w:val="auto"/>
              </w:rPr>
            </w:pPr>
            <w:r>
              <w:rPr>
                <w:rFonts w:ascii="Arial" w:cs="Arial" w:eastAsia="Arial" w:hAnsi="Arial"/>
                <w:sz w:val="13"/>
                <w:szCs w:val="13"/>
                <w:color w:val="auto"/>
              </w:rPr>
              <w:t>$   5,020,121</w:t>
            </w: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   2,510,102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7,530,223</w:t>
            </w:r>
          </w:p>
        </w:tc>
      </w:tr>
      <w:tr>
        <w:trPr>
          <w:trHeight w:val="22"/>
        </w:trPr>
        <w:tc>
          <w:tcPr>
            <w:tcW w:w="726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80" w:type="dxa"/>
            <w:vAlign w:val="bottom"/>
            <w:tcBorders>
              <w:bottom w:val="single" w:sz="8" w:color="939598"/>
            </w:tcBorders>
          </w:tcPr>
          <w:p>
            <w:pPr>
              <w:spacing w:after="0" w:line="20" w:lineRule="exact"/>
              <w:rPr>
                <w:sz w:val="1"/>
                <w:szCs w:val="1"/>
                <w:color w:val="auto"/>
              </w:rPr>
            </w:pPr>
          </w:p>
        </w:tc>
        <w:tc>
          <w:tcPr>
            <w:tcW w:w="800" w:type="dxa"/>
            <w:vAlign w:val="bottom"/>
            <w:tcBorders>
              <w:bottom w:val="single" w:sz="8" w:color="939598"/>
            </w:tcBorders>
          </w:tcPr>
          <w:p>
            <w:pPr>
              <w:spacing w:after="0" w:line="20" w:lineRule="exact"/>
              <w:rPr>
                <w:sz w:val="1"/>
                <w:szCs w:val="1"/>
                <w:color w:val="auto"/>
              </w:rPr>
            </w:pPr>
          </w:p>
        </w:tc>
      </w:tr>
      <w:tr>
        <w:trPr>
          <w:trHeight w:val="175"/>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900" w:type="dxa"/>
            <w:vAlign w:val="bottom"/>
          </w:tcPr>
          <w:p>
            <w:pPr>
              <w:jc w:val="right"/>
              <w:spacing w:after="0"/>
              <w:rPr>
                <w:sz w:val="20"/>
                <w:szCs w:val="20"/>
                <w:color w:val="auto"/>
              </w:rPr>
            </w:pPr>
            <w:r>
              <w:rPr>
                <w:rFonts w:ascii="Arial" w:cs="Arial" w:eastAsia="Arial" w:hAnsi="Arial"/>
                <w:sz w:val="13"/>
                <w:szCs w:val="13"/>
                <w:color w:val="auto"/>
              </w:rPr>
              <w:t>2,735,150</w:t>
            </w: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1,367,260</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4,102,410</w:t>
            </w:r>
          </w:p>
        </w:tc>
      </w:tr>
      <w:tr>
        <w:trPr>
          <w:trHeight w:val="22"/>
        </w:trPr>
        <w:tc>
          <w:tcPr>
            <w:tcW w:w="726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80" w:type="dxa"/>
            <w:vAlign w:val="bottom"/>
            <w:tcBorders>
              <w:bottom w:val="single" w:sz="8" w:color="939598"/>
            </w:tcBorders>
          </w:tcPr>
          <w:p>
            <w:pPr>
              <w:spacing w:after="0" w:line="20" w:lineRule="exact"/>
              <w:rPr>
                <w:sz w:val="1"/>
                <w:szCs w:val="1"/>
                <w:color w:val="auto"/>
              </w:rPr>
            </w:pPr>
          </w:p>
        </w:tc>
        <w:tc>
          <w:tcPr>
            <w:tcW w:w="800" w:type="dxa"/>
            <w:vAlign w:val="bottom"/>
            <w:tcBorders>
              <w:bottom w:val="single" w:sz="8" w:color="939598"/>
            </w:tcBorders>
          </w:tcPr>
          <w:p>
            <w:pPr>
              <w:spacing w:after="0" w:line="20" w:lineRule="exact"/>
              <w:rPr>
                <w:sz w:val="1"/>
                <w:szCs w:val="1"/>
                <w:color w:val="auto"/>
              </w:rPr>
            </w:pPr>
          </w:p>
        </w:tc>
      </w:tr>
      <w:tr>
        <w:trPr>
          <w:trHeight w:val="174"/>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Ms. Madden</w:t>
            </w:r>
          </w:p>
        </w:tc>
        <w:tc>
          <w:tcPr>
            <w:tcW w:w="900" w:type="dxa"/>
            <w:vAlign w:val="bottom"/>
          </w:tcPr>
          <w:p>
            <w:pPr>
              <w:jc w:val="right"/>
              <w:spacing w:after="0"/>
              <w:rPr>
                <w:sz w:val="20"/>
                <w:szCs w:val="20"/>
                <w:color w:val="auto"/>
              </w:rPr>
            </w:pPr>
            <w:r>
              <w:rPr>
                <w:rFonts w:ascii="Arial" w:cs="Arial" w:eastAsia="Arial" w:hAnsi="Arial"/>
                <w:sz w:val="13"/>
                <w:szCs w:val="13"/>
                <w:color w:val="auto"/>
              </w:rPr>
              <w:t>2,492,481</w:t>
            </w: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1,246,502</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3,738,983</w:t>
            </w:r>
          </w:p>
        </w:tc>
      </w:tr>
      <w:tr>
        <w:trPr>
          <w:trHeight w:val="22"/>
        </w:trPr>
        <w:tc>
          <w:tcPr>
            <w:tcW w:w="726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80" w:type="dxa"/>
            <w:vAlign w:val="bottom"/>
            <w:tcBorders>
              <w:bottom w:val="single" w:sz="8" w:color="939598"/>
            </w:tcBorders>
          </w:tcPr>
          <w:p>
            <w:pPr>
              <w:spacing w:after="0" w:line="20" w:lineRule="exact"/>
              <w:rPr>
                <w:sz w:val="1"/>
                <w:szCs w:val="1"/>
                <w:color w:val="auto"/>
              </w:rPr>
            </w:pPr>
          </w:p>
        </w:tc>
        <w:tc>
          <w:tcPr>
            <w:tcW w:w="800" w:type="dxa"/>
            <w:vAlign w:val="bottom"/>
            <w:tcBorders>
              <w:bottom w:val="single" w:sz="8" w:color="939598"/>
            </w:tcBorders>
          </w:tcPr>
          <w:p>
            <w:pPr>
              <w:spacing w:after="0" w:line="20" w:lineRule="exact"/>
              <w:rPr>
                <w:sz w:val="1"/>
                <w:szCs w:val="1"/>
                <w:color w:val="auto"/>
              </w:rPr>
            </w:pPr>
          </w:p>
        </w:tc>
      </w:tr>
      <w:tr>
        <w:trPr>
          <w:trHeight w:val="174"/>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900" w:type="dxa"/>
            <w:vAlign w:val="bottom"/>
          </w:tcPr>
          <w:p>
            <w:pPr>
              <w:jc w:val="right"/>
              <w:spacing w:after="0"/>
              <w:rPr>
                <w:sz w:val="20"/>
                <w:szCs w:val="20"/>
                <w:color w:val="auto"/>
              </w:rPr>
            </w:pPr>
            <w:r>
              <w:rPr>
                <w:rFonts w:ascii="Arial" w:cs="Arial" w:eastAsia="Arial" w:hAnsi="Arial"/>
                <w:sz w:val="13"/>
                <w:szCs w:val="13"/>
                <w:color w:val="auto"/>
              </w:rPr>
              <w:t>1,899,923</w:t>
            </w: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950,096</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2,850,019</w:t>
            </w:r>
          </w:p>
        </w:tc>
      </w:tr>
      <w:tr>
        <w:trPr>
          <w:trHeight w:val="22"/>
        </w:trPr>
        <w:tc>
          <w:tcPr>
            <w:tcW w:w="726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80" w:type="dxa"/>
            <w:vAlign w:val="bottom"/>
            <w:tcBorders>
              <w:bottom w:val="single" w:sz="8" w:color="939598"/>
            </w:tcBorders>
          </w:tcPr>
          <w:p>
            <w:pPr>
              <w:spacing w:after="0" w:line="20" w:lineRule="exact"/>
              <w:rPr>
                <w:sz w:val="1"/>
                <w:szCs w:val="1"/>
                <w:color w:val="auto"/>
              </w:rPr>
            </w:pPr>
          </w:p>
        </w:tc>
        <w:tc>
          <w:tcPr>
            <w:tcW w:w="800" w:type="dxa"/>
            <w:vAlign w:val="bottom"/>
            <w:tcBorders>
              <w:bottom w:val="single" w:sz="8" w:color="939598"/>
            </w:tcBorders>
          </w:tcPr>
          <w:p>
            <w:pPr>
              <w:spacing w:after="0" w:line="20" w:lineRule="exact"/>
              <w:rPr>
                <w:sz w:val="1"/>
                <w:szCs w:val="1"/>
                <w:color w:val="auto"/>
              </w:rPr>
            </w:pPr>
          </w:p>
        </w:tc>
      </w:tr>
      <w:tr>
        <w:trPr>
          <w:trHeight w:val="175"/>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900" w:type="dxa"/>
            <w:vAlign w:val="bottom"/>
          </w:tcPr>
          <w:p>
            <w:pPr>
              <w:jc w:val="right"/>
              <w:spacing w:after="0"/>
              <w:rPr>
                <w:sz w:val="20"/>
                <w:szCs w:val="20"/>
                <w:color w:val="auto"/>
              </w:rPr>
            </w:pPr>
            <w:r>
              <w:rPr>
                <w:rFonts w:ascii="Arial" w:cs="Arial" w:eastAsia="Arial" w:hAnsi="Arial"/>
                <w:sz w:val="13"/>
                <w:szCs w:val="13"/>
                <w:color w:val="auto"/>
              </w:rPr>
              <w:t>1,550,108</w:t>
            </w: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919,310</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2,469,418</w:t>
            </w:r>
          </w:p>
        </w:tc>
      </w:tr>
      <w:tr>
        <w:trPr>
          <w:trHeight w:val="22"/>
        </w:trPr>
        <w:tc>
          <w:tcPr>
            <w:tcW w:w="726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1520" w:type="dxa"/>
            <w:vAlign w:val="bottom"/>
            <w:tcBorders>
              <w:bottom w:val="single" w:sz="8" w:color="939598"/>
            </w:tcBorders>
          </w:tcPr>
          <w:p>
            <w:pPr>
              <w:spacing w:after="0" w:line="20" w:lineRule="exact"/>
              <w:rPr>
                <w:sz w:val="1"/>
                <w:szCs w:val="1"/>
                <w:color w:val="auto"/>
              </w:rPr>
            </w:pPr>
          </w:p>
        </w:tc>
        <w:tc>
          <w:tcPr>
            <w:tcW w:w="280" w:type="dxa"/>
            <w:vAlign w:val="bottom"/>
            <w:tcBorders>
              <w:bottom w:val="single" w:sz="8" w:color="939598"/>
            </w:tcBorders>
          </w:tcPr>
          <w:p>
            <w:pPr>
              <w:spacing w:after="0" w:line="20" w:lineRule="exact"/>
              <w:rPr>
                <w:sz w:val="1"/>
                <w:szCs w:val="1"/>
                <w:color w:val="auto"/>
              </w:rPr>
            </w:pPr>
          </w:p>
        </w:tc>
        <w:tc>
          <w:tcPr>
            <w:tcW w:w="800" w:type="dxa"/>
            <w:vAlign w:val="bottom"/>
            <w:tcBorders>
              <w:bottom w:val="single" w:sz="8" w:color="939598"/>
            </w:tcBorders>
          </w:tcPr>
          <w:p>
            <w:pPr>
              <w:spacing w:after="0" w:line="20" w:lineRule="exact"/>
              <w:rPr>
                <w:sz w:val="1"/>
                <w:szCs w:val="1"/>
                <w:color w:val="auto"/>
              </w:rPr>
            </w:pPr>
          </w:p>
        </w:tc>
      </w:tr>
      <w:tr>
        <w:trPr>
          <w:trHeight w:val="174"/>
        </w:trPr>
        <w:tc>
          <w:tcPr>
            <w:tcW w:w="7260" w:type="dxa"/>
            <w:vAlign w:val="bottom"/>
          </w:tcPr>
          <w:p>
            <w:pPr>
              <w:ind w:left="20"/>
              <w:spacing w:after="0"/>
              <w:rPr>
                <w:sz w:val="20"/>
                <w:szCs w:val="20"/>
                <w:color w:val="auto"/>
              </w:rPr>
            </w:pPr>
            <w:r>
              <w:rPr>
                <w:rFonts w:ascii="Arial" w:cs="Arial" w:eastAsia="Arial" w:hAnsi="Arial"/>
                <w:sz w:val="13"/>
                <w:szCs w:val="13"/>
                <w:b w:val="1"/>
                <w:bCs w:val="1"/>
                <w:color w:val="auto"/>
              </w:rPr>
              <w:t>Mr. Adamczyk</w:t>
            </w:r>
          </w:p>
        </w:tc>
        <w:tc>
          <w:tcPr>
            <w:tcW w:w="900" w:type="dxa"/>
            <w:vAlign w:val="bottom"/>
          </w:tcPr>
          <w:p>
            <w:pPr>
              <w:jc w:val="right"/>
              <w:spacing w:after="0"/>
              <w:rPr>
                <w:sz w:val="20"/>
                <w:szCs w:val="20"/>
                <w:color w:val="auto"/>
              </w:rPr>
            </w:pPr>
            <w:r>
              <w:rPr>
                <w:rFonts w:ascii="Arial" w:cs="Arial" w:eastAsia="Arial" w:hAnsi="Arial"/>
                <w:sz w:val="13"/>
                <w:szCs w:val="13"/>
                <w:color w:val="auto"/>
              </w:rPr>
              <w:t>9,000,265</w:t>
            </w:r>
          </w:p>
        </w:tc>
        <w:tc>
          <w:tcPr>
            <w:tcW w:w="1520" w:type="dxa"/>
            <w:vAlign w:val="bottom"/>
          </w:tcPr>
          <w:p>
            <w:pPr>
              <w:jc w:val="right"/>
              <w:ind w:right="97"/>
              <w:spacing w:after="0"/>
              <w:rPr>
                <w:sz w:val="20"/>
                <w:szCs w:val="20"/>
                <w:color w:val="auto"/>
              </w:rPr>
            </w:pPr>
            <w:r>
              <w:rPr>
                <w:rFonts w:ascii="Arial" w:cs="Arial" w:eastAsia="Arial" w:hAnsi="Arial"/>
                <w:sz w:val="13"/>
                <w:szCs w:val="13"/>
                <w:color w:val="auto"/>
              </w:rPr>
              <w:t>4,499,982</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13,500,247</w:t>
            </w:r>
          </w:p>
        </w:tc>
      </w:tr>
      <w:tr>
        <w:trPr>
          <w:trHeight w:val="22"/>
        </w:trPr>
        <w:tc>
          <w:tcPr>
            <w:tcW w:w="7260" w:type="dxa"/>
            <w:vAlign w:val="bottom"/>
            <w:tcBorders>
              <w:bottom w:val="single" w:sz="8" w:color="EE2724"/>
            </w:tcBorders>
          </w:tcPr>
          <w:p>
            <w:pPr>
              <w:spacing w:after="0" w:line="20" w:lineRule="exact"/>
              <w:rPr>
                <w:sz w:val="1"/>
                <w:szCs w:val="1"/>
                <w:color w:val="auto"/>
              </w:rPr>
            </w:pPr>
          </w:p>
        </w:tc>
        <w:tc>
          <w:tcPr>
            <w:tcW w:w="900" w:type="dxa"/>
            <w:vAlign w:val="bottom"/>
            <w:tcBorders>
              <w:bottom w:val="single" w:sz="8" w:color="EE2724"/>
            </w:tcBorders>
          </w:tcPr>
          <w:p>
            <w:pPr>
              <w:spacing w:after="0" w:line="20" w:lineRule="exact"/>
              <w:rPr>
                <w:sz w:val="1"/>
                <w:szCs w:val="1"/>
                <w:color w:val="auto"/>
              </w:rPr>
            </w:pPr>
          </w:p>
        </w:tc>
        <w:tc>
          <w:tcPr>
            <w:tcW w:w="1520" w:type="dxa"/>
            <w:vAlign w:val="bottom"/>
            <w:tcBorders>
              <w:bottom w:val="single" w:sz="8" w:color="EE2724"/>
            </w:tcBorders>
          </w:tcPr>
          <w:p>
            <w:pPr>
              <w:spacing w:after="0" w:line="20" w:lineRule="exact"/>
              <w:rPr>
                <w:sz w:val="1"/>
                <w:szCs w:val="1"/>
                <w:color w:val="auto"/>
              </w:rPr>
            </w:pPr>
          </w:p>
        </w:tc>
        <w:tc>
          <w:tcPr>
            <w:tcW w:w="280" w:type="dxa"/>
            <w:vAlign w:val="bottom"/>
            <w:tcBorders>
              <w:bottom w:val="single" w:sz="8" w:color="EE2724"/>
            </w:tcBorders>
          </w:tcPr>
          <w:p>
            <w:pPr>
              <w:spacing w:after="0" w:line="20" w:lineRule="exact"/>
              <w:rPr>
                <w:sz w:val="1"/>
                <w:szCs w:val="1"/>
                <w:color w:val="auto"/>
              </w:rPr>
            </w:pPr>
          </w:p>
        </w:tc>
        <w:tc>
          <w:tcPr>
            <w:tcW w:w="800" w:type="dxa"/>
            <w:vAlign w:val="bottom"/>
            <w:tcBorders>
              <w:bottom w:val="single" w:sz="8" w:color="EE2724"/>
            </w:tcBorders>
          </w:tcPr>
          <w:p>
            <w:pPr>
              <w:spacing w:after="0" w:line="20" w:lineRule="exact"/>
              <w:rPr>
                <w:sz w:val="1"/>
                <w:szCs w:val="1"/>
                <w:color w:val="auto"/>
              </w:rPr>
            </w:pPr>
          </w:p>
        </w:tc>
      </w:tr>
    </w:tbl>
    <w:p>
      <w:pPr>
        <w:spacing w:after="0" w:line="144" w:lineRule="exact"/>
        <w:rPr>
          <w:sz w:val="20"/>
          <w:szCs w:val="20"/>
          <w:color w:val="auto"/>
        </w:rPr>
      </w:pPr>
    </w:p>
    <w:p>
      <w:pPr>
        <w:ind w:left="200" w:right="20" w:hanging="192"/>
        <w:spacing w:after="0" w:line="247" w:lineRule="auto"/>
        <w:tabs>
          <w:tab w:leader="none" w:pos="200" w:val="left"/>
        </w:tabs>
        <w:numPr>
          <w:ilvl w:val="0"/>
          <w:numId w:val="171"/>
        </w:numPr>
        <w:rPr>
          <w:rFonts w:ascii="Arial" w:cs="Arial" w:eastAsia="Arial" w:hAnsi="Arial"/>
          <w:sz w:val="15"/>
          <w:szCs w:val="15"/>
          <w:color w:val="auto"/>
          <w:vertAlign w:val="superscript"/>
        </w:rPr>
      </w:pPr>
      <w:r>
        <w:rPr>
          <w:rFonts w:ascii="Arial" w:cs="Arial" w:eastAsia="Arial" w:hAnsi="Arial"/>
          <w:sz w:val="12"/>
          <w:szCs w:val="12"/>
          <w:color w:val="auto"/>
        </w:rPr>
        <w:t>The 2023 Option Awards shown reflect the aggregate grant date fair value of the awards computed in accordance with FASB ASC Topic 718, using the Black-Scholes option-pricing model at the time of grant, with the expected-term input derived from a risk-adjusted Monte Carlo simulation of the historical exercise behavior and probability-weighted movements in Honeywell’s stock price over time. Annual officer stock options were awarded to Messrs. Kapur (36,960 options), Lewis, Boldea, and Adamczyk and Ms. Madden on February 10, 2023, at a Black-Scholes value of $39.91 per option. Mr. Kapur received an additional stock option award (28,592 options) in connection with his promotion to Honeywell CEO on June 1, 2023, at a Black-Scholes value of $36.20 per option.</w:t>
      </w:r>
    </w:p>
    <w:p>
      <w:pPr>
        <w:spacing w:after="0" w:line="2" w:lineRule="exact"/>
        <w:rPr>
          <w:rFonts w:ascii="Arial" w:cs="Arial" w:eastAsia="Arial" w:hAnsi="Arial"/>
          <w:sz w:val="15"/>
          <w:szCs w:val="15"/>
          <w:color w:val="auto"/>
          <w:vertAlign w:val="superscript"/>
        </w:rPr>
      </w:pPr>
    </w:p>
    <w:p>
      <w:pPr>
        <w:ind w:left="200" w:right="60"/>
        <w:spacing w:after="0" w:line="252" w:lineRule="auto"/>
        <w:rPr>
          <w:rFonts w:ascii="Arial" w:cs="Arial" w:eastAsia="Arial" w:hAnsi="Arial"/>
          <w:sz w:val="15"/>
          <w:szCs w:val="15"/>
          <w:color w:val="auto"/>
          <w:vertAlign w:val="superscript"/>
        </w:rPr>
      </w:pPr>
      <w:r>
        <w:rPr>
          <w:rFonts w:ascii="Arial" w:cs="Arial" w:eastAsia="Arial" w:hAnsi="Arial"/>
          <w:sz w:val="13"/>
          <w:szCs w:val="13"/>
          <w:color w:val="auto"/>
        </w:rPr>
        <w:t>Mr. Currier received his annual award (3,719 options) on February 23, 2023 at a Black-Scholes value of $38.73 per option, and an additional stock options award (20,552 options) at the time of his promotion to CEO and President, Aerospace on August 1, 2023, at a Black-Scholes value of $37.71 per option. A discussion of the assumptions used in the valuation of option awards made in fiscal year 2023 may be found in Note 15 of the Notes to the Financial Statements in the Company’s Form 10-K for the year ended December 31,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81</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hanging="192"/>
        <w:spacing w:after="0" w:line="237" w:lineRule="auto"/>
        <w:tabs>
          <w:tab w:leader="none" w:pos="200" w:val="left"/>
        </w:tabs>
        <w:numPr>
          <w:ilvl w:val="0"/>
          <w:numId w:val="172"/>
        </w:numPr>
        <w:rPr>
          <w:rFonts w:ascii="Arial" w:cs="Arial" w:eastAsia="Arial" w:hAnsi="Arial"/>
          <w:sz w:val="16"/>
          <w:szCs w:val="16"/>
          <w:color w:val="auto"/>
          <w:vertAlign w:val="superscript"/>
        </w:rPr>
      </w:pPr>
      <w:r>
        <w:rPr>
          <w:rFonts w:ascii="Arial" w:cs="Arial" w:eastAsia="Arial" w:hAnsi="Arial"/>
          <w:sz w:val="13"/>
          <w:szCs w:val="13"/>
          <w:color w:val="auto"/>
        </w:rPr>
        <w:t>The 2023 Non-Equity Incentive Plan Compensation value for each NEO, except Mr. Currier, represents their annual ICP award for the 2023 plan year. 80% of the ICP award is determined using the pre-set formulaic methodology discussed beginning on page 61, 15% is based on individual assessments determined by the MDCC discussed beginning on page 63, and the remaining 5% is based on ESG metrics discussed on page 67. The amount for Mr. Currier includes the sum of both his 2023 annual ICP award and his earned payout from Performance Plan cash units issued for the January 1, 2021–December 31, 2023 cycle, that is required to be reported in the final year of the performance period under SEC rules, even though granted in 2021 and covering a three-year period. The following table provides the breakdown of the amounts reported as 2023 Non-Equity Incentive Plan Compensation for Mr. Currier:</w:t>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00" w:type="dxa"/>
            <w:vAlign w:val="bottom"/>
          </w:tcPr>
          <w:p>
            <w:pPr>
              <w:jc w:val="right"/>
              <w:ind w:right="157"/>
              <w:spacing w:after="0"/>
              <w:rPr>
                <w:sz w:val="20"/>
                <w:szCs w:val="20"/>
                <w:color w:val="auto"/>
              </w:rPr>
            </w:pPr>
            <w:r>
              <w:rPr>
                <w:rFonts w:ascii="Arial" w:cs="Arial" w:eastAsia="Arial" w:hAnsi="Arial"/>
                <w:sz w:val="13"/>
                <w:szCs w:val="13"/>
                <w:b w:val="1"/>
                <w:bCs w:val="1"/>
                <w:color w:val="auto"/>
              </w:rPr>
              <w:t>2021-2023</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Total Non-Equity</w:t>
            </w:r>
          </w:p>
        </w:tc>
      </w:tr>
      <w:tr>
        <w:trPr>
          <w:trHeight w:val="162"/>
        </w:trPr>
        <w:tc>
          <w:tcPr>
            <w:tcW w:w="70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2023 ICP</w:t>
            </w:r>
          </w:p>
        </w:tc>
        <w:tc>
          <w:tcPr>
            <w:tcW w:w="1700" w:type="dxa"/>
            <w:vAlign w:val="bottom"/>
          </w:tcPr>
          <w:p>
            <w:pPr>
              <w:jc w:val="right"/>
              <w:ind w:right="157"/>
              <w:spacing w:after="0"/>
              <w:rPr>
                <w:sz w:val="20"/>
                <w:szCs w:val="20"/>
                <w:color w:val="auto"/>
              </w:rPr>
            </w:pPr>
            <w:r>
              <w:rPr>
                <w:rFonts w:ascii="Arial" w:cs="Arial" w:eastAsia="Arial" w:hAnsi="Arial"/>
                <w:sz w:val="13"/>
                <w:szCs w:val="13"/>
                <w:b w:val="1"/>
                <w:bCs w:val="1"/>
                <w:color w:val="auto"/>
              </w:rPr>
              <w:t>Performance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r>
      <w:tr>
        <w:trPr>
          <w:trHeight w:val="172"/>
        </w:trPr>
        <w:tc>
          <w:tcPr>
            <w:tcW w:w="7040" w:type="dxa"/>
            <w:vAlign w:val="bottom"/>
          </w:tcPr>
          <w:p>
            <w:pPr>
              <w:ind w:left="20"/>
              <w:spacing w:after="0"/>
              <w:rPr>
                <w:sz w:val="20"/>
                <w:szCs w:val="20"/>
                <w:color w:val="auto"/>
              </w:rPr>
            </w:pPr>
            <w:r>
              <w:rPr>
                <w:rFonts w:ascii="Arial" w:cs="Arial" w:eastAsia="Arial" w:hAnsi="Arial"/>
                <w:sz w:val="13"/>
                <w:szCs w:val="13"/>
                <w:b w:val="1"/>
                <w:bCs w:val="1"/>
                <w:color w:val="auto"/>
              </w:rPr>
              <w:t>NEO</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Award</w:t>
            </w:r>
          </w:p>
        </w:tc>
        <w:tc>
          <w:tcPr>
            <w:tcW w:w="1700" w:type="dxa"/>
            <w:vAlign w:val="bottom"/>
          </w:tcPr>
          <w:p>
            <w:pPr>
              <w:jc w:val="right"/>
              <w:ind w:right="157"/>
              <w:spacing w:after="0"/>
              <w:rPr>
                <w:sz w:val="20"/>
                <w:szCs w:val="20"/>
                <w:color w:val="auto"/>
              </w:rPr>
            </w:pPr>
            <w:r>
              <w:rPr>
                <w:rFonts w:ascii="Arial" w:cs="Arial" w:eastAsia="Arial" w:hAnsi="Arial"/>
                <w:sz w:val="13"/>
                <w:szCs w:val="13"/>
                <w:b w:val="1"/>
                <w:bCs w:val="1"/>
                <w:color w:val="auto"/>
              </w:rPr>
              <w:t>Cash Unit Payout</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22"/>
        </w:trPr>
        <w:tc>
          <w:tcPr>
            <w:tcW w:w="7040" w:type="dxa"/>
            <w:vAlign w:val="bottom"/>
            <w:tcBorders>
              <w:bottom w:val="single" w:sz="8" w:color="EE2724"/>
            </w:tcBorders>
          </w:tcPr>
          <w:p>
            <w:pPr>
              <w:spacing w:after="0" w:line="20" w:lineRule="exact"/>
              <w:rPr>
                <w:sz w:val="1"/>
                <w:szCs w:val="1"/>
                <w:color w:val="auto"/>
              </w:rPr>
            </w:pPr>
          </w:p>
        </w:tc>
        <w:tc>
          <w:tcPr>
            <w:tcW w:w="780" w:type="dxa"/>
            <w:vAlign w:val="bottom"/>
            <w:tcBorders>
              <w:bottom w:val="single" w:sz="8" w:color="EE2724"/>
            </w:tcBorders>
          </w:tcPr>
          <w:p>
            <w:pPr>
              <w:spacing w:after="0" w:line="20" w:lineRule="exact"/>
              <w:rPr>
                <w:sz w:val="1"/>
                <w:szCs w:val="1"/>
                <w:color w:val="auto"/>
              </w:rPr>
            </w:pPr>
          </w:p>
        </w:tc>
        <w:tc>
          <w:tcPr>
            <w:tcW w:w="1700" w:type="dxa"/>
            <w:vAlign w:val="bottom"/>
            <w:tcBorders>
              <w:bottom w:val="single" w:sz="8" w:color="D7282F"/>
            </w:tcBorders>
          </w:tcPr>
          <w:p>
            <w:pPr>
              <w:spacing w:after="0" w:line="20" w:lineRule="exact"/>
              <w:rPr>
                <w:sz w:val="1"/>
                <w:szCs w:val="1"/>
                <w:color w:val="auto"/>
              </w:rPr>
            </w:pPr>
          </w:p>
        </w:tc>
        <w:tc>
          <w:tcPr>
            <w:tcW w:w="1240" w:type="dxa"/>
            <w:vAlign w:val="bottom"/>
            <w:tcBorders>
              <w:bottom w:val="single" w:sz="8" w:color="D7282F"/>
            </w:tcBorders>
          </w:tcPr>
          <w:p>
            <w:pPr>
              <w:spacing w:after="0" w:line="20" w:lineRule="exact"/>
              <w:rPr>
                <w:sz w:val="1"/>
                <w:szCs w:val="1"/>
                <w:color w:val="auto"/>
              </w:rPr>
            </w:pPr>
          </w:p>
        </w:tc>
      </w:tr>
      <w:tr>
        <w:trPr>
          <w:trHeight w:val="175"/>
        </w:trPr>
        <w:tc>
          <w:tcPr>
            <w:tcW w:w="704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780" w:type="dxa"/>
            <w:vAlign w:val="bottom"/>
          </w:tcPr>
          <w:p>
            <w:pPr>
              <w:jc w:val="right"/>
              <w:spacing w:after="0"/>
              <w:rPr>
                <w:sz w:val="20"/>
                <w:szCs w:val="20"/>
                <w:color w:val="auto"/>
              </w:rPr>
            </w:pPr>
            <w:r>
              <w:rPr>
                <w:rFonts w:ascii="Arial" w:cs="Arial" w:eastAsia="Arial" w:hAnsi="Arial"/>
                <w:sz w:val="13"/>
                <w:szCs w:val="13"/>
                <w:color w:val="auto"/>
              </w:rPr>
              <w:t>$   700,800</w:t>
            </w:r>
          </w:p>
        </w:tc>
        <w:tc>
          <w:tcPr>
            <w:tcW w:w="1700" w:type="dxa"/>
            <w:vAlign w:val="bottom"/>
          </w:tcPr>
          <w:p>
            <w:pPr>
              <w:jc w:val="right"/>
              <w:ind w:right="197"/>
              <w:spacing w:after="0"/>
              <w:rPr>
                <w:sz w:val="20"/>
                <w:szCs w:val="20"/>
                <w:color w:val="auto"/>
              </w:rPr>
            </w:pPr>
            <w:r>
              <w:rPr>
                <w:rFonts w:ascii="Arial" w:cs="Arial" w:eastAsia="Arial" w:hAnsi="Arial"/>
                <w:sz w:val="13"/>
                <w:szCs w:val="13"/>
                <w:color w:val="auto"/>
              </w:rPr>
              <w:t>$   128,892</w:t>
            </w:r>
          </w:p>
        </w:tc>
        <w:tc>
          <w:tcPr>
            <w:tcW w:w="1240" w:type="dxa"/>
            <w:vAlign w:val="bottom"/>
          </w:tcPr>
          <w:p>
            <w:pPr>
              <w:jc w:val="right"/>
              <w:spacing w:after="0"/>
              <w:rPr>
                <w:sz w:val="20"/>
                <w:szCs w:val="20"/>
                <w:color w:val="auto"/>
              </w:rPr>
            </w:pPr>
            <w:r>
              <w:rPr>
                <w:rFonts w:ascii="Arial" w:cs="Arial" w:eastAsia="Arial" w:hAnsi="Arial"/>
                <w:sz w:val="13"/>
                <w:szCs w:val="13"/>
                <w:color w:val="auto"/>
              </w:rPr>
              <w:t>$   829,692</w:t>
            </w:r>
          </w:p>
        </w:tc>
      </w:tr>
      <w:tr>
        <w:trPr>
          <w:trHeight w:val="22"/>
        </w:trPr>
        <w:tc>
          <w:tcPr>
            <w:tcW w:w="7040" w:type="dxa"/>
            <w:vAlign w:val="bottom"/>
            <w:tcBorders>
              <w:bottom w:val="single" w:sz="8" w:color="D7282F"/>
            </w:tcBorders>
          </w:tcPr>
          <w:p>
            <w:pPr>
              <w:spacing w:after="0" w:line="20" w:lineRule="exact"/>
              <w:rPr>
                <w:sz w:val="1"/>
                <w:szCs w:val="1"/>
                <w:color w:val="auto"/>
              </w:rPr>
            </w:pPr>
          </w:p>
        </w:tc>
        <w:tc>
          <w:tcPr>
            <w:tcW w:w="780" w:type="dxa"/>
            <w:vAlign w:val="bottom"/>
            <w:tcBorders>
              <w:bottom w:val="single" w:sz="8" w:color="D7282F"/>
            </w:tcBorders>
          </w:tcPr>
          <w:p>
            <w:pPr>
              <w:spacing w:after="0" w:line="20" w:lineRule="exact"/>
              <w:rPr>
                <w:sz w:val="1"/>
                <w:szCs w:val="1"/>
                <w:color w:val="auto"/>
              </w:rPr>
            </w:pPr>
          </w:p>
        </w:tc>
        <w:tc>
          <w:tcPr>
            <w:tcW w:w="1700" w:type="dxa"/>
            <w:vAlign w:val="bottom"/>
            <w:tcBorders>
              <w:bottom w:val="single" w:sz="8" w:color="D7282F"/>
            </w:tcBorders>
          </w:tcPr>
          <w:p>
            <w:pPr>
              <w:spacing w:after="0" w:line="20" w:lineRule="exact"/>
              <w:rPr>
                <w:sz w:val="1"/>
                <w:szCs w:val="1"/>
                <w:color w:val="auto"/>
              </w:rPr>
            </w:pPr>
          </w:p>
        </w:tc>
        <w:tc>
          <w:tcPr>
            <w:tcW w:w="1240" w:type="dxa"/>
            <w:vAlign w:val="bottom"/>
            <w:tcBorders>
              <w:bottom w:val="single" w:sz="8" w:color="D7282F"/>
            </w:tcBorders>
          </w:tcPr>
          <w:p>
            <w:pPr>
              <w:spacing w:after="0" w:line="20" w:lineRule="exact"/>
              <w:rPr>
                <w:sz w:val="1"/>
                <w:szCs w:val="1"/>
                <w:color w:val="auto"/>
              </w:rPr>
            </w:pPr>
          </w:p>
        </w:tc>
      </w:tr>
    </w:tbl>
    <w:p>
      <w:pPr>
        <w:spacing w:after="0" w:line="144" w:lineRule="exact"/>
        <w:rPr>
          <w:sz w:val="20"/>
          <w:szCs w:val="20"/>
          <w:color w:val="auto"/>
        </w:rPr>
      </w:pPr>
    </w:p>
    <w:p>
      <w:pPr>
        <w:ind w:left="200" w:right="40" w:hanging="192"/>
        <w:spacing w:after="0" w:line="236" w:lineRule="auto"/>
        <w:tabs>
          <w:tab w:leader="none" w:pos="200" w:val="left"/>
        </w:tabs>
        <w:numPr>
          <w:ilvl w:val="0"/>
          <w:numId w:val="173"/>
        </w:numPr>
        <w:rPr>
          <w:rFonts w:ascii="Arial" w:cs="Arial" w:eastAsia="Arial" w:hAnsi="Arial"/>
          <w:sz w:val="16"/>
          <w:szCs w:val="16"/>
          <w:color w:val="auto"/>
          <w:vertAlign w:val="superscript"/>
        </w:rPr>
      </w:pPr>
      <w:r>
        <w:rPr>
          <w:rFonts w:ascii="Arial" w:cs="Arial" w:eastAsia="Arial" w:hAnsi="Arial"/>
          <w:sz w:val="13"/>
          <w:szCs w:val="13"/>
          <w:color w:val="auto"/>
        </w:rPr>
        <w:t>Represents (i) the aggregate change in the present value of each Named Executive Officer’s accumulated benefit under the Company’s pension plans from December 31, 2022 to December 31, 2023 (as disclosed in the Pension Benefits table on page 87 of this Proxy Statement) and (ii) interest earned in 2023 on deferred compensation that is considered “above-market interest” under SEC rules (as discussed beginning on page 89).</w:t>
      </w:r>
    </w:p>
    <w:p>
      <w:pPr>
        <w:spacing w:after="0" w:line="10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Total Change in Pension</w:t>
            </w:r>
          </w:p>
        </w:tc>
      </w:tr>
      <w:tr>
        <w:trPr>
          <w:trHeight w:val="162"/>
        </w:trPr>
        <w:tc>
          <w:tcPr>
            <w:tcW w:w="5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Value and Nonqualified</w:t>
            </w:r>
          </w:p>
        </w:tc>
      </w:tr>
      <w:tr>
        <w:trPr>
          <w:trHeight w:val="148"/>
        </w:trPr>
        <w:tc>
          <w:tcPr>
            <w:tcW w:w="5920" w:type="dxa"/>
            <w:vAlign w:val="bottom"/>
          </w:tcPr>
          <w:p>
            <w:pPr>
              <w:spacing w:after="0"/>
              <w:rPr>
                <w:sz w:val="12"/>
                <w:szCs w:val="12"/>
                <w:color w:val="auto"/>
              </w:rPr>
            </w:pPr>
          </w:p>
        </w:tc>
        <w:tc>
          <w:tcPr>
            <w:tcW w:w="1600" w:type="dxa"/>
            <w:vAlign w:val="bottom"/>
          </w:tcPr>
          <w:p>
            <w:pPr>
              <w:jc w:val="right"/>
              <w:ind w:right="177"/>
              <w:spacing w:after="0"/>
              <w:rPr>
                <w:sz w:val="20"/>
                <w:szCs w:val="20"/>
                <w:color w:val="auto"/>
              </w:rPr>
            </w:pPr>
            <w:r>
              <w:rPr>
                <w:rFonts w:ascii="Arial" w:cs="Arial" w:eastAsia="Arial" w:hAnsi="Arial"/>
                <w:sz w:val="13"/>
                <w:szCs w:val="13"/>
                <w:b w:val="1"/>
                <w:bCs w:val="1"/>
                <w:color w:val="auto"/>
              </w:rPr>
              <w:t>Change in</w:t>
            </w:r>
          </w:p>
        </w:tc>
        <w:tc>
          <w:tcPr>
            <w:tcW w:w="148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Deferred Compensation</w:t>
            </w:r>
          </w:p>
        </w:tc>
      </w:tr>
      <w:tr>
        <w:trPr>
          <w:trHeight w:val="193"/>
        </w:trPr>
        <w:tc>
          <w:tcPr>
            <w:tcW w:w="5920" w:type="dxa"/>
            <w:vAlign w:val="bottom"/>
            <w:tcBorders>
              <w:bottom w:val="single" w:sz="8" w:color="EE2724"/>
            </w:tcBorders>
          </w:tcPr>
          <w:p>
            <w:pPr>
              <w:ind w:left="20"/>
              <w:spacing w:after="0"/>
              <w:rPr>
                <w:sz w:val="20"/>
                <w:szCs w:val="20"/>
                <w:color w:val="auto"/>
              </w:rPr>
            </w:pPr>
            <w:r>
              <w:rPr>
                <w:rFonts w:ascii="Arial" w:cs="Arial" w:eastAsia="Arial" w:hAnsi="Arial"/>
                <w:sz w:val="13"/>
                <w:szCs w:val="13"/>
                <w:b w:val="1"/>
                <w:bCs w:val="1"/>
                <w:color w:val="auto"/>
              </w:rPr>
              <w:t>NEO</w:t>
            </w:r>
          </w:p>
        </w:tc>
        <w:tc>
          <w:tcPr>
            <w:tcW w:w="1600" w:type="dxa"/>
            <w:vAlign w:val="bottom"/>
            <w:tcBorders>
              <w:bottom w:val="single" w:sz="8" w:color="D7282F"/>
            </w:tcBorders>
          </w:tcPr>
          <w:p>
            <w:pPr>
              <w:jc w:val="right"/>
              <w:ind w:right="177"/>
              <w:spacing w:after="0"/>
              <w:rPr>
                <w:sz w:val="20"/>
                <w:szCs w:val="20"/>
                <w:color w:val="auto"/>
              </w:rPr>
            </w:pPr>
            <w:r>
              <w:rPr>
                <w:rFonts w:ascii="Arial" w:cs="Arial" w:eastAsia="Arial" w:hAnsi="Arial"/>
                <w:sz w:val="13"/>
                <w:szCs w:val="13"/>
                <w:b w:val="1"/>
                <w:bCs w:val="1"/>
                <w:color w:val="auto"/>
              </w:rPr>
              <w:t>Pension Value</w:t>
            </w:r>
            <w:r>
              <w:rPr>
                <w:rFonts w:ascii="Arial" w:cs="Arial" w:eastAsia="Arial" w:hAnsi="Arial"/>
                <w:sz w:val="16"/>
                <w:szCs w:val="16"/>
                <w:b w:val="1"/>
                <w:bCs w:val="1"/>
                <w:color w:val="auto"/>
                <w:vertAlign w:val="superscript"/>
              </w:rPr>
              <w:t>(a)</w:t>
            </w:r>
          </w:p>
        </w:tc>
        <w:tc>
          <w:tcPr>
            <w:tcW w:w="1480" w:type="dxa"/>
            <w:vAlign w:val="bottom"/>
            <w:tcBorders>
              <w:bottom w:val="single" w:sz="8" w:color="D7282F"/>
            </w:tcBorders>
          </w:tcPr>
          <w:p>
            <w:pPr>
              <w:jc w:val="right"/>
              <w:ind w:right="197"/>
              <w:spacing w:after="0"/>
              <w:rPr>
                <w:sz w:val="20"/>
                <w:szCs w:val="20"/>
                <w:color w:val="auto"/>
              </w:rPr>
            </w:pPr>
            <w:r>
              <w:rPr>
                <w:rFonts w:ascii="Arial" w:cs="Arial" w:eastAsia="Arial" w:hAnsi="Arial"/>
                <w:sz w:val="13"/>
                <w:szCs w:val="13"/>
                <w:b w:val="1"/>
                <w:bCs w:val="1"/>
                <w:color w:val="auto"/>
              </w:rPr>
              <w:t>NQDC Interest</w:t>
            </w:r>
            <w:r>
              <w:rPr>
                <w:rFonts w:ascii="Arial" w:cs="Arial" w:eastAsia="Arial" w:hAnsi="Arial"/>
                <w:sz w:val="16"/>
                <w:szCs w:val="16"/>
                <w:b w:val="1"/>
                <w:bCs w:val="1"/>
                <w:color w:val="auto"/>
                <w:vertAlign w:val="superscript"/>
              </w:rPr>
              <w:t>(b)</w:t>
            </w:r>
          </w:p>
        </w:tc>
        <w:tc>
          <w:tcPr>
            <w:tcW w:w="176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Earnings</w:t>
            </w:r>
          </w:p>
        </w:tc>
      </w:tr>
      <w:tr>
        <w:trPr>
          <w:trHeight w:val="174"/>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   260,766</w:t>
            </w:r>
          </w:p>
        </w:tc>
        <w:tc>
          <w:tcPr>
            <w:tcW w:w="1480" w:type="dxa"/>
            <w:vAlign w:val="bottom"/>
          </w:tcPr>
          <w:p>
            <w:pPr>
              <w:jc w:val="right"/>
              <w:ind w:right="257"/>
              <w:spacing w:after="0"/>
              <w:rPr>
                <w:sz w:val="20"/>
                <w:szCs w:val="20"/>
                <w:color w:val="auto"/>
              </w:rPr>
            </w:pPr>
            <w:r>
              <w:rPr>
                <w:rFonts w:ascii="Arial" w:cs="Arial" w:eastAsia="Arial" w:hAnsi="Arial"/>
                <w:sz w:val="13"/>
                <w:szCs w:val="13"/>
                <w:color w:val="auto"/>
              </w:rPr>
              <w:t>$  23,072</w:t>
            </w:r>
          </w:p>
        </w:tc>
        <w:tc>
          <w:tcPr>
            <w:tcW w:w="1760" w:type="dxa"/>
            <w:vAlign w:val="bottom"/>
          </w:tcPr>
          <w:p>
            <w:pPr>
              <w:jc w:val="right"/>
              <w:spacing w:after="0"/>
              <w:rPr>
                <w:sz w:val="20"/>
                <w:szCs w:val="20"/>
                <w:color w:val="auto"/>
              </w:rPr>
            </w:pPr>
            <w:r>
              <w:rPr>
                <w:rFonts w:ascii="Arial" w:cs="Arial" w:eastAsia="Arial" w:hAnsi="Arial"/>
                <w:sz w:val="13"/>
                <w:szCs w:val="13"/>
                <w:color w:val="auto"/>
              </w:rPr>
              <w:t>$   283,838</w:t>
            </w:r>
          </w:p>
        </w:tc>
      </w:tr>
      <w:tr>
        <w:trPr>
          <w:trHeight w:val="22"/>
        </w:trPr>
        <w:tc>
          <w:tcPr>
            <w:tcW w:w="592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1760" w:type="dxa"/>
            <w:vAlign w:val="bottom"/>
            <w:tcBorders>
              <w:bottom w:val="single" w:sz="8" w:color="939598"/>
            </w:tcBorders>
          </w:tcPr>
          <w:p>
            <w:pPr>
              <w:spacing w:after="0" w:line="20" w:lineRule="exact"/>
              <w:rPr>
                <w:sz w:val="1"/>
                <w:szCs w:val="1"/>
                <w:color w:val="auto"/>
              </w:rPr>
            </w:pPr>
          </w:p>
        </w:tc>
      </w:tr>
      <w:tr>
        <w:trPr>
          <w:trHeight w:val="174"/>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316,901</w:t>
            </w:r>
          </w:p>
        </w:tc>
        <w:tc>
          <w:tcPr>
            <w:tcW w:w="1480" w:type="dxa"/>
            <w:vAlign w:val="bottom"/>
          </w:tcPr>
          <w:p>
            <w:pPr>
              <w:jc w:val="right"/>
              <w:ind w:right="257"/>
              <w:spacing w:after="0"/>
              <w:rPr>
                <w:sz w:val="20"/>
                <w:szCs w:val="20"/>
                <w:color w:val="auto"/>
              </w:rPr>
            </w:pPr>
            <w:r>
              <w:rPr>
                <w:rFonts w:ascii="Arial" w:cs="Arial" w:eastAsia="Arial" w:hAnsi="Arial"/>
                <w:sz w:val="13"/>
                <w:szCs w:val="13"/>
                <w:color w:val="auto"/>
              </w:rPr>
              <w:t>5,446</w:t>
            </w:r>
          </w:p>
        </w:tc>
        <w:tc>
          <w:tcPr>
            <w:tcW w:w="1760" w:type="dxa"/>
            <w:vAlign w:val="bottom"/>
          </w:tcPr>
          <w:p>
            <w:pPr>
              <w:jc w:val="right"/>
              <w:spacing w:after="0"/>
              <w:rPr>
                <w:sz w:val="20"/>
                <w:szCs w:val="20"/>
                <w:color w:val="auto"/>
              </w:rPr>
            </w:pPr>
            <w:r>
              <w:rPr>
                <w:rFonts w:ascii="Arial" w:cs="Arial" w:eastAsia="Arial" w:hAnsi="Arial"/>
                <w:sz w:val="13"/>
                <w:szCs w:val="13"/>
                <w:color w:val="auto"/>
              </w:rPr>
              <w:t>322,347</w:t>
            </w:r>
          </w:p>
        </w:tc>
      </w:tr>
      <w:tr>
        <w:trPr>
          <w:trHeight w:val="22"/>
        </w:trPr>
        <w:tc>
          <w:tcPr>
            <w:tcW w:w="592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1760" w:type="dxa"/>
            <w:vAlign w:val="bottom"/>
            <w:tcBorders>
              <w:bottom w:val="single" w:sz="8" w:color="939598"/>
            </w:tcBorders>
          </w:tcPr>
          <w:p>
            <w:pPr>
              <w:spacing w:after="0" w:line="20" w:lineRule="exact"/>
              <w:rPr>
                <w:sz w:val="1"/>
                <w:szCs w:val="1"/>
                <w:color w:val="auto"/>
              </w:rPr>
            </w:pPr>
          </w:p>
        </w:tc>
      </w:tr>
      <w:tr>
        <w:trPr>
          <w:trHeight w:val="175"/>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Ms. Madden</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388,957</w:t>
            </w:r>
          </w:p>
        </w:tc>
        <w:tc>
          <w:tcPr>
            <w:tcW w:w="1480" w:type="dxa"/>
            <w:vAlign w:val="bottom"/>
          </w:tcPr>
          <w:p>
            <w:pPr>
              <w:jc w:val="right"/>
              <w:ind w:right="257"/>
              <w:spacing w:after="0"/>
              <w:rPr>
                <w:sz w:val="20"/>
                <w:szCs w:val="20"/>
                <w:color w:val="auto"/>
              </w:rPr>
            </w:pPr>
            <w:r>
              <w:rPr>
                <w:rFonts w:ascii="Arial" w:cs="Arial" w:eastAsia="Arial" w:hAnsi="Arial"/>
                <w:sz w:val="13"/>
                <w:szCs w:val="13"/>
                <w:color w:val="auto"/>
              </w:rPr>
              <w:t>103,956</w:t>
            </w:r>
          </w:p>
        </w:tc>
        <w:tc>
          <w:tcPr>
            <w:tcW w:w="1760" w:type="dxa"/>
            <w:vAlign w:val="bottom"/>
          </w:tcPr>
          <w:p>
            <w:pPr>
              <w:jc w:val="right"/>
              <w:spacing w:after="0"/>
              <w:rPr>
                <w:sz w:val="20"/>
                <w:szCs w:val="20"/>
                <w:color w:val="auto"/>
              </w:rPr>
            </w:pPr>
            <w:r>
              <w:rPr>
                <w:rFonts w:ascii="Arial" w:cs="Arial" w:eastAsia="Arial" w:hAnsi="Arial"/>
                <w:sz w:val="13"/>
                <w:szCs w:val="13"/>
                <w:color w:val="auto"/>
              </w:rPr>
              <w:t>492,913</w:t>
            </w:r>
          </w:p>
        </w:tc>
      </w:tr>
      <w:tr>
        <w:trPr>
          <w:trHeight w:val="22"/>
        </w:trPr>
        <w:tc>
          <w:tcPr>
            <w:tcW w:w="592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1760" w:type="dxa"/>
            <w:vAlign w:val="bottom"/>
            <w:tcBorders>
              <w:bottom w:val="single" w:sz="8" w:color="939598"/>
            </w:tcBorders>
          </w:tcPr>
          <w:p>
            <w:pPr>
              <w:spacing w:after="0" w:line="20" w:lineRule="exact"/>
              <w:rPr>
                <w:sz w:val="1"/>
                <w:szCs w:val="1"/>
                <w:color w:val="auto"/>
              </w:rPr>
            </w:pPr>
          </w:p>
        </w:tc>
      </w:tr>
      <w:tr>
        <w:trPr>
          <w:trHeight w:val="174"/>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80" w:type="dxa"/>
            <w:vAlign w:val="bottom"/>
          </w:tcPr>
          <w:p>
            <w:pPr>
              <w:jc w:val="right"/>
              <w:ind w:right="257"/>
              <w:spacing w:after="0"/>
              <w:rPr>
                <w:sz w:val="20"/>
                <w:szCs w:val="20"/>
                <w:color w:val="auto"/>
              </w:rPr>
            </w:pPr>
            <w:r>
              <w:rPr>
                <w:rFonts w:ascii="Arial" w:cs="Arial" w:eastAsia="Arial" w:hAnsi="Arial"/>
                <w:sz w:val="13"/>
                <w:szCs w:val="13"/>
                <w:color w:val="auto"/>
              </w:rPr>
              <w:t>501</w:t>
            </w:r>
          </w:p>
        </w:tc>
        <w:tc>
          <w:tcPr>
            <w:tcW w:w="1760" w:type="dxa"/>
            <w:vAlign w:val="bottom"/>
          </w:tcPr>
          <w:p>
            <w:pPr>
              <w:jc w:val="right"/>
              <w:spacing w:after="0"/>
              <w:rPr>
                <w:sz w:val="20"/>
                <w:szCs w:val="20"/>
                <w:color w:val="auto"/>
              </w:rPr>
            </w:pPr>
            <w:r>
              <w:rPr>
                <w:rFonts w:ascii="Arial" w:cs="Arial" w:eastAsia="Arial" w:hAnsi="Arial"/>
                <w:sz w:val="13"/>
                <w:szCs w:val="13"/>
                <w:color w:val="auto"/>
              </w:rPr>
              <w:t>501</w:t>
            </w:r>
          </w:p>
        </w:tc>
      </w:tr>
      <w:tr>
        <w:trPr>
          <w:trHeight w:val="22"/>
        </w:trPr>
        <w:tc>
          <w:tcPr>
            <w:tcW w:w="592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1760" w:type="dxa"/>
            <w:vAlign w:val="bottom"/>
            <w:tcBorders>
              <w:bottom w:val="single" w:sz="8" w:color="939598"/>
            </w:tcBorders>
          </w:tcPr>
          <w:p>
            <w:pPr>
              <w:spacing w:after="0" w:line="20" w:lineRule="exact"/>
              <w:rPr>
                <w:sz w:val="1"/>
                <w:szCs w:val="1"/>
                <w:color w:val="auto"/>
              </w:rPr>
            </w:pPr>
          </w:p>
        </w:tc>
      </w:tr>
      <w:tr>
        <w:trPr>
          <w:trHeight w:val="174"/>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99,049</w:t>
            </w:r>
          </w:p>
        </w:tc>
        <w:tc>
          <w:tcPr>
            <w:tcW w:w="1480" w:type="dxa"/>
            <w:vAlign w:val="bottom"/>
          </w:tcPr>
          <w:p>
            <w:pPr>
              <w:jc w:val="right"/>
              <w:ind w:right="257"/>
              <w:spacing w:after="0"/>
              <w:rPr>
                <w:sz w:val="20"/>
                <w:szCs w:val="20"/>
                <w:color w:val="auto"/>
              </w:rPr>
            </w:pPr>
            <w:r>
              <w:rPr>
                <w:rFonts w:ascii="Arial" w:cs="Arial" w:eastAsia="Arial" w:hAnsi="Arial"/>
                <w:sz w:val="13"/>
                <w:szCs w:val="13"/>
                <w:color w:val="auto"/>
              </w:rPr>
              <w:t>198</w:t>
            </w:r>
          </w:p>
        </w:tc>
        <w:tc>
          <w:tcPr>
            <w:tcW w:w="1760" w:type="dxa"/>
            <w:vAlign w:val="bottom"/>
          </w:tcPr>
          <w:p>
            <w:pPr>
              <w:jc w:val="right"/>
              <w:spacing w:after="0"/>
              <w:rPr>
                <w:sz w:val="20"/>
                <w:szCs w:val="20"/>
                <w:color w:val="auto"/>
              </w:rPr>
            </w:pPr>
            <w:r>
              <w:rPr>
                <w:rFonts w:ascii="Arial" w:cs="Arial" w:eastAsia="Arial" w:hAnsi="Arial"/>
                <w:sz w:val="13"/>
                <w:szCs w:val="13"/>
                <w:color w:val="auto"/>
              </w:rPr>
              <w:t>99,247</w:t>
            </w:r>
          </w:p>
        </w:tc>
      </w:tr>
      <w:tr>
        <w:trPr>
          <w:trHeight w:val="22"/>
        </w:trPr>
        <w:tc>
          <w:tcPr>
            <w:tcW w:w="5920" w:type="dxa"/>
            <w:vAlign w:val="bottom"/>
            <w:tcBorders>
              <w:bottom w:val="single" w:sz="8" w:color="939598"/>
            </w:tcBorders>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480" w:type="dxa"/>
            <w:vAlign w:val="bottom"/>
            <w:tcBorders>
              <w:bottom w:val="single" w:sz="8" w:color="939598"/>
            </w:tcBorders>
          </w:tcPr>
          <w:p>
            <w:pPr>
              <w:spacing w:after="0" w:line="20" w:lineRule="exact"/>
              <w:rPr>
                <w:sz w:val="1"/>
                <w:szCs w:val="1"/>
                <w:color w:val="auto"/>
              </w:rPr>
            </w:pPr>
          </w:p>
        </w:tc>
        <w:tc>
          <w:tcPr>
            <w:tcW w:w="1760" w:type="dxa"/>
            <w:vAlign w:val="bottom"/>
            <w:tcBorders>
              <w:bottom w:val="single" w:sz="8" w:color="939598"/>
            </w:tcBorders>
          </w:tcPr>
          <w:p>
            <w:pPr>
              <w:spacing w:after="0" w:line="20" w:lineRule="exact"/>
              <w:rPr>
                <w:sz w:val="1"/>
                <w:szCs w:val="1"/>
                <w:color w:val="auto"/>
              </w:rPr>
            </w:pPr>
          </w:p>
        </w:tc>
      </w:tr>
      <w:tr>
        <w:trPr>
          <w:trHeight w:val="174"/>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Mr. Adamczyk</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501,415</w:t>
            </w:r>
          </w:p>
        </w:tc>
        <w:tc>
          <w:tcPr>
            <w:tcW w:w="1480" w:type="dxa"/>
            <w:vAlign w:val="bottom"/>
          </w:tcPr>
          <w:p>
            <w:pPr>
              <w:jc w:val="right"/>
              <w:ind w:right="257"/>
              <w:spacing w:after="0"/>
              <w:rPr>
                <w:sz w:val="20"/>
                <w:szCs w:val="20"/>
                <w:color w:val="auto"/>
              </w:rPr>
            </w:pPr>
            <w:r>
              <w:rPr>
                <w:rFonts w:ascii="Arial" w:cs="Arial" w:eastAsia="Arial" w:hAnsi="Arial"/>
                <w:sz w:val="13"/>
                <w:szCs w:val="13"/>
                <w:color w:val="auto"/>
              </w:rPr>
              <w:t>14,075</w:t>
            </w:r>
          </w:p>
        </w:tc>
        <w:tc>
          <w:tcPr>
            <w:tcW w:w="1760" w:type="dxa"/>
            <w:vAlign w:val="bottom"/>
          </w:tcPr>
          <w:p>
            <w:pPr>
              <w:jc w:val="right"/>
              <w:spacing w:after="0"/>
              <w:rPr>
                <w:sz w:val="20"/>
                <w:szCs w:val="20"/>
                <w:color w:val="auto"/>
              </w:rPr>
            </w:pPr>
            <w:r>
              <w:rPr>
                <w:rFonts w:ascii="Arial" w:cs="Arial" w:eastAsia="Arial" w:hAnsi="Arial"/>
                <w:sz w:val="13"/>
                <w:szCs w:val="13"/>
                <w:color w:val="auto"/>
              </w:rPr>
              <w:t>515,490</w:t>
            </w:r>
          </w:p>
        </w:tc>
      </w:tr>
      <w:tr>
        <w:trPr>
          <w:trHeight w:val="22"/>
        </w:trPr>
        <w:tc>
          <w:tcPr>
            <w:tcW w:w="5920" w:type="dxa"/>
            <w:vAlign w:val="bottom"/>
            <w:tcBorders>
              <w:bottom w:val="single" w:sz="8" w:color="EE2724"/>
            </w:tcBorders>
          </w:tcPr>
          <w:p>
            <w:pPr>
              <w:spacing w:after="0" w:line="20" w:lineRule="exact"/>
              <w:rPr>
                <w:sz w:val="1"/>
                <w:szCs w:val="1"/>
                <w:color w:val="auto"/>
              </w:rPr>
            </w:pPr>
          </w:p>
        </w:tc>
        <w:tc>
          <w:tcPr>
            <w:tcW w:w="1600" w:type="dxa"/>
            <w:vAlign w:val="bottom"/>
            <w:tcBorders>
              <w:bottom w:val="single" w:sz="8" w:color="D7282F"/>
            </w:tcBorders>
          </w:tcPr>
          <w:p>
            <w:pPr>
              <w:spacing w:after="0" w:line="20" w:lineRule="exact"/>
              <w:rPr>
                <w:sz w:val="1"/>
                <w:szCs w:val="1"/>
                <w:color w:val="auto"/>
              </w:rPr>
            </w:pPr>
          </w:p>
        </w:tc>
        <w:tc>
          <w:tcPr>
            <w:tcW w:w="1480" w:type="dxa"/>
            <w:vAlign w:val="bottom"/>
            <w:tcBorders>
              <w:bottom w:val="single" w:sz="8" w:color="D7282F"/>
            </w:tcBorders>
          </w:tcPr>
          <w:p>
            <w:pPr>
              <w:spacing w:after="0" w:line="20" w:lineRule="exact"/>
              <w:rPr>
                <w:sz w:val="1"/>
                <w:szCs w:val="1"/>
                <w:color w:val="auto"/>
              </w:rPr>
            </w:pPr>
          </w:p>
        </w:tc>
        <w:tc>
          <w:tcPr>
            <w:tcW w:w="1760" w:type="dxa"/>
            <w:vAlign w:val="bottom"/>
            <w:tcBorders>
              <w:bottom w:val="single" w:sz="8" w:color="D7282F"/>
            </w:tcBorders>
          </w:tcPr>
          <w:p>
            <w:pPr>
              <w:spacing w:after="0" w:line="20" w:lineRule="exact"/>
              <w:rPr>
                <w:sz w:val="1"/>
                <w:szCs w:val="1"/>
                <w:color w:val="auto"/>
              </w:rPr>
            </w:pPr>
          </w:p>
        </w:tc>
      </w:tr>
    </w:tbl>
    <w:p>
      <w:pPr>
        <w:spacing w:after="0" w:line="144" w:lineRule="exact"/>
        <w:rPr>
          <w:sz w:val="20"/>
          <w:szCs w:val="20"/>
          <w:color w:val="auto"/>
        </w:rPr>
      </w:pPr>
    </w:p>
    <w:p>
      <w:pPr>
        <w:ind w:left="400" w:right="180" w:hanging="198"/>
        <w:spacing w:after="0" w:line="226" w:lineRule="auto"/>
        <w:tabs>
          <w:tab w:leader="none" w:pos="400" w:val="left"/>
        </w:tabs>
        <w:numPr>
          <w:ilvl w:val="1"/>
          <w:numId w:val="174"/>
        </w:numPr>
        <w:rPr>
          <w:rFonts w:ascii="Arial" w:cs="Arial" w:eastAsia="Arial" w:hAnsi="Arial"/>
          <w:sz w:val="16"/>
          <w:szCs w:val="16"/>
          <w:color w:val="auto"/>
          <w:vertAlign w:val="superscript"/>
        </w:rPr>
      </w:pPr>
      <w:r>
        <w:rPr>
          <w:rFonts w:ascii="Arial" w:cs="Arial" w:eastAsia="Arial" w:hAnsi="Arial"/>
          <w:sz w:val="13"/>
          <w:szCs w:val="13"/>
          <w:color w:val="auto"/>
        </w:rPr>
        <w:t>The change in aggregate pension value was calculated as the change in present value of the accumulated retirement benefit for each Named Executive Officer and was calculated as the lump sum available from the Retirement Earnings formula at the date indicated. Mr. Boldea is not eligible for a Company- sponsored pension plan.</w:t>
      </w:r>
    </w:p>
    <w:p>
      <w:pPr>
        <w:spacing w:after="0" w:line="63" w:lineRule="exact"/>
        <w:rPr>
          <w:rFonts w:ascii="Arial" w:cs="Arial" w:eastAsia="Arial" w:hAnsi="Arial"/>
          <w:sz w:val="16"/>
          <w:szCs w:val="16"/>
          <w:color w:val="auto"/>
          <w:vertAlign w:val="superscript"/>
        </w:rPr>
      </w:pPr>
    </w:p>
    <w:p>
      <w:pPr>
        <w:ind w:left="400" w:right="260" w:hanging="198"/>
        <w:spacing w:after="0" w:line="226" w:lineRule="auto"/>
        <w:tabs>
          <w:tab w:leader="none" w:pos="400" w:val="left"/>
        </w:tabs>
        <w:numPr>
          <w:ilvl w:val="1"/>
          <w:numId w:val="174"/>
        </w:numPr>
        <w:rPr>
          <w:rFonts w:ascii="Arial" w:cs="Arial" w:eastAsia="Arial" w:hAnsi="Arial"/>
          <w:sz w:val="16"/>
          <w:szCs w:val="16"/>
          <w:color w:val="auto"/>
          <w:vertAlign w:val="superscript"/>
        </w:rPr>
      </w:pPr>
      <w:r>
        <w:rPr>
          <w:rFonts w:ascii="Arial" w:cs="Arial" w:eastAsia="Arial" w:hAnsi="Arial"/>
          <w:sz w:val="13"/>
          <w:szCs w:val="13"/>
          <w:color w:val="auto"/>
        </w:rPr>
        <w:t>Represents earnings under the Honeywell Excess Benefit Plan, Honeywell Supplemental Savings Plan, Honeywell Deferred Incentive Plan, or deferred RSU awards that are in excess of that determined using SEC market interest rates.</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75"/>
        </w:numPr>
        <w:rPr>
          <w:rFonts w:ascii="Arial" w:cs="Arial" w:eastAsia="Arial" w:hAnsi="Arial"/>
          <w:sz w:val="16"/>
          <w:szCs w:val="16"/>
          <w:color w:val="auto"/>
          <w:vertAlign w:val="superscript"/>
        </w:rPr>
      </w:pPr>
      <w:r>
        <w:rPr>
          <w:rFonts w:ascii="Arial" w:cs="Arial" w:eastAsia="Arial" w:hAnsi="Arial"/>
          <w:sz w:val="13"/>
          <w:szCs w:val="13"/>
          <w:color w:val="auto"/>
        </w:rPr>
        <w:t>For 2023, All Other Compensation consists of the following:</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Personal</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Executive</w:t>
            </w:r>
          </w:p>
        </w:tc>
        <w:tc>
          <w:tcPr>
            <w:tcW w:w="1100" w:type="dxa"/>
            <w:vAlign w:val="bottom"/>
          </w:tcPr>
          <w:p>
            <w:pPr>
              <w:spacing w:after="0"/>
              <w:rPr>
                <w:sz w:val="12"/>
                <w:szCs w:val="12"/>
                <w:color w:val="auto"/>
              </w:rPr>
            </w:pPr>
          </w:p>
        </w:tc>
      </w:tr>
      <w:tr>
        <w:trPr>
          <w:trHeight w:val="148"/>
        </w:trPr>
        <w:tc>
          <w:tcPr>
            <w:tcW w:w="20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Use of</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b w:val="1"/>
                <w:bCs w:val="1"/>
                <w:color w:val="auto"/>
              </w:rPr>
              <w:t>Relocation</w:t>
            </w:r>
          </w:p>
        </w:tc>
        <w:tc>
          <w:tcPr>
            <w:tcW w:w="1080" w:type="dxa"/>
            <w:vAlign w:val="bottom"/>
          </w:tcPr>
          <w:p>
            <w:pPr>
              <w:spacing w:after="0"/>
              <w:rPr>
                <w:sz w:val="12"/>
                <w:szCs w:val="12"/>
                <w:color w:val="auto"/>
              </w:rPr>
            </w:pP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Excess</w:t>
            </w: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Physical/</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49"/>
        </w:trPr>
        <w:tc>
          <w:tcPr>
            <w:tcW w:w="2040" w:type="dxa"/>
            <w:vAlign w:val="bottom"/>
          </w:tcPr>
          <w:p>
            <w:pPr>
              <w:spacing w:after="0"/>
              <w:rPr>
                <w:sz w:val="12"/>
                <w:szCs w:val="12"/>
                <w:color w:val="auto"/>
              </w:rPr>
            </w:pPr>
          </w:p>
        </w:tc>
        <w:tc>
          <w:tcPr>
            <w:tcW w:w="1440" w:type="dxa"/>
            <w:vAlign w:val="bottom"/>
          </w:tcPr>
          <w:p>
            <w:pPr>
              <w:jc w:val="right"/>
              <w:ind w:right="77"/>
              <w:spacing w:after="0"/>
              <w:rPr>
                <w:sz w:val="20"/>
                <w:szCs w:val="20"/>
                <w:color w:val="auto"/>
              </w:rPr>
            </w:pPr>
            <w:r>
              <w:rPr>
                <w:rFonts w:ascii="Arial" w:cs="Arial" w:eastAsia="Arial" w:hAnsi="Arial"/>
                <w:sz w:val="13"/>
                <w:szCs w:val="13"/>
                <w:b w:val="1"/>
                <w:bCs w:val="1"/>
                <w:color w:val="auto"/>
              </w:rPr>
              <w:t>Matching</w:t>
            </w: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Company</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40" w:type="dxa"/>
            <w:vAlign w:val="bottom"/>
          </w:tcPr>
          <w:p>
            <w:pPr>
              <w:jc w:val="right"/>
              <w:ind w:right="117"/>
              <w:spacing w:after="0"/>
              <w:rPr>
                <w:sz w:val="20"/>
                <w:szCs w:val="20"/>
                <w:color w:val="auto"/>
              </w:rPr>
            </w:pPr>
            <w:r>
              <w:rPr>
                <w:rFonts w:ascii="Arial" w:cs="Arial" w:eastAsia="Arial" w:hAnsi="Arial"/>
                <w:sz w:val="13"/>
                <w:szCs w:val="13"/>
                <w:b w:val="1"/>
                <w:bCs w:val="1"/>
                <w:color w:val="auto"/>
              </w:rPr>
              <w:t>and Loss on</w:t>
            </w:r>
          </w:p>
        </w:tc>
        <w:tc>
          <w:tcPr>
            <w:tcW w:w="1080" w:type="dxa"/>
            <w:vAlign w:val="bottom"/>
          </w:tcPr>
          <w:p>
            <w:pPr>
              <w:jc w:val="right"/>
              <w:ind w:right="160"/>
              <w:spacing w:after="0"/>
              <w:rPr>
                <w:sz w:val="20"/>
                <w:szCs w:val="20"/>
                <w:color w:val="auto"/>
              </w:rPr>
            </w:pPr>
            <w:r>
              <w:rPr>
                <w:rFonts w:ascii="Arial" w:cs="Arial" w:eastAsia="Arial" w:hAnsi="Arial"/>
                <w:sz w:val="13"/>
                <w:szCs w:val="13"/>
                <w:b w:val="1"/>
                <w:bCs w:val="1"/>
                <w:color w:val="auto"/>
              </w:rPr>
              <w:t>Tax Gross-</w:t>
            </w:r>
          </w:p>
        </w:tc>
        <w:tc>
          <w:tcPr>
            <w:tcW w:w="1080" w:type="dxa"/>
            <w:vAlign w:val="bottom"/>
          </w:tcPr>
          <w:p>
            <w:pPr>
              <w:jc w:val="right"/>
              <w:ind w:right="117"/>
              <w:spacing w:after="0"/>
              <w:rPr>
                <w:sz w:val="20"/>
                <w:szCs w:val="20"/>
                <w:color w:val="auto"/>
              </w:rPr>
            </w:pPr>
            <w:r>
              <w:rPr>
                <w:rFonts w:ascii="Arial" w:cs="Arial" w:eastAsia="Arial" w:hAnsi="Arial"/>
                <w:sz w:val="13"/>
                <w:szCs w:val="13"/>
                <w:b w:val="1"/>
                <w:bCs w:val="1"/>
                <w:color w:val="auto"/>
              </w:rPr>
              <w:t>Liability</w:t>
            </w:r>
          </w:p>
        </w:tc>
        <w:tc>
          <w:tcPr>
            <w:tcW w:w="1040" w:type="dxa"/>
            <w:vAlign w:val="bottom"/>
          </w:tcPr>
          <w:p>
            <w:pPr>
              <w:jc w:val="right"/>
              <w:ind w:right="157"/>
              <w:spacing w:after="0"/>
              <w:rPr>
                <w:sz w:val="20"/>
                <w:szCs w:val="20"/>
                <w:color w:val="auto"/>
              </w:rPr>
            </w:pPr>
            <w:r>
              <w:rPr>
                <w:rFonts w:ascii="Arial" w:cs="Arial" w:eastAsia="Arial" w:hAnsi="Arial"/>
                <w:sz w:val="13"/>
                <w:szCs w:val="13"/>
                <w:b w:val="1"/>
                <w:bCs w:val="1"/>
                <w:color w:val="auto"/>
              </w:rPr>
              <w:t>Medical</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Other</w:t>
            </w:r>
          </w:p>
        </w:tc>
      </w:tr>
      <w:tr>
        <w:trPr>
          <w:trHeight w:val="207"/>
        </w:trPr>
        <w:tc>
          <w:tcPr>
            <w:tcW w:w="2040" w:type="dxa"/>
            <w:vAlign w:val="bottom"/>
            <w:tcBorders>
              <w:bottom w:val="single" w:sz="8" w:color="EE2724"/>
            </w:tcBorders>
          </w:tcPr>
          <w:p>
            <w:pPr>
              <w:ind w:left="20"/>
              <w:spacing w:after="0"/>
              <w:rPr>
                <w:sz w:val="20"/>
                <w:szCs w:val="20"/>
                <w:color w:val="auto"/>
              </w:rPr>
            </w:pPr>
            <w:r>
              <w:rPr>
                <w:rFonts w:ascii="Arial" w:cs="Arial" w:eastAsia="Arial" w:hAnsi="Arial"/>
                <w:sz w:val="13"/>
                <w:szCs w:val="13"/>
                <w:b w:val="1"/>
                <w:bCs w:val="1"/>
                <w:color w:val="auto"/>
              </w:rPr>
              <w:t>NEO</w:t>
            </w:r>
          </w:p>
        </w:tc>
        <w:tc>
          <w:tcPr>
            <w:tcW w:w="1440" w:type="dxa"/>
            <w:vAlign w:val="bottom"/>
            <w:tcBorders>
              <w:bottom w:val="single" w:sz="8" w:color="D7282F"/>
            </w:tcBorders>
          </w:tcPr>
          <w:p>
            <w:pPr>
              <w:jc w:val="right"/>
              <w:ind w:right="77"/>
              <w:spacing w:after="0"/>
              <w:rPr>
                <w:sz w:val="20"/>
                <w:szCs w:val="20"/>
                <w:color w:val="auto"/>
              </w:rPr>
            </w:pPr>
            <w:r>
              <w:rPr>
                <w:rFonts w:ascii="Arial" w:cs="Arial" w:eastAsia="Arial" w:hAnsi="Arial"/>
                <w:sz w:val="13"/>
                <w:szCs w:val="13"/>
                <w:b w:val="1"/>
                <w:bCs w:val="1"/>
                <w:color w:val="auto"/>
              </w:rPr>
              <w:t>Contributions</w:t>
            </w:r>
            <w:r>
              <w:rPr>
                <w:rFonts w:ascii="Arial" w:cs="Arial" w:eastAsia="Arial" w:hAnsi="Arial"/>
                <w:sz w:val="16"/>
                <w:szCs w:val="16"/>
                <w:b w:val="1"/>
                <w:bCs w:val="1"/>
                <w:color w:val="auto"/>
                <w:vertAlign w:val="superscript"/>
              </w:rPr>
              <w:t>(a)</w:t>
            </w:r>
          </w:p>
        </w:tc>
        <w:tc>
          <w:tcPr>
            <w:tcW w:w="1080" w:type="dxa"/>
            <w:vAlign w:val="bottom"/>
            <w:tcBorders>
              <w:bottom w:val="single" w:sz="8" w:color="D7282F"/>
            </w:tcBorders>
          </w:tcPr>
          <w:p>
            <w:pPr>
              <w:jc w:val="right"/>
              <w:ind w:right="117"/>
              <w:spacing w:after="0"/>
              <w:rPr>
                <w:sz w:val="20"/>
                <w:szCs w:val="20"/>
                <w:color w:val="auto"/>
              </w:rPr>
            </w:pPr>
            <w:r>
              <w:rPr>
                <w:rFonts w:ascii="Arial" w:cs="Arial" w:eastAsia="Arial" w:hAnsi="Arial"/>
                <w:sz w:val="13"/>
                <w:szCs w:val="13"/>
                <w:b w:val="1"/>
                <w:bCs w:val="1"/>
                <w:color w:val="auto"/>
              </w:rPr>
              <w:t>Aircraft</w:t>
            </w:r>
            <w:r>
              <w:rPr>
                <w:rFonts w:ascii="Arial" w:cs="Arial" w:eastAsia="Arial" w:hAnsi="Arial"/>
                <w:sz w:val="16"/>
                <w:szCs w:val="16"/>
                <w:b w:val="1"/>
                <w:bCs w:val="1"/>
                <w:color w:val="auto"/>
                <w:vertAlign w:val="superscript"/>
              </w:rPr>
              <w:t>(b)</w:t>
            </w:r>
          </w:p>
        </w:tc>
        <w:tc>
          <w:tcPr>
            <w:tcW w:w="980" w:type="dxa"/>
            <w:vAlign w:val="bottom"/>
            <w:tcBorders>
              <w:bottom w:val="single" w:sz="8" w:color="D7282F"/>
            </w:tcBorders>
            <w:gridSpan w:val="2"/>
          </w:tcPr>
          <w:p>
            <w:pPr>
              <w:jc w:val="right"/>
              <w:ind w:right="137"/>
              <w:spacing w:after="0"/>
              <w:rPr>
                <w:sz w:val="20"/>
                <w:szCs w:val="20"/>
                <w:color w:val="auto"/>
              </w:rPr>
            </w:pPr>
            <w:r>
              <w:rPr>
                <w:rFonts w:ascii="Arial" w:cs="Arial" w:eastAsia="Arial" w:hAnsi="Arial"/>
                <w:sz w:val="13"/>
                <w:szCs w:val="13"/>
                <w:b w:val="1"/>
                <w:bCs w:val="1"/>
                <w:color w:val="auto"/>
              </w:rPr>
              <w:t>Security</w:t>
            </w:r>
            <w:r>
              <w:rPr>
                <w:rFonts w:ascii="Arial" w:cs="Arial" w:eastAsia="Arial" w:hAnsi="Arial"/>
                <w:sz w:val="16"/>
                <w:szCs w:val="16"/>
                <w:b w:val="1"/>
                <w:bCs w:val="1"/>
                <w:color w:val="auto"/>
                <w:vertAlign w:val="superscript"/>
              </w:rPr>
              <w:t>(c)</w:t>
            </w:r>
          </w:p>
        </w:tc>
        <w:tc>
          <w:tcPr>
            <w:tcW w:w="1140" w:type="dxa"/>
            <w:vAlign w:val="bottom"/>
            <w:tcBorders>
              <w:bottom w:val="single" w:sz="8" w:color="D7282F"/>
            </w:tcBorders>
          </w:tcPr>
          <w:p>
            <w:pPr>
              <w:jc w:val="right"/>
              <w:ind w:right="117"/>
              <w:spacing w:after="0"/>
              <w:rPr>
                <w:sz w:val="20"/>
                <w:szCs w:val="20"/>
                <w:color w:val="auto"/>
              </w:rPr>
            </w:pPr>
            <w:r>
              <w:rPr>
                <w:rFonts w:ascii="Arial" w:cs="Arial" w:eastAsia="Arial" w:hAnsi="Arial"/>
                <w:sz w:val="13"/>
                <w:szCs w:val="13"/>
                <w:b w:val="1"/>
                <w:bCs w:val="1"/>
                <w:color w:val="auto"/>
              </w:rPr>
              <w:t>Sale</w:t>
            </w:r>
            <w:r>
              <w:rPr>
                <w:rFonts w:ascii="Arial" w:cs="Arial" w:eastAsia="Arial" w:hAnsi="Arial"/>
                <w:sz w:val="16"/>
                <w:szCs w:val="16"/>
                <w:b w:val="1"/>
                <w:bCs w:val="1"/>
                <w:color w:val="auto"/>
                <w:vertAlign w:val="superscript"/>
              </w:rPr>
              <w:t>(d)</w:t>
            </w:r>
          </w:p>
        </w:tc>
        <w:tc>
          <w:tcPr>
            <w:tcW w:w="1080" w:type="dxa"/>
            <w:vAlign w:val="bottom"/>
            <w:tcBorders>
              <w:bottom w:val="single" w:sz="8" w:color="D7282F"/>
            </w:tcBorders>
          </w:tcPr>
          <w:p>
            <w:pPr>
              <w:jc w:val="right"/>
              <w:ind w:right="160"/>
              <w:spacing w:after="0" w:line="207" w:lineRule="exact"/>
              <w:rPr>
                <w:sz w:val="20"/>
                <w:szCs w:val="20"/>
                <w:color w:val="auto"/>
              </w:rPr>
            </w:pPr>
            <w:r>
              <w:rPr>
                <w:rFonts w:ascii="Arial" w:cs="Arial" w:eastAsia="Arial" w:hAnsi="Arial"/>
                <w:sz w:val="24"/>
                <w:szCs w:val="24"/>
                <w:b w:val="1"/>
                <w:bCs w:val="1"/>
                <w:color w:val="auto"/>
                <w:vertAlign w:val="subscript"/>
              </w:rPr>
              <w:t>up</w:t>
            </w:r>
            <w:r>
              <w:rPr>
                <w:rFonts w:ascii="Arial" w:cs="Arial" w:eastAsia="Arial" w:hAnsi="Arial"/>
                <w:sz w:val="8"/>
                <w:szCs w:val="8"/>
                <w:b w:val="1"/>
                <w:bCs w:val="1"/>
                <w:color w:val="auto"/>
              </w:rPr>
              <w:t>(e)</w:t>
            </w:r>
          </w:p>
        </w:tc>
        <w:tc>
          <w:tcPr>
            <w:tcW w:w="1080" w:type="dxa"/>
            <w:vAlign w:val="bottom"/>
            <w:tcBorders>
              <w:bottom w:val="single" w:sz="8" w:color="D7282F"/>
            </w:tcBorders>
          </w:tcPr>
          <w:p>
            <w:pPr>
              <w:jc w:val="right"/>
              <w:ind w:right="117"/>
              <w:spacing w:after="0"/>
              <w:rPr>
                <w:sz w:val="20"/>
                <w:szCs w:val="20"/>
                <w:color w:val="auto"/>
              </w:rPr>
            </w:pPr>
            <w:r>
              <w:rPr>
                <w:rFonts w:ascii="Arial" w:cs="Arial" w:eastAsia="Arial" w:hAnsi="Arial"/>
                <w:sz w:val="13"/>
                <w:szCs w:val="13"/>
                <w:b w:val="1"/>
                <w:bCs w:val="1"/>
                <w:color w:val="auto"/>
              </w:rPr>
              <w:t>Insurance</w:t>
            </w:r>
            <w:r>
              <w:rPr>
                <w:rFonts w:ascii="Arial" w:cs="Arial" w:eastAsia="Arial" w:hAnsi="Arial"/>
                <w:sz w:val="16"/>
                <w:szCs w:val="16"/>
                <w:b w:val="1"/>
                <w:bCs w:val="1"/>
                <w:color w:val="auto"/>
                <w:vertAlign w:val="superscript"/>
              </w:rPr>
              <w:t>(f)</w:t>
            </w:r>
          </w:p>
        </w:tc>
        <w:tc>
          <w:tcPr>
            <w:tcW w:w="1040" w:type="dxa"/>
            <w:vAlign w:val="bottom"/>
            <w:tcBorders>
              <w:bottom w:val="single" w:sz="8" w:color="D7282F"/>
            </w:tcBorders>
          </w:tcPr>
          <w:p>
            <w:pPr>
              <w:jc w:val="right"/>
              <w:ind w:right="157"/>
              <w:spacing w:after="0"/>
              <w:rPr>
                <w:sz w:val="20"/>
                <w:szCs w:val="20"/>
                <w:color w:val="auto"/>
              </w:rPr>
            </w:pPr>
            <w:r>
              <w:rPr>
                <w:rFonts w:ascii="Arial" w:cs="Arial" w:eastAsia="Arial" w:hAnsi="Arial"/>
                <w:sz w:val="13"/>
                <w:szCs w:val="13"/>
                <w:b w:val="1"/>
                <w:bCs w:val="1"/>
                <w:color w:val="auto"/>
              </w:rPr>
              <w:t xml:space="preserve">Services </w:t>
            </w:r>
            <w:r>
              <w:rPr>
                <w:rFonts w:ascii="Arial" w:cs="Arial" w:eastAsia="Arial" w:hAnsi="Arial"/>
                <w:sz w:val="16"/>
                <w:szCs w:val="16"/>
                <w:b w:val="1"/>
                <w:bCs w:val="1"/>
                <w:color w:val="auto"/>
                <w:vertAlign w:val="superscript"/>
              </w:rPr>
              <w:t>(g)</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Mr. Kapur</w:t>
            </w:r>
          </w:p>
        </w:tc>
        <w:tc>
          <w:tcPr>
            <w:tcW w:w="1440" w:type="dxa"/>
            <w:vAlign w:val="bottom"/>
          </w:tcPr>
          <w:p>
            <w:pPr>
              <w:jc w:val="right"/>
              <w:ind w:right="117"/>
              <w:spacing w:after="0"/>
              <w:rPr>
                <w:sz w:val="20"/>
                <w:szCs w:val="20"/>
                <w:color w:val="auto"/>
              </w:rPr>
            </w:pPr>
            <w:r>
              <w:rPr>
                <w:rFonts w:ascii="Arial" w:cs="Arial" w:eastAsia="Arial" w:hAnsi="Arial"/>
                <w:sz w:val="13"/>
                <w:szCs w:val="13"/>
                <w:color w:val="auto"/>
              </w:rPr>
              <w:t>$   85,750</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   303,986</w:t>
            </w: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   22,502</w:t>
            </w:r>
          </w:p>
        </w:tc>
        <w:tc>
          <w:tcPr>
            <w:tcW w:w="1080" w:type="dxa"/>
            <w:vAlign w:val="bottom"/>
          </w:tcPr>
          <w:p>
            <w:pPr>
              <w:jc w:val="right"/>
              <w:ind w:right="200"/>
              <w:spacing w:after="0"/>
              <w:rPr>
                <w:sz w:val="20"/>
                <w:szCs w:val="20"/>
                <w:color w:val="auto"/>
              </w:rPr>
            </w:pPr>
            <w:r>
              <w:rPr>
                <w:rFonts w:ascii="Arial" w:cs="Arial" w:eastAsia="Arial" w:hAnsi="Arial"/>
                <w:sz w:val="13"/>
                <w:szCs w:val="13"/>
                <w:color w:val="auto"/>
              </w:rPr>
              <w:t>$   15,637</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   3,000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  5,090</w:t>
            </w:r>
          </w:p>
        </w:tc>
        <w:tc>
          <w:tcPr>
            <w:tcW w:w="1100" w:type="dxa"/>
            <w:vAlign w:val="bottom"/>
          </w:tcPr>
          <w:p>
            <w:pPr>
              <w:jc w:val="right"/>
              <w:spacing w:after="0"/>
              <w:rPr>
                <w:sz w:val="20"/>
                <w:szCs w:val="20"/>
                <w:color w:val="auto"/>
              </w:rPr>
            </w:pPr>
            <w:r>
              <w:rPr>
                <w:rFonts w:ascii="Arial" w:cs="Arial" w:eastAsia="Arial" w:hAnsi="Arial"/>
                <w:sz w:val="13"/>
                <w:szCs w:val="13"/>
                <w:color w:val="auto"/>
              </w:rPr>
              <w:t>$   435,965</w:t>
            </w:r>
          </w:p>
        </w:tc>
      </w:tr>
      <w:tr>
        <w:trPr>
          <w:trHeight w:val="22"/>
        </w:trPr>
        <w:tc>
          <w:tcPr>
            <w:tcW w:w="204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Mr. Lewis</w:t>
            </w:r>
          </w:p>
        </w:tc>
        <w:tc>
          <w:tcPr>
            <w:tcW w:w="1440" w:type="dxa"/>
            <w:vAlign w:val="bottom"/>
          </w:tcPr>
          <w:p>
            <w:pPr>
              <w:jc w:val="right"/>
              <w:ind w:right="117"/>
              <w:spacing w:after="0"/>
              <w:rPr>
                <w:sz w:val="20"/>
                <w:szCs w:val="20"/>
                <w:color w:val="auto"/>
              </w:rPr>
            </w:pPr>
            <w:r>
              <w:rPr>
                <w:rFonts w:ascii="Arial" w:cs="Arial" w:eastAsia="Arial" w:hAnsi="Arial"/>
                <w:sz w:val="13"/>
                <w:szCs w:val="13"/>
                <w:color w:val="auto"/>
              </w:rPr>
              <w:t>64,443</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8,000</w:t>
            </w:r>
          </w:p>
        </w:tc>
        <w:tc>
          <w:tcPr>
            <w:tcW w:w="1100" w:type="dxa"/>
            <w:vAlign w:val="bottom"/>
          </w:tcPr>
          <w:p>
            <w:pPr>
              <w:jc w:val="right"/>
              <w:spacing w:after="0"/>
              <w:rPr>
                <w:sz w:val="20"/>
                <w:szCs w:val="20"/>
                <w:color w:val="auto"/>
              </w:rPr>
            </w:pPr>
            <w:r>
              <w:rPr>
                <w:rFonts w:ascii="Arial" w:cs="Arial" w:eastAsia="Arial" w:hAnsi="Arial"/>
                <w:sz w:val="13"/>
                <w:szCs w:val="13"/>
                <w:color w:val="auto"/>
              </w:rPr>
              <w:t>75,443</w:t>
            </w:r>
          </w:p>
        </w:tc>
      </w:tr>
      <w:tr>
        <w:trPr>
          <w:trHeight w:val="22"/>
        </w:trPr>
        <w:tc>
          <w:tcPr>
            <w:tcW w:w="204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Ms. Madden</w:t>
            </w:r>
          </w:p>
        </w:tc>
        <w:tc>
          <w:tcPr>
            <w:tcW w:w="1440" w:type="dxa"/>
            <w:vAlign w:val="bottom"/>
          </w:tcPr>
          <w:p>
            <w:pPr>
              <w:jc w:val="right"/>
              <w:ind w:right="117"/>
              <w:spacing w:after="0"/>
              <w:rPr>
                <w:sz w:val="20"/>
                <w:szCs w:val="20"/>
                <w:color w:val="auto"/>
              </w:rPr>
            </w:pPr>
            <w:r>
              <w:rPr>
                <w:rFonts w:ascii="Arial" w:cs="Arial" w:eastAsia="Arial" w:hAnsi="Arial"/>
                <w:sz w:val="13"/>
                <w:szCs w:val="13"/>
                <w:color w:val="auto"/>
              </w:rPr>
              <w:t>62,338</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8,000</w:t>
            </w:r>
          </w:p>
        </w:tc>
        <w:tc>
          <w:tcPr>
            <w:tcW w:w="1100" w:type="dxa"/>
            <w:vAlign w:val="bottom"/>
          </w:tcPr>
          <w:p>
            <w:pPr>
              <w:jc w:val="right"/>
              <w:spacing w:after="0"/>
              <w:rPr>
                <w:sz w:val="20"/>
                <w:szCs w:val="20"/>
                <w:color w:val="auto"/>
              </w:rPr>
            </w:pPr>
            <w:r>
              <w:rPr>
                <w:rFonts w:ascii="Arial" w:cs="Arial" w:eastAsia="Arial" w:hAnsi="Arial"/>
                <w:sz w:val="13"/>
                <w:szCs w:val="13"/>
                <w:color w:val="auto"/>
              </w:rPr>
              <w:t>73,338</w:t>
            </w:r>
          </w:p>
        </w:tc>
      </w:tr>
      <w:tr>
        <w:trPr>
          <w:trHeight w:val="22"/>
        </w:trPr>
        <w:tc>
          <w:tcPr>
            <w:tcW w:w="204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r>
      <w:tr>
        <w:trPr>
          <w:trHeight w:val="175"/>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Mr. Boldea</w:t>
            </w:r>
          </w:p>
        </w:tc>
        <w:tc>
          <w:tcPr>
            <w:tcW w:w="1440" w:type="dxa"/>
            <w:vAlign w:val="bottom"/>
          </w:tcPr>
          <w:p>
            <w:pPr>
              <w:jc w:val="right"/>
              <w:ind w:right="117"/>
              <w:spacing w:after="0"/>
              <w:rPr>
                <w:sz w:val="20"/>
                <w:szCs w:val="20"/>
                <w:color w:val="auto"/>
              </w:rPr>
            </w:pPr>
            <w:r>
              <w:rPr>
                <w:rFonts w:ascii="Arial" w:cs="Arial" w:eastAsia="Arial" w:hAnsi="Arial"/>
                <w:sz w:val="13"/>
                <w:szCs w:val="13"/>
                <w:color w:val="auto"/>
              </w:rPr>
              <w:t>53,846</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128,928</w:t>
            </w:r>
          </w:p>
        </w:tc>
        <w:tc>
          <w:tcPr>
            <w:tcW w:w="1080" w:type="dxa"/>
            <w:vAlign w:val="bottom"/>
          </w:tcPr>
          <w:p>
            <w:pPr>
              <w:jc w:val="right"/>
              <w:ind w:right="200"/>
              <w:spacing w:after="0"/>
              <w:rPr>
                <w:sz w:val="20"/>
                <w:szCs w:val="20"/>
                <w:color w:val="auto"/>
              </w:rPr>
            </w:pPr>
            <w:r>
              <w:rPr>
                <w:rFonts w:ascii="Arial" w:cs="Arial" w:eastAsia="Arial" w:hAnsi="Arial"/>
                <w:sz w:val="13"/>
                <w:szCs w:val="13"/>
                <w:color w:val="auto"/>
              </w:rPr>
              <w:t>23,310</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5,612</w:t>
            </w:r>
          </w:p>
        </w:tc>
        <w:tc>
          <w:tcPr>
            <w:tcW w:w="1100" w:type="dxa"/>
            <w:vAlign w:val="bottom"/>
          </w:tcPr>
          <w:p>
            <w:pPr>
              <w:jc w:val="right"/>
              <w:spacing w:after="0"/>
              <w:rPr>
                <w:sz w:val="20"/>
                <w:szCs w:val="20"/>
                <w:color w:val="auto"/>
              </w:rPr>
            </w:pPr>
            <w:r>
              <w:rPr>
                <w:rFonts w:ascii="Arial" w:cs="Arial" w:eastAsia="Arial" w:hAnsi="Arial"/>
                <w:sz w:val="13"/>
                <w:szCs w:val="13"/>
                <w:color w:val="auto"/>
              </w:rPr>
              <w:t>214,697</w:t>
            </w:r>
          </w:p>
        </w:tc>
      </w:tr>
      <w:tr>
        <w:trPr>
          <w:trHeight w:val="22"/>
        </w:trPr>
        <w:tc>
          <w:tcPr>
            <w:tcW w:w="204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Mr. Currier</w:t>
            </w:r>
          </w:p>
        </w:tc>
        <w:tc>
          <w:tcPr>
            <w:tcW w:w="1440" w:type="dxa"/>
            <w:vAlign w:val="bottom"/>
          </w:tcPr>
          <w:p>
            <w:pPr>
              <w:jc w:val="right"/>
              <w:ind w:right="117"/>
              <w:spacing w:after="0"/>
              <w:rPr>
                <w:sz w:val="20"/>
                <w:szCs w:val="20"/>
                <w:color w:val="auto"/>
              </w:rPr>
            </w:pPr>
            <w:r>
              <w:rPr>
                <w:rFonts w:ascii="Arial" w:cs="Arial" w:eastAsia="Arial" w:hAnsi="Arial"/>
                <w:sz w:val="13"/>
                <w:szCs w:val="13"/>
                <w:color w:val="auto"/>
              </w:rPr>
              <w:t>37,209</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1,837</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7,366</w:t>
            </w:r>
          </w:p>
        </w:tc>
        <w:tc>
          <w:tcPr>
            <w:tcW w:w="1100" w:type="dxa"/>
            <w:vAlign w:val="bottom"/>
          </w:tcPr>
          <w:p>
            <w:pPr>
              <w:jc w:val="right"/>
              <w:spacing w:after="0"/>
              <w:rPr>
                <w:sz w:val="20"/>
                <w:szCs w:val="20"/>
                <w:color w:val="auto"/>
              </w:rPr>
            </w:pPr>
            <w:r>
              <w:rPr>
                <w:rFonts w:ascii="Arial" w:cs="Arial" w:eastAsia="Arial" w:hAnsi="Arial"/>
                <w:sz w:val="13"/>
                <w:szCs w:val="13"/>
                <w:color w:val="auto"/>
              </w:rPr>
              <w:t>46,413</w:t>
            </w:r>
          </w:p>
        </w:tc>
      </w:tr>
      <w:tr>
        <w:trPr>
          <w:trHeight w:val="22"/>
        </w:trPr>
        <w:tc>
          <w:tcPr>
            <w:tcW w:w="2040" w:type="dxa"/>
            <w:vAlign w:val="bottom"/>
            <w:tcBorders>
              <w:bottom w:val="single" w:sz="8" w:color="939598"/>
            </w:tcBorders>
          </w:tcPr>
          <w:p>
            <w:pPr>
              <w:spacing w:after="0" w:line="20" w:lineRule="exact"/>
              <w:rPr>
                <w:sz w:val="1"/>
                <w:szCs w:val="1"/>
                <w:color w:val="auto"/>
              </w:rPr>
            </w:pPr>
          </w:p>
        </w:tc>
        <w:tc>
          <w:tcPr>
            <w:tcW w:w="14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114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1040" w:type="dxa"/>
            <w:vAlign w:val="bottom"/>
            <w:tcBorders>
              <w:bottom w:val="single" w:sz="8" w:color="939598"/>
            </w:tcBorders>
          </w:tcPr>
          <w:p>
            <w:pPr>
              <w:spacing w:after="0" w:line="20" w:lineRule="exact"/>
              <w:rPr>
                <w:sz w:val="1"/>
                <w:szCs w:val="1"/>
                <w:color w:val="auto"/>
              </w:rPr>
            </w:pPr>
          </w:p>
        </w:tc>
        <w:tc>
          <w:tcPr>
            <w:tcW w:w="1100" w:type="dxa"/>
            <w:vAlign w:val="bottom"/>
            <w:tcBorders>
              <w:bottom w:val="single" w:sz="8" w:color="939598"/>
            </w:tcBorders>
          </w:tcPr>
          <w:p>
            <w:pPr>
              <w:spacing w:after="0" w:line="20" w:lineRule="exact"/>
              <w:rPr>
                <w:sz w:val="1"/>
                <w:szCs w:val="1"/>
                <w:color w:val="auto"/>
              </w:rPr>
            </w:pPr>
          </w:p>
        </w:tc>
      </w:tr>
      <w:tr>
        <w:trPr>
          <w:trHeight w:val="174"/>
        </w:trPr>
        <w:tc>
          <w:tcPr>
            <w:tcW w:w="2040" w:type="dxa"/>
            <w:vAlign w:val="bottom"/>
          </w:tcPr>
          <w:p>
            <w:pPr>
              <w:ind w:left="20"/>
              <w:spacing w:after="0"/>
              <w:rPr>
                <w:sz w:val="20"/>
                <w:szCs w:val="20"/>
                <w:color w:val="auto"/>
              </w:rPr>
            </w:pPr>
            <w:r>
              <w:rPr>
                <w:rFonts w:ascii="Arial" w:cs="Arial" w:eastAsia="Arial" w:hAnsi="Arial"/>
                <w:sz w:val="13"/>
                <w:szCs w:val="13"/>
                <w:b w:val="1"/>
                <w:bCs w:val="1"/>
                <w:color w:val="auto"/>
              </w:rPr>
              <w:t>Mr. Adamczyk</w:t>
            </w:r>
          </w:p>
        </w:tc>
        <w:tc>
          <w:tcPr>
            <w:tcW w:w="1440" w:type="dxa"/>
            <w:vAlign w:val="bottom"/>
          </w:tcPr>
          <w:p>
            <w:pPr>
              <w:jc w:val="right"/>
              <w:ind w:right="117"/>
              <w:spacing w:after="0"/>
              <w:rPr>
                <w:sz w:val="20"/>
                <w:szCs w:val="20"/>
                <w:color w:val="auto"/>
              </w:rPr>
            </w:pPr>
            <w:r>
              <w:rPr>
                <w:rFonts w:ascii="Arial" w:cs="Arial" w:eastAsia="Arial" w:hAnsi="Arial"/>
                <w:sz w:val="13"/>
                <w:szCs w:val="13"/>
                <w:color w:val="auto"/>
              </w:rPr>
              <w:t>102,180</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103,925</w:t>
            </w:r>
          </w:p>
        </w:tc>
        <w:tc>
          <w:tcPr>
            <w:tcW w:w="34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3"/>
                <w:szCs w:val="13"/>
                <w:color w:val="auto"/>
              </w:rPr>
              <w:t>2,762</w:t>
            </w:r>
          </w:p>
        </w:tc>
        <w:tc>
          <w:tcPr>
            <w:tcW w:w="11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0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3,000</w:t>
            </w:r>
          </w:p>
        </w:tc>
        <w:tc>
          <w:tcPr>
            <w:tcW w:w="1040" w:type="dxa"/>
            <w:vAlign w:val="bottom"/>
          </w:tcPr>
          <w:p>
            <w:pPr>
              <w:jc w:val="right"/>
              <w:ind w:right="197"/>
              <w:spacing w:after="0"/>
              <w:rPr>
                <w:sz w:val="20"/>
                <w:szCs w:val="20"/>
                <w:color w:val="auto"/>
              </w:rPr>
            </w:pPr>
            <w:r>
              <w:rPr>
                <w:rFonts w:ascii="Arial" w:cs="Arial" w:eastAsia="Arial" w:hAnsi="Arial"/>
                <w:sz w:val="13"/>
                <w:szCs w:val="13"/>
                <w:color w:val="auto"/>
              </w:rPr>
              <w:t>8,000</w:t>
            </w:r>
          </w:p>
        </w:tc>
        <w:tc>
          <w:tcPr>
            <w:tcW w:w="1100" w:type="dxa"/>
            <w:vAlign w:val="bottom"/>
          </w:tcPr>
          <w:p>
            <w:pPr>
              <w:jc w:val="right"/>
              <w:spacing w:after="0"/>
              <w:rPr>
                <w:sz w:val="20"/>
                <w:szCs w:val="20"/>
                <w:color w:val="auto"/>
              </w:rPr>
            </w:pPr>
            <w:r>
              <w:rPr>
                <w:rFonts w:ascii="Arial" w:cs="Arial" w:eastAsia="Arial" w:hAnsi="Arial"/>
                <w:sz w:val="13"/>
                <w:szCs w:val="13"/>
                <w:color w:val="auto"/>
              </w:rPr>
              <w:t>219,867</w:t>
            </w:r>
          </w:p>
        </w:tc>
      </w:tr>
      <w:tr>
        <w:trPr>
          <w:trHeight w:val="22"/>
        </w:trPr>
        <w:tc>
          <w:tcPr>
            <w:tcW w:w="2040" w:type="dxa"/>
            <w:vAlign w:val="bottom"/>
            <w:tcBorders>
              <w:bottom w:val="single" w:sz="8" w:color="EE2724"/>
            </w:tcBorders>
          </w:tcPr>
          <w:p>
            <w:pPr>
              <w:spacing w:after="0" w:line="20" w:lineRule="exact"/>
              <w:rPr>
                <w:sz w:val="1"/>
                <w:szCs w:val="1"/>
                <w:color w:val="auto"/>
              </w:rPr>
            </w:pPr>
          </w:p>
        </w:tc>
        <w:tc>
          <w:tcPr>
            <w:tcW w:w="1440" w:type="dxa"/>
            <w:vAlign w:val="bottom"/>
            <w:tcBorders>
              <w:bottom w:val="single" w:sz="8" w:color="D7282F"/>
            </w:tcBorders>
          </w:tcPr>
          <w:p>
            <w:pPr>
              <w:spacing w:after="0" w:line="20" w:lineRule="exact"/>
              <w:rPr>
                <w:sz w:val="1"/>
                <w:szCs w:val="1"/>
                <w:color w:val="auto"/>
              </w:rPr>
            </w:pPr>
          </w:p>
        </w:tc>
        <w:tc>
          <w:tcPr>
            <w:tcW w:w="108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640" w:type="dxa"/>
            <w:vAlign w:val="bottom"/>
            <w:tcBorders>
              <w:bottom w:val="single" w:sz="8" w:color="D7282F"/>
            </w:tcBorders>
          </w:tcPr>
          <w:p>
            <w:pPr>
              <w:spacing w:after="0" w:line="20" w:lineRule="exact"/>
              <w:rPr>
                <w:sz w:val="1"/>
                <w:szCs w:val="1"/>
                <w:color w:val="auto"/>
              </w:rPr>
            </w:pPr>
          </w:p>
        </w:tc>
        <w:tc>
          <w:tcPr>
            <w:tcW w:w="1140" w:type="dxa"/>
            <w:vAlign w:val="bottom"/>
            <w:tcBorders>
              <w:bottom w:val="single" w:sz="8" w:color="D7282F"/>
            </w:tcBorders>
          </w:tcPr>
          <w:p>
            <w:pPr>
              <w:spacing w:after="0" w:line="20" w:lineRule="exact"/>
              <w:rPr>
                <w:sz w:val="1"/>
                <w:szCs w:val="1"/>
                <w:color w:val="auto"/>
              </w:rPr>
            </w:pPr>
          </w:p>
        </w:tc>
        <w:tc>
          <w:tcPr>
            <w:tcW w:w="1080" w:type="dxa"/>
            <w:vAlign w:val="bottom"/>
            <w:tcBorders>
              <w:bottom w:val="single" w:sz="8" w:color="D7282F"/>
            </w:tcBorders>
          </w:tcPr>
          <w:p>
            <w:pPr>
              <w:spacing w:after="0" w:line="20" w:lineRule="exact"/>
              <w:rPr>
                <w:sz w:val="1"/>
                <w:szCs w:val="1"/>
                <w:color w:val="auto"/>
              </w:rPr>
            </w:pPr>
          </w:p>
        </w:tc>
        <w:tc>
          <w:tcPr>
            <w:tcW w:w="1080" w:type="dxa"/>
            <w:vAlign w:val="bottom"/>
            <w:tcBorders>
              <w:bottom w:val="single" w:sz="8" w:color="D7282F"/>
            </w:tcBorders>
          </w:tcPr>
          <w:p>
            <w:pPr>
              <w:spacing w:after="0" w:line="20" w:lineRule="exact"/>
              <w:rPr>
                <w:sz w:val="1"/>
                <w:szCs w:val="1"/>
                <w:color w:val="auto"/>
              </w:rPr>
            </w:pPr>
          </w:p>
        </w:tc>
        <w:tc>
          <w:tcPr>
            <w:tcW w:w="1040" w:type="dxa"/>
            <w:vAlign w:val="bottom"/>
            <w:tcBorders>
              <w:bottom w:val="single" w:sz="8" w:color="D7282F"/>
            </w:tcBorders>
          </w:tcPr>
          <w:p>
            <w:pPr>
              <w:spacing w:after="0" w:line="20" w:lineRule="exact"/>
              <w:rPr>
                <w:sz w:val="1"/>
                <w:szCs w:val="1"/>
                <w:color w:val="auto"/>
              </w:rPr>
            </w:pPr>
          </w:p>
        </w:tc>
        <w:tc>
          <w:tcPr>
            <w:tcW w:w="1100" w:type="dxa"/>
            <w:vAlign w:val="bottom"/>
            <w:tcBorders>
              <w:bottom w:val="single" w:sz="8" w:color="D7282F"/>
            </w:tcBorders>
          </w:tcPr>
          <w:p>
            <w:pPr>
              <w:spacing w:after="0" w:line="20" w:lineRule="exact"/>
              <w:rPr>
                <w:sz w:val="1"/>
                <w:szCs w:val="1"/>
                <w:color w:val="auto"/>
              </w:rPr>
            </w:pPr>
          </w:p>
        </w:tc>
      </w:tr>
    </w:tbl>
    <w:p>
      <w:pPr>
        <w:spacing w:after="0" w:line="144" w:lineRule="exact"/>
        <w:rPr>
          <w:sz w:val="20"/>
          <w:szCs w:val="20"/>
          <w:color w:val="auto"/>
        </w:rPr>
      </w:pPr>
    </w:p>
    <w:p>
      <w:pPr>
        <w:ind w:left="400" w:right="140" w:hanging="198"/>
        <w:spacing w:after="0" w:line="226" w:lineRule="auto"/>
        <w:tabs>
          <w:tab w:leader="none" w:pos="40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Represents total Company matching contributions to each Named Executive Officer’s accounts in the tax-qualified Honeywell 401(k) Plan and the non-tax-qualified Supplemental Savings Plan. The value of registrant contributions includes annual matching contributions that were credited to the Named Executive Officers in January 2024 for the 2023 year.</w:t>
      </w:r>
    </w:p>
    <w:p>
      <w:pPr>
        <w:spacing w:after="0" w:line="63" w:lineRule="exact"/>
        <w:rPr>
          <w:rFonts w:ascii="Arial" w:cs="Arial" w:eastAsia="Arial" w:hAnsi="Arial"/>
          <w:sz w:val="16"/>
          <w:szCs w:val="16"/>
          <w:color w:val="auto"/>
          <w:vertAlign w:val="superscript"/>
        </w:rPr>
      </w:pPr>
    </w:p>
    <w:p>
      <w:pPr>
        <w:ind w:left="400" w:right="20" w:hanging="198"/>
        <w:spacing w:after="0" w:line="237" w:lineRule="auto"/>
        <w:tabs>
          <w:tab w:leader="none" w:pos="40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For security reasons, Messrs. Kapur and Adamczyk are required by Company policy to use Company aircraft for all business and personal travel (requirement to use Company aircraft for specific personal travel may be waived at the discretion of Honeywell’s security personnel). Personal travel for Mr. Kapur was predominately associated with commuting trips between Houston and Charlotte due to his relocation from Houston to Charlotte in 2023. Other NEOs may have access to available corporate aircraft for personal travel, from time to time, if approved by the CEO. The amount shown for each NEO represents the aggregate incremental cost of personal travel. This amount is calculated by multiplying the total number of personal flight hours by the average direct variable operating costs (e.g., expenses for aviation employees, variable aircraft maintenance, telecommunications, transportation charges, including but not limited to hangar and landing fees, aviation fuel, and commissaries) per flight hour for Company aircraft.</w:t>
      </w:r>
    </w:p>
    <w:p>
      <w:pPr>
        <w:spacing w:after="0" w:line="34" w:lineRule="exact"/>
        <w:rPr>
          <w:rFonts w:ascii="Arial" w:cs="Arial" w:eastAsia="Arial" w:hAnsi="Arial"/>
          <w:sz w:val="16"/>
          <w:szCs w:val="16"/>
          <w:color w:val="auto"/>
          <w:vertAlign w:val="superscript"/>
        </w:rPr>
      </w:pPr>
    </w:p>
    <w:p>
      <w:pPr>
        <w:ind w:left="400" w:hanging="198"/>
        <w:spacing w:after="0"/>
        <w:tabs>
          <w:tab w:leader="none" w:pos="40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In accordance with the CEO security plan, represents the total paid by the Company in 2023 for expenses relating to personal residential security provided to protect Mr. Adamczyk.</w:t>
      </w:r>
    </w:p>
    <w:p>
      <w:pPr>
        <w:spacing w:after="0" w:line="63" w:lineRule="exact"/>
        <w:rPr>
          <w:rFonts w:ascii="Arial" w:cs="Arial" w:eastAsia="Arial" w:hAnsi="Arial"/>
          <w:sz w:val="16"/>
          <w:szCs w:val="16"/>
          <w:color w:val="auto"/>
          <w:vertAlign w:val="superscript"/>
        </w:rPr>
      </w:pPr>
    </w:p>
    <w:p>
      <w:pPr>
        <w:ind w:left="400" w:right="120" w:hanging="198"/>
        <w:spacing w:after="0" w:line="226" w:lineRule="auto"/>
        <w:tabs>
          <w:tab w:leader="none" w:pos="40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Represents relocation assistance in connection with the promotion of Mr. Kapur and hiring of Mr. Boldea. Both were eligible for the same level of relocation assistance and loss-on-sale recovery that is made available to other executive-level employees when relocating.</w:t>
      </w:r>
    </w:p>
    <w:p>
      <w:pPr>
        <w:spacing w:after="0" w:line="50" w:lineRule="exact"/>
        <w:rPr>
          <w:rFonts w:ascii="Arial" w:cs="Arial" w:eastAsia="Arial" w:hAnsi="Arial"/>
          <w:sz w:val="16"/>
          <w:szCs w:val="16"/>
          <w:color w:val="auto"/>
          <w:vertAlign w:val="superscript"/>
        </w:rPr>
      </w:pPr>
    </w:p>
    <w:p>
      <w:pPr>
        <w:jc w:val="both"/>
        <w:ind w:left="400" w:right="220" w:hanging="198"/>
        <w:spacing w:after="0" w:line="236" w:lineRule="auto"/>
        <w:tabs>
          <w:tab w:leader="none" w:pos="40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Tax gross-up on relocation costs that are otherwise taxable to the NEO under IRS rules. This represents a one-time item necessary to ensure executives were not negatively impacted by their necessary relocations. Mr. Kapur relocated from Houston, Texas to Charlotte, North Carolina where the Corporate Headquarters is located. Mr. Boldea relocated from Kingsport, Tennessee to Houston, Texas where the PMT Headquarters is located.</w:t>
      </w:r>
    </w:p>
    <w:p>
      <w:pPr>
        <w:spacing w:after="0" w:line="33" w:lineRule="exact"/>
        <w:rPr>
          <w:rFonts w:ascii="Arial" w:cs="Arial" w:eastAsia="Arial" w:hAnsi="Arial"/>
          <w:sz w:val="16"/>
          <w:szCs w:val="16"/>
          <w:color w:val="auto"/>
          <w:vertAlign w:val="superscript"/>
        </w:rPr>
      </w:pPr>
    </w:p>
    <w:p>
      <w:pPr>
        <w:ind w:left="380" w:hanging="178"/>
        <w:spacing w:after="0"/>
        <w:tabs>
          <w:tab w:leader="none" w:pos="38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Represents the annual premiums paid by the Company to purchase excess liability insurance coverage for each Named Executive Officer.</w:t>
      </w:r>
    </w:p>
    <w:p>
      <w:pPr>
        <w:spacing w:after="0" w:line="56" w:lineRule="exact"/>
        <w:rPr>
          <w:rFonts w:ascii="Arial" w:cs="Arial" w:eastAsia="Arial" w:hAnsi="Arial"/>
          <w:sz w:val="16"/>
          <w:szCs w:val="16"/>
          <w:color w:val="auto"/>
          <w:vertAlign w:val="superscript"/>
        </w:rPr>
      </w:pPr>
    </w:p>
    <w:p>
      <w:pPr>
        <w:ind w:left="400" w:hanging="198"/>
        <w:spacing w:after="0" w:line="225" w:lineRule="auto"/>
        <w:tabs>
          <w:tab w:leader="none" w:pos="400" w:val="left"/>
        </w:tabs>
        <w:numPr>
          <w:ilvl w:val="1"/>
          <w:numId w:val="176"/>
        </w:numPr>
        <w:rPr>
          <w:rFonts w:ascii="Arial" w:cs="Arial" w:eastAsia="Arial" w:hAnsi="Arial"/>
          <w:sz w:val="16"/>
          <w:szCs w:val="16"/>
          <w:color w:val="auto"/>
          <w:vertAlign w:val="superscript"/>
        </w:rPr>
      </w:pPr>
      <w:r>
        <w:rPr>
          <w:rFonts w:ascii="Arial" w:cs="Arial" w:eastAsia="Arial" w:hAnsi="Arial"/>
          <w:sz w:val="13"/>
          <w:szCs w:val="13"/>
          <w:color w:val="auto"/>
        </w:rPr>
        <w:t>Represents cost of the annual executive physical covered by the Company (excess over insurance) and concierge medical services provided to Charlotte-based officers.</w:t>
      </w:r>
    </w:p>
    <w:p>
      <w:pPr>
        <w:spacing w:after="0" w:line="57"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177"/>
        </w:numPr>
        <w:rPr>
          <w:rFonts w:ascii="Arial" w:cs="Arial" w:eastAsia="Arial" w:hAnsi="Arial"/>
          <w:sz w:val="16"/>
          <w:szCs w:val="16"/>
          <w:color w:val="auto"/>
          <w:vertAlign w:val="superscript"/>
        </w:rPr>
      </w:pPr>
      <w:r>
        <w:rPr>
          <w:rFonts w:ascii="Arial" w:cs="Arial" w:eastAsia="Arial" w:hAnsi="Arial"/>
          <w:sz w:val="13"/>
          <w:szCs w:val="13"/>
          <w:color w:val="auto"/>
        </w:rPr>
        <w:t>Represents total reportable compensation determined in accordance with SEC disclosure requirements.</w:t>
      </w:r>
    </w:p>
    <w:p>
      <w:pPr>
        <w:spacing w:after="0" w:line="20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sz w:val="1"/>
          <w:szCs w:val="1"/>
          <w:color w:val="auto"/>
        </w:rPr>
        <w:drawing>
          <wp:inline distT="0" distB="0" distL="0" distR="0">
            <wp:extent cx="548640" cy="10287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OTHER COMPENSATION TABLES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GRANTS OF PLAN-BASED AWARDS — FISCAL YEAR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ind w:right="88"/>
              <w:spacing w:after="0"/>
              <w:rPr>
                <w:sz w:val="20"/>
                <w:szCs w:val="20"/>
                <w:color w:val="auto"/>
              </w:rPr>
            </w:pPr>
            <w:r>
              <w:rPr>
                <w:rFonts w:ascii="Arial" w:cs="Arial" w:eastAsia="Arial" w:hAnsi="Arial"/>
                <w:sz w:val="11"/>
                <w:szCs w:val="11"/>
                <w:b w:val="1"/>
                <w:bCs w:val="1"/>
                <w:color w:val="auto"/>
              </w:rPr>
              <w:t>All Other</w:t>
            </w:r>
          </w:p>
        </w:tc>
        <w:tc>
          <w:tcPr>
            <w:tcW w:w="760" w:type="dxa"/>
            <w:vAlign w:val="bottom"/>
          </w:tcPr>
          <w:p>
            <w:pPr>
              <w:jc w:val="right"/>
              <w:ind w:right="8"/>
              <w:spacing w:after="0"/>
              <w:rPr>
                <w:sz w:val="20"/>
                <w:szCs w:val="20"/>
                <w:color w:val="auto"/>
              </w:rPr>
            </w:pPr>
            <w:r>
              <w:rPr>
                <w:rFonts w:ascii="Arial" w:cs="Arial" w:eastAsia="Arial" w:hAnsi="Arial"/>
                <w:sz w:val="11"/>
                <w:szCs w:val="11"/>
                <w:b w:val="1"/>
                <w:bCs w:val="1"/>
                <w:color w:val="auto"/>
              </w:rPr>
              <w:t>All Other</w:t>
            </w:r>
          </w:p>
        </w:tc>
        <w:tc>
          <w:tcPr>
            <w:tcW w:w="720" w:type="dxa"/>
            <w:vAlign w:val="bottom"/>
            <w:vMerge w:val="restart"/>
          </w:tcPr>
          <w:p>
            <w:pPr>
              <w:jc w:val="right"/>
              <w:ind w:right="28"/>
              <w:spacing w:after="0"/>
              <w:rPr>
                <w:sz w:val="20"/>
                <w:szCs w:val="20"/>
                <w:color w:val="auto"/>
              </w:rPr>
            </w:pPr>
            <w:r>
              <w:rPr>
                <w:rFonts w:ascii="Arial" w:cs="Arial" w:eastAsia="Arial" w:hAnsi="Arial"/>
                <w:sz w:val="11"/>
                <w:szCs w:val="11"/>
                <w:b w:val="1"/>
                <w:bCs w:val="1"/>
                <w:color w:val="auto"/>
              </w:rPr>
              <w:t>Exercise</w:t>
            </w:r>
          </w:p>
        </w:tc>
        <w:tc>
          <w:tcPr>
            <w:tcW w:w="800" w:type="dxa"/>
            <w:vAlign w:val="bottom"/>
          </w:tcPr>
          <w:p>
            <w:pPr>
              <w:jc w:val="right"/>
              <w:ind w:right="108"/>
              <w:spacing w:after="0"/>
              <w:rPr>
                <w:sz w:val="20"/>
                <w:szCs w:val="20"/>
                <w:color w:val="auto"/>
              </w:rPr>
            </w:pPr>
            <w:r>
              <w:rPr>
                <w:rFonts w:ascii="Arial" w:cs="Arial" w:eastAsia="Arial" w:hAnsi="Arial"/>
                <w:sz w:val="11"/>
                <w:szCs w:val="11"/>
                <w:b w:val="1"/>
                <w:bCs w:val="1"/>
                <w:color w:val="auto"/>
              </w:rPr>
              <w:t>Closing</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right"/>
              <w:ind w:right="88"/>
              <w:spacing w:after="0" w:line="122" w:lineRule="exact"/>
              <w:rPr>
                <w:sz w:val="20"/>
                <w:szCs w:val="20"/>
                <w:color w:val="auto"/>
              </w:rPr>
            </w:pPr>
            <w:r>
              <w:rPr>
                <w:rFonts w:ascii="Arial" w:cs="Arial" w:eastAsia="Arial" w:hAnsi="Arial"/>
                <w:sz w:val="11"/>
                <w:szCs w:val="11"/>
                <w:b w:val="1"/>
                <w:bCs w:val="1"/>
                <w:color w:val="auto"/>
              </w:rPr>
              <w:t>Stock</w:t>
            </w:r>
          </w:p>
        </w:tc>
        <w:tc>
          <w:tcPr>
            <w:tcW w:w="760" w:type="dxa"/>
            <w:vAlign w:val="bottom"/>
          </w:tcPr>
          <w:p>
            <w:pPr>
              <w:jc w:val="right"/>
              <w:ind w:right="8"/>
              <w:spacing w:after="0" w:line="122" w:lineRule="exact"/>
              <w:rPr>
                <w:sz w:val="20"/>
                <w:szCs w:val="20"/>
                <w:color w:val="auto"/>
              </w:rPr>
            </w:pPr>
            <w:r>
              <w:rPr>
                <w:rFonts w:ascii="Arial" w:cs="Arial" w:eastAsia="Arial" w:hAnsi="Arial"/>
                <w:sz w:val="11"/>
                <w:szCs w:val="11"/>
                <w:b w:val="1"/>
                <w:bCs w:val="1"/>
                <w:color w:val="auto"/>
              </w:rPr>
              <w:t>Option</w:t>
            </w:r>
          </w:p>
        </w:tc>
        <w:tc>
          <w:tcPr>
            <w:tcW w:w="720" w:type="dxa"/>
            <w:vAlign w:val="bottom"/>
            <w:vMerge w:val="continue"/>
          </w:tcPr>
          <w:p>
            <w:pPr>
              <w:spacing w:after="0"/>
              <w:rPr>
                <w:sz w:val="10"/>
                <w:szCs w:val="10"/>
                <w:color w:val="auto"/>
              </w:rPr>
            </w:pPr>
          </w:p>
        </w:tc>
        <w:tc>
          <w:tcPr>
            <w:tcW w:w="800" w:type="dxa"/>
            <w:vAlign w:val="bottom"/>
          </w:tcPr>
          <w:p>
            <w:pPr>
              <w:jc w:val="right"/>
              <w:ind w:right="108"/>
              <w:spacing w:after="0" w:line="122" w:lineRule="exact"/>
              <w:rPr>
                <w:sz w:val="20"/>
                <w:szCs w:val="20"/>
                <w:color w:val="auto"/>
              </w:rPr>
            </w:pPr>
            <w:r>
              <w:rPr>
                <w:rFonts w:ascii="Arial" w:cs="Arial" w:eastAsia="Arial" w:hAnsi="Arial"/>
                <w:sz w:val="11"/>
                <w:szCs w:val="11"/>
                <w:b w:val="1"/>
                <w:bCs w:val="1"/>
                <w:color w:val="auto"/>
              </w:rPr>
              <w:t>Price on</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right"/>
              <w:ind w:right="88"/>
              <w:spacing w:after="0" w:line="122" w:lineRule="exact"/>
              <w:rPr>
                <w:sz w:val="20"/>
                <w:szCs w:val="20"/>
                <w:color w:val="auto"/>
              </w:rPr>
            </w:pPr>
            <w:r>
              <w:rPr>
                <w:rFonts w:ascii="Arial" w:cs="Arial" w:eastAsia="Arial" w:hAnsi="Arial"/>
                <w:sz w:val="11"/>
                <w:szCs w:val="11"/>
                <w:b w:val="1"/>
                <w:bCs w:val="1"/>
                <w:color w:val="auto"/>
              </w:rPr>
              <w:t>Awards:</w:t>
            </w:r>
          </w:p>
        </w:tc>
        <w:tc>
          <w:tcPr>
            <w:tcW w:w="760" w:type="dxa"/>
            <w:vAlign w:val="bottom"/>
          </w:tcPr>
          <w:p>
            <w:pPr>
              <w:jc w:val="right"/>
              <w:ind w:right="8"/>
              <w:spacing w:after="0" w:line="122" w:lineRule="exact"/>
              <w:rPr>
                <w:sz w:val="20"/>
                <w:szCs w:val="20"/>
                <w:color w:val="auto"/>
              </w:rPr>
            </w:pPr>
            <w:r>
              <w:rPr>
                <w:rFonts w:ascii="Arial" w:cs="Arial" w:eastAsia="Arial" w:hAnsi="Arial"/>
                <w:sz w:val="11"/>
                <w:szCs w:val="11"/>
                <w:b w:val="1"/>
                <w:bCs w:val="1"/>
                <w:color w:val="auto"/>
              </w:rPr>
              <w:t>Awards:</w:t>
            </w:r>
          </w:p>
        </w:tc>
        <w:tc>
          <w:tcPr>
            <w:tcW w:w="720" w:type="dxa"/>
            <w:vAlign w:val="bottom"/>
          </w:tcPr>
          <w:p>
            <w:pPr>
              <w:jc w:val="right"/>
              <w:ind w:right="28"/>
              <w:spacing w:after="0" w:line="122" w:lineRule="exact"/>
              <w:rPr>
                <w:sz w:val="20"/>
                <w:szCs w:val="20"/>
                <w:color w:val="auto"/>
              </w:rPr>
            </w:pPr>
            <w:r>
              <w:rPr>
                <w:rFonts w:ascii="Arial" w:cs="Arial" w:eastAsia="Arial" w:hAnsi="Arial"/>
                <w:sz w:val="11"/>
                <w:szCs w:val="11"/>
                <w:b w:val="1"/>
                <w:bCs w:val="1"/>
                <w:color w:val="auto"/>
              </w:rPr>
              <w:t>or Base</w:t>
            </w:r>
          </w:p>
        </w:tc>
        <w:tc>
          <w:tcPr>
            <w:tcW w:w="800" w:type="dxa"/>
            <w:vAlign w:val="bottom"/>
          </w:tcPr>
          <w:p>
            <w:pPr>
              <w:jc w:val="right"/>
              <w:ind w:right="108"/>
              <w:spacing w:after="0" w:line="122" w:lineRule="exact"/>
              <w:rPr>
                <w:sz w:val="20"/>
                <w:szCs w:val="20"/>
                <w:color w:val="auto"/>
              </w:rPr>
            </w:pPr>
            <w:r>
              <w:rPr>
                <w:rFonts w:ascii="Arial" w:cs="Arial" w:eastAsia="Arial" w:hAnsi="Arial"/>
                <w:sz w:val="11"/>
                <w:szCs w:val="11"/>
                <w:b w:val="1"/>
                <w:bCs w:val="1"/>
                <w:color w:val="auto"/>
              </w:rPr>
              <w:t>Date of</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76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7"/>
              </w:rPr>
              <w:t>Estimated Future Payouts Under Non-</w:t>
            </w:r>
          </w:p>
        </w:tc>
        <w:tc>
          <w:tcPr>
            <w:tcW w:w="2180" w:type="dxa"/>
            <w:vAlign w:val="bottom"/>
            <w:gridSpan w:val="3"/>
            <w:vMerge w:val="restart"/>
          </w:tcPr>
          <w:p>
            <w:pPr>
              <w:jc w:val="right"/>
              <w:ind w:right="206"/>
              <w:spacing w:after="0"/>
              <w:rPr>
                <w:sz w:val="20"/>
                <w:szCs w:val="20"/>
                <w:color w:val="auto"/>
              </w:rPr>
            </w:pPr>
            <w:r>
              <w:rPr>
                <w:rFonts w:ascii="Arial" w:cs="Arial" w:eastAsia="Arial" w:hAnsi="Arial"/>
                <w:sz w:val="11"/>
                <w:szCs w:val="11"/>
                <w:b w:val="1"/>
                <w:bCs w:val="1"/>
                <w:color w:val="auto"/>
              </w:rPr>
              <w:t>Estimated Future Payouts Under</w:t>
            </w:r>
          </w:p>
        </w:tc>
        <w:tc>
          <w:tcPr>
            <w:tcW w:w="860" w:type="dxa"/>
            <w:vAlign w:val="bottom"/>
          </w:tcPr>
          <w:p>
            <w:pPr>
              <w:jc w:val="right"/>
              <w:ind w:right="88"/>
              <w:spacing w:after="0"/>
              <w:rPr>
                <w:sz w:val="20"/>
                <w:szCs w:val="20"/>
                <w:color w:val="auto"/>
              </w:rPr>
            </w:pPr>
            <w:r>
              <w:rPr>
                <w:rFonts w:ascii="Arial" w:cs="Arial" w:eastAsia="Arial" w:hAnsi="Arial"/>
                <w:sz w:val="11"/>
                <w:szCs w:val="11"/>
                <w:b w:val="1"/>
                <w:bCs w:val="1"/>
                <w:color w:val="auto"/>
              </w:rPr>
              <w:t>Number</w:t>
            </w:r>
          </w:p>
        </w:tc>
        <w:tc>
          <w:tcPr>
            <w:tcW w:w="760" w:type="dxa"/>
            <w:vAlign w:val="bottom"/>
          </w:tcPr>
          <w:p>
            <w:pPr>
              <w:jc w:val="right"/>
              <w:ind w:right="8"/>
              <w:spacing w:after="0"/>
              <w:rPr>
                <w:sz w:val="20"/>
                <w:szCs w:val="20"/>
                <w:color w:val="auto"/>
              </w:rPr>
            </w:pPr>
            <w:r>
              <w:rPr>
                <w:rFonts w:ascii="Arial" w:cs="Arial" w:eastAsia="Arial" w:hAnsi="Arial"/>
                <w:sz w:val="11"/>
                <w:szCs w:val="11"/>
                <w:b w:val="1"/>
                <w:bCs w:val="1"/>
                <w:color w:val="auto"/>
              </w:rPr>
              <w:t>Number of</w:t>
            </w:r>
          </w:p>
        </w:tc>
        <w:tc>
          <w:tcPr>
            <w:tcW w:w="720" w:type="dxa"/>
            <w:vAlign w:val="bottom"/>
          </w:tcPr>
          <w:p>
            <w:pPr>
              <w:jc w:val="right"/>
              <w:ind w:right="28"/>
              <w:spacing w:after="0"/>
              <w:rPr>
                <w:sz w:val="20"/>
                <w:szCs w:val="20"/>
                <w:color w:val="auto"/>
              </w:rPr>
            </w:pPr>
            <w:r>
              <w:rPr>
                <w:rFonts w:ascii="Arial" w:cs="Arial" w:eastAsia="Arial" w:hAnsi="Arial"/>
                <w:sz w:val="11"/>
                <w:szCs w:val="11"/>
                <w:b w:val="1"/>
                <w:bCs w:val="1"/>
                <w:color w:val="auto"/>
              </w:rPr>
              <w:t>Price of</w:t>
            </w:r>
          </w:p>
        </w:tc>
        <w:tc>
          <w:tcPr>
            <w:tcW w:w="800" w:type="dxa"/>
            <w:vAlign w:val="bottom"/>
          </w:tcPr>
          <w:p>
            <w:pPr>
              <w:jc w:val="right"/>
              <w:ind w:right="108"/>
              <w:spacing w:after="0"/>
              <w:rPr>
                <w:sz w:val="20"/>
                <w:szCs w:val="20"/>
                <w:color w:val="auto"/>
              </w:rPr>
            </w:pPr>
            <w:r>
              <w:rPr>
                <w:rFonts w:ascii="Arial" w:cs="Arial" w:eastAsia="Arial" w:hAnsi="Arial"/>
                <w:sz w:val="11"/>
                <w:szCs w:val="11"/>
                <w:b w:val="1"/>
                <w:bCs w:val="1"/>
                <w:color w:val="auto"/>
              </w:rPr>
              <w:t>Grant of</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Grant Date Fair</w:t>
            </w:r>
          </w:p>
        </w:tc>
        <w:tc>
          <w:tcPr>
            <w:tcW w:w="0" w:type="dxa"/>
            <w:vAlign w:val="bottom"/>
          </w:tcPr>
          <w:p>
            <w:pPr>
              <w:spacing w:after="0"/>
              <w:rPr>
                <w:sz w:val="1"/>
                <w:szCs w:val="1"/>
                <w:color w:val="auto"/>
              </w:rPr>
            </w:pPr>
          </w:p>
        </w:tc>
      </w:tr>
      <w:tr>
        <w:trPr>
          <w:trHeight w:val="65"/>
        </w:trPr>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Named</w:t>
            </w: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760" w:type="dxa"/>
            <w:vAlign w:val="bottom"/>
            <w:gridSpan w:val="4"/>
            <w:vMerge w:val="continue"/>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860" w:type="dxa"/>
            <w:vAlign w:val="bottom"/>
            <w:vMerge w:val="restart"/>
          </w:tcPr>
          <w:p>
            <w:pPr>
              <w:jc w:val="right"/>
              <w:ind w:right="88"/>
              <w:spacing w:after="0"/>
              <w:rPr>
                <w:sz w:val="20"/>
                <w:szCs w:val="20"/>
                <w:color w:val="auto"/>
              </w:rPr>
            </w:pPr>
            <w:r>
              <w:rPr>
                <w:rFonts w:ascii="Arial" w:cs="Arial" w:eastAsia="Arial" w:hAnsi="Arial"/>
                <w:sz w:val="11"/>
                <w:szCs w:val="11"/>
                <w:b w:val="1"/>
                <w:bCs w:val="1"/>
                <w:color w:val="auto"/>
              </w:rPr>
              <w:t>of Shares</w:t>
            </w:r>
          </w:p>
        </w:tc>
        <w:tc>
          <w:tcPr>
            <w:tcW w:w="760" w:type="dxa"/>
            <w:vAlign w:val="bottom"/>
            <w:vMerge w:val="restart"/>
          </w:tcPr>
          <w:p>
            <w:pPr>
              <w:jc w:val="right"/>
              <w:ind w:right="8"/>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jc w:val="right"/>
              <w:ind w:right="28"/>
              <w:spacing w:after="0"/>
              <w:rPr>
                <w:sz w:val="20"/>
                <w:szCs w:val="20"/>
                <w:color w:val="auto"/>
              </w:rPr>
            </w:pPr>
            <w:r>
              <w:rPr>
                <w:rFonts w:ascii="Arial" w:cs="Arial" w:eastAsia="Arial" w:hAnsi="Arial"/>
                <w:sz w:val="11"/>
                <w:szCs w:val="11"/>
                <w:b w:val="1"/>
                <w:bCs w:val="1"/>
                <w:color w:val="auto"/>
              </w:rPr>
              <w:t>Option</w:t>
            </w:r>
          </w:p>
        </w:tc>
        <w:tc>
          <w:tcPr>
            <w:tcW w:w="800" w:type="dxa"/>
            <w:vAlign w:val="bottom"/>
            <w:vMerge w:val="restart"/>
          </w:tcPr>
          <w:p>
            <w:pPr>
              <w:jc w:val="right"/>
              <w:ind w:right="108"/>
              <w:spacing w:after="0"/>
              <w:rPr>
                <w:sz w:val="20"/>
                <w:szCs w:val="20"/>
                <w:color w:val="auto"/>
              </w:rPr>
            </w:pPr>
            <w:r>
              <w:rPr>
                <w:rFonts w:ascii="Arial" w:cs="Arial" w:eastAsia="Arial" w:hAnsi="Arial"/>
                <w:sz w:val="11"/>
                <w:szCs w:val="11"/>
                <w:b w:val="1"/>
                <w:bCs w:val="1"/>
                <w:color w:val="auto"/>
              </w:rPr>
              <w:t>Option</w:t>
            </w:r>
          </w:p>
        </w:tc>
        <w:tc>
          <w:tcPr>
            <w:tcW w:w="9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Value of Stock</w:t>
            </w:r>
          </w:p>
        </w:tc>
        <w:tc>
          <w:tcPr>
            <w:tcW w:w="0" w:type="dxa"/>
            <w:vAlign w:val="bottom"/>
          </w:tcPr>
          <w:p>
            <w:pPr>
              <w:spacing w:after="0"/>
              <w:rPr>
                <w:sz w:val="1"/>
                <w:szCs w:val="1"/>
                <w:color w:val="auto"/>
              </w:rPr>
            </w:pPr>
          </w:p>
        </w:tc>
      </w:tr>
      <w:tr>
        <w:trPr>
          <w:trHeight w:val="110"/>
        </w:trPr>
        <w:tc>
          <w:tcPr>
            <w:tcW w:w="7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760" w:type="dxa"/>
            <w:vAlign w:val="bottom"/>
            <w:gridSpan w:val="4"/>
          </w:tcPr>
          <w:p>
            <w:pPr>
              <w:jc w:val="center"/>
              <w:ind w:right="100"/>
              <w:spacing w:after="0" w:line="110" w:lineRule="exact"/>
              <w:rPr>
                <w:sz w:val="20"/>
                <w:szCs w:val="20"/>
                <w:color w:val="auto"/>
              </w:rPr>
            </w:pPr>
            <w:r>
              <w:rPr>
                <w:rFonts w:ascii="Arial" w:cs="Arial" w:eastAsia="Arial" w:hAnsi="Arial"/>
                <w:sz w:val="11"/>
                <w:szCs w:val="11"/>
                <w:b w:val="1"/>
                <w:bCs w:val="1"/>
                <w:color w:val="auto"/>
                <w:w w:val="97"/>
              </w:rPr>
              <w:t>Equity Incentive Plan Awards</w:t>
            </w:r>
          </w:p>
        </w:tc>
        <w:tc>
          <w:tcPr>
            <w:tcW w:w="2180" w:type="dxa"/>
            <w:vAlign w:val="bottom"/>
            <w:gridSpan w:val="3"/>
          </w:tcPr>
          <w:p>
            <w:pPr>
              <w:jc w:val="right"/>
              <w:ind w:right="246"/>
              <w:spacing w:after="0" w:line="110" w:lineRule="exact"/>
              <w:rPr>
                <w:sz w:val="20"/>
                <w:szCs w:val="20"/>
                <w:color w:val="auto"/>
              </w:rPr>
            </w:pPr>
            <w:r>
              <w:rPr>
                <w:rFonts w:ascii="Arial" w:cs="Arial" w:eastAsia="Arial" w:hAnsi="Arial"/>
                <w:sz w:val="9"/>
                <w:szCs w:val="9"/>
                <w:b w:val="1"/>
                <w:bCs w:val="1"/>
                <w:color w:val="auto"/>
              </w:rPr>
              <w:t>Equity Incentive Plan Awards</w:t>
            </w:r>
            <w:r>
              <w:rPr>
                <w:rFonts w:ascii="Arial" w:cs="Arial" w:eastAsia="Arial" w:hAnsi="Arial"/>
                <w:sz w:val="12"/>
                <w:szCs w:val="12"/>
                <w:b w:val="1"/>
                <w:bCs w:val="1"/>
                <w:color w:val="auto"/>
                <w:vertAlign w:val="superscript"/>
              </w:rPr>
              <w:t>(3)</w:t>
            </w:r>
          </w:p>
        </w:tc>
        <w:tc>
          <w:tcPr>
            <w:tcW w:w="8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60" w:type="dxa"/>
            <w:vAlign w:val="bottom"/>
          </w:tcPr>
          <w:p>
            <w:pPr>
              <w:ind w:left="20"/>
              <w:spacing w:after="0" w:line="48" w:lineRule="exact"/>
              <w:rPr>
                <w:sz w:val="20"/>
                <w:szCs w:val="20"/>
                <w:color w:val="auto"/>
              </w:rPr>
            </w:pPr>
            <w:r>
              <w:rPr>
                <w:rFonts w:ascii="Arial" w:cs="Arial" w:eastAsia="Arial" w:hAnsi="Arial"/>
                <w:sz w:val="5"/>
                <w:szCs w:val="5"/>
                <w:b w:val="1"/>
                <w:bCs w:val="1"/>
                <w:color w:val="auto"/>
              </w:rPr>
              <w:t>Executive</w:t>
            </w:r>
          </w:p>
        </w:tc>
        <w:tc>
          <w:tcPr>
            <w:tcW w:w="620" w:type="dxa"/>
            <w:vAlign w:val="bottom"/>
          </w:tcPr>
          <w:p>
            <w:pPr>
              <w:ind w:left="20"/>
              <w:spacing w:after="0" w:line="48" w:lineRule="exact"/>
              <w:rPr>
                <w:sz w:val="20"/>
                <w:szCs w:val="20"/>
                <w:color w:val="auto"/>
              </w:rPr>
            </w:pPr>
            <w:r>
              <w:rPr>
                <w:rFonts w:ascii="Arial" w:cs="Arial" w:eastAsia="Arial" w:hAnsi="Arial"/>
                <w:sz w:val="5"/>
                <w:szCs w:val="5"/>
                <w:b w:val="1"/>
                <w:bCs w:val="1"/>
                <w:color w:val="auto"/>
              </w:rPr>
              <w:t>Award</w:t>
            </w:r>
          </w:p>
        </w:tc>
        <w:tc>
          <w:tcPr>
            <w:tcW w:w="800" w:type="dxa"/>
            <w:vAlign w:val="bottom"/>
          </w:tcPr>
          <w:p>
            <w:pPr>
              <w:ind w:left="100"/>
              <w:spacing w:after="0" w:line="48" w:lineRule="exact"/>
              <w:rPr>
                <w:sz w:val="20"/>
                <w:szCs w:val="20"/>
                <w:color w:val="auto"/>
              </w:rPr>
            </w:pPr>
            <w:r>
              <w:rPr>
                <w:rFonts w:ascii="Arial" w:cs="Arial" w:eastAsia="Arial" w:hAnsi="Arial"/>
                <w:sz w:val="5"/>
                <w:szCs w:val="5"/>
                <w:b w:val="1"/>
                <w:bCs w:val="1"/>
                <w:color w:val="auto"/>
              </w:rPr>
              <w:t>Grant</w:t>
            </w:r>
          </w:p>
        </w:tc>
        <w:tc>
          <w:tcPr>
            <w:tcW w:w="1020" w:type="dxa"/>
            <w:vAlign w:val="bottom"/>
            <w:tcBorders>
              <w:bottom w:val="single" w:sz="8" w:color="EE2724"/>
            </w:tcBorders>
          </w:tcPr>
          <w:p>
            <w:pPr>
              <w:spacing w:after="0"/>
              <w:rPr>
                <w:sz w:val="4"/>
                <w:szCs w:val="4"/>
                <w:color w:val="auto"/>
              </w:rPr>
            </w:pPr>
          </w:p>
        </w:tc>
        <w:tc>
          <w:tcPr>
            <w:tcW w:w="880" w:type="dxa"/>
            <w:vAlign w:val="bottom"/>
            <w:tcBorders>
              <w:bottom w:val="single" w:sz="8" w:color="EE2724"/>
            </w:tcBorders>
          </w:tcPr>
          <w:p>
            <w:pPr>
              <w:spacing w:after="0"/>
              <w:rPr>
                <w:sz w:val="4"/>
                <w:szCs w:val="4"/>
                <w:color w:val="auto"/>
              </w:rPr>
            </w:pPr>
          </w:p>
        </w:tc>
        <w:tc>
          <w:tcPr>
            <w:tcW w:w="760" w:type="dxa"/>
            <w:vAlign w:val="bottom"/>
            <w:tcBorders>
              <w:bottom w:val="single" w:sz="8" w:color="EE2724"/>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EE2724"/>
            </w:tcBorders>
          </w:tcPr>
          <w:p>
            <w:pPr>
              <w:spacing w:after="0"/>
              <w:rPr>
                <w:sz w:val="4"/>
                <w:szCs w:val="4"/>
                <w:color w:val="auto"/>
              </w:rPr>
            </w:pPr>
          </w:p>
        </w:tc>
        <w:tc>
          <w:tcPr>
            <w:tcW w:w="640" w:type="dxa"/>
            <w:vAlign w:val="bottom"/>
            <w:tcBorders>
              <w:bottom w:val="single" w:sz="8" w:color="EE2724"/>
            </w:tcBorders>
          </w:tcPr>
          <w:p>
            <w:pPr>
              <w:spacing w:after="0"/>
              <w:rPr>
                <w:sz w:val="4"/>
                <w:szCs w:val="4"/>
                <w:color w:val="auto"/>
              </w:rPr>
            </w:pPr>
          </w:p>
        </w:tc>
        <w:tc>
          <w:tcPr>
            <w:tcW w:w="640" w:type="dxa"/>
            <w:vAlign w:val="bottom"/>
            <w:tcBorders>
              <w:bottom w:val="single" w:sz="8" w:color="EE2724"/>
            </w:tcBorders>
          </w:tcPr>
          <w:p>
            <w:pPr>
              <w:spacing w:after="0"/>
              <w:rPr>
                <w:sz w:val="4"/>
                <w:szCs w:val="4"/>
                <w:color w:val="auto"/>
              </w:rPr>
            </w:pPr>
          </w:p>
        </w:tc>
        <w:tc>
          <w:tcPr>
            <w:tcW w:w="860" w:type="dxa"/>
            <w:vAlign w:val="bottom"/>
          </w:tcPr>
          <w:p>
            <w:pPr>
              <w:jc w:val="right"/>
              <w:ind w:right="88"/>
              <w:spacing w:after="0" w:line="48" w:lineRule="exact"/>
              <w:rPr>
                <w:sz w:val="20"/>
                <w:szCs w:val="20"/>
                <w:color w:val="auto"/>
              </w:rPr>
            </w:pPr>
            <w:r>
              <w:rPr>
                <w:rFonts w:ascii="Arial" w:cs="Arial" w:eastAsia="Arial" w:hAnsi="Arial"/>
                <w:sz w:val="5"/>
                <w:szCs w:val="5"/>
                <w:b w:val="1"/>
                <w:bCs w:val="1"/>
                <w:color w:val="auto"/>
              </w:rPr>
              <w:t>of Stock</w:t>
            </w:r>
          </w:p>
        </w:tc>
        <w:tc>
          <w:tcPr>
            <w:tcW w:w="760" w:type="dxa"/>
            <w:vAlign w:val="bottom"/>
          </w:tcPr>
          <w:p>
            <w:pPr>
              <w:jc w:val="right"/>
              <w:ind w:right="8"/>
              <w:spacing w:after="0" w:line="48" w:lineRule="exact"/>
              <w:rPr>
                <w:sz w:val="20"/>
                <w:szCs w:val="20"/>
                <w:color w:val="auto"/>
              </w:rPr>
            </w:pPr>
            <w:r>
              <w:rPr>
                <w:rFonts w:ascii="Arial" w:cs="Arial" w:eastAsia="Arial" w:hAnsi="Arial"/>
                <w:sz w:val="5"/>
                <w:szCs w:val="5"/>
                <w:b w:val="1"/>
                <w:bCs w:val="1"/>
                <w:color w:val="auto"/>
              </w:rPr>
              <w:t>Underlying</w:t>
            </w:r>
          </w:p>
        </w:tc>
        <w:tc>
          <w:tcPr>
            <w:tcW w:w="720" w:type="dxa"/>
            <w:vAlign w:val="bottom"/>
          </w:tcPr>
          <w:p>
            <w:pPr>
              <w:jc w:val="right"/>
              <w:ind w:right="28"/>
              <w:spacing w:after="0" w:line="48" w:lineRule="exact"/>
              <w:rPr>
                <w:sz w:val="20"/>
                <w:szCs w:val="20"/>
                <w:color w:val="auto"/>
              </w:rPr>
            </w:pPr>
            <w:r>
              <w:rPr>
                <w:rFonts w:ascii="Arial" w:cs="Arial" w:eastAsia="Arial" w:hAnsi="Arial"/>
                <w:sz w:val="5"/>
                <w:szCs w:val="5"/>
                <w:b w:val="1"/>
                <w:bCs w:val="1"/>
                <w:color w:val="auto"/>
              </w:rPr>
              <w:t>Awards</w:t>
            </w:r>
          </w:p>
        </w:tc>
        <w:tc>
          <w:tcPr>
            <w:tcW w:w="800" w:type="dxa"/>
            <w:vAlign w:val="bottom"/>
          </w:tcPr>
          <w:p>
            <w:pPr>
              <w:jc w:val="right"/>
              <w:ind w:right="108"/>
              <w:spacing w:after="0" w:line="48" w:lineRule="exact"/>
              <w:rPr>
                <w:sz w:val="20"/>
                <w:szCs w:val="20"/>
                <w:color w:val="auto"/>
              </w:rPr>
            </w:pPr>
            <w:r>
              <w:rPr>
                <w:rFonts w:ascii="Arial" w:cs="Arial" w:eastAsia="Arial" w:hAnsi="Arial"/>
                <w:sz w:val="5"/>
                <w:szCs w:val="5"/>
                <w:b w:val="1"/>
                <w:bCs w:val="1"/>
                <w:color w:val="auto"/>
              </w:rPr>
              <w:t>Awards</w:t>
            </w:r>
          </w:p>
        </w:tc>
        <w:tc>
          <w:tcPr>
            <w:tcW w:w="960" w:type="dxa"/>
            <w:vAlign w:val="bottom"/>
          </w:tcPr>
          <w:p>
            <w:pPr>
              <w:jc w:val="right"/>
              <w:spacing w:after="0" w:line="48" w:lineRule="exact"/>
              <w:rPr>
                <w:sz w:val="20"/>
                <w:szCs w:val="20"/>
                <w:color w:val="auto"/>
              </w:rPr>
            </w:pPr>
            <w:r>
              <w:rPr>
                <w:rFonts w:ascii="Arial" w:cs="Arial" w:eastAsia="Arial" w:hAnsi="Arial"/>
                <w:sz w:val="5"/>
                <w:szCs w:val="5"/>
                <w:b w:val="1"/>
                <w:bCs w:val="1"/>
                <w:color w:val="auto"/>
              </w:rPr>
              <w:t>and Option</w:t>
            </w:r>
          </w:p>
        </w:tc>
        <w:tc>
          <w:tcPr>
            <w:tcW w:w="0" w:type="dxa"/>
            <w:vAlign w:val="bottom"/>
          </w:tcPr>
          <w:p>
            <w:pPr>
              <w:spacing w:after="0"/>
              <w:rPr>
                <w:sz w:val="1"/>
                <w:szCs w:val="1"/>
                <w:color w:val="auto"/>
              </w:rPr>
            </w:pPr>
          </w:p>
        </w:tc>
      </w:tr>
      <w:tr>
        <w:trPr>
          <w:trHeight w:val="183"/>
        </w:trPr>
        <w:tc>
          <w:tcPr>
            <w:tcW w:w="760" w:type="dxa"/>
            <w:vAlign w:val="bottom"/>
            <w:tcBorders>
              <w:bottom w:val="single" w:sz="8" w:color="EE2724"/>
            </w:tcBorders>
          </w:tcPr>
          <w:p>
            <w:pPr>
              <w:ind w:left="20"/>
              <w:spacing w:after="0"/>
              <w:rPr>
                <w:sz w:val="20"/>
                <w:szCs w:val="20"/>
                <w:color w:val="auto"/>
              </w:rPr>
            </w:pPr>
            <w:r>
              <w:rPr>
                <w:rFonts w:ascii="Arial" w:cs="Arial" w:eastAsia="Arial" w:hAnsi="Arial"/>
                <w:sz w:val="11"/>
                <w:szCs w:val="11"/>
                <w:b w:val="1"/>
                <w:bCs w:val="1"/>
                <w:color w:val="auto"/>
              </w:rPr>
              <w:t>Officer (NEO)</w:t>
            </w:r>
          </w:p>
        </w:tc>
        <w:tc>
          <w:tcPr>
            <w:tcW w:w="620" w:type="dxa"/>
            <w:vAlign w:val="bottom"/>
            <w:tcBorders>
              <w:bottom w:val="single" w:sz="8" w:color="EE2724"/>
            </w:tcBorders>
          </w:tcPr>
          <w:p>
            <w:pPr>
              <w:ind w:left="20"/>
              <w:spacing w:after="0"/>
              <w:rPr>
                <w:sz w:val="20"/>
                <w:szCs w:val="20"/>
                <w:color w:val="auto"/>
              </w:rPr>
            </w:pPr>
            <w:r>
              <w:rPr>
                <w:rFonts w:ascii="Arial" w:cs="Arial" w:eastAsia="Arial" w:hAnsi="Arial"/>
                <w:sz w:val="11"/>
                <w:szCs w:val="11"/>
                <w:b w:val="1"/>
                <w:bCs w:val="1"/>
                <w:color w:val="auto"/>
              </w:rPr>
              <w:t>Type</w:t>
            </w:r>
            <w:r>
              <w:rPr>
                <w:rFonts w:ascii="Arial" w:cs="Arial" w:eastAsia="Arial" w:hAnsi="Arial"/>
                <w:sz w:val="14"/>
                <w:szCs w:val="14"/>
                <w:b w:val="1"/>
                <w:bCs w:val="1"/>
                <w:color w:val="auto"/>
                <w:vertAlign w:val="superscript"/>
              </w:rPr>
              <w:t>(1)</w:t>
            </w:r>
          </w:p>
        </w:tc>
        <w:tc>
          <w:tcPr>
            <w:tcW w:w="800" w:type="dxa"/>
            <w:vAlign w:val="bottom"/>
            <w:tcBorders>
              <w:bottom w:val="single" w:sz="8" w:color="EE2724"/>
            </w:tcBorders>
          </w:tcPr>
          <w:p>
            <w:pPr>
              <w:ind w:left="100"/>
              <w:spacing w:after="0"/>
              <w:rPr>
                <w:sz w:val="20"/>
                <w:szCs w:val="20"/>
                <w:color w:val="auto"/>
              </w:rPr>
            </w:pPr>
            <w:r>
              <w:rPr>
                <w:rFonts w:ascii="Arial" w:cs="Arial" w:eastAsia="Arial" w:hAnsi="Arial"/>
                <w:sz w:val="11"/>
                <w:szCs w:val="11"/>
                <w:b w:val="1"/>
                <w:bCs w:val="1"/>
                <w:color w:val="auto"/>
              </w:rPr>
              <w:t>Date</w:t>
            </w:r>
          </w:p>
        </w:tc>
        <w:tc>
          <w:tcPr>
            <w:tcW w:w="1020" w:type="dxa"/>
            <w:vAlign w:val="bottom"/>
            <w:tcBorders>
              <w:bottom w:val="single" w:sz="8" w:color="EE2724"/>
            </w:tcBorders>
          </w:tcPr>
          <w:p>
            <w:pPr>
              <w:jc w:val="right"/>
              <w:ind w:right="86"/>
              <w:spacing w:after="0"/>
              <w:rPr>
                <w:sz w:val="20"/>
                <w:szCs w:val="20"/>
                <w:color w:val="auto"/>
              </w:rPr>
            </w:pPr>
            <w:r>
              <w:rPr>
                <w:rFonts w:ascii="Arial" w:cs="Arial" w:eastAsia="Arial" w:hAnsi="Arial"/>
                <w:sz w:val="11"/>
                <w:szCs w:val="11"/>
                <w:b w:val="1"/>
                <w:bCs w:val="1"/>
                <w:color w:val="auto"/>
              </w:rPr>
              <w:t>Threshold</w:t>
            </w:r>
            <w:r>
              <w:rPr>
                <w:rFonts w:ascii="Arial" w:cs="Arial" w:eastAsia="Arial" w:hAnsi="Arial"/>
                <w:sz w:val="14"/>
                <w:szCs w:val="14"/>
                <w:b w:val="1"/>
                <w:bCs w:val="1"/>
                <w:color w:val="auto"/>
                <w:vertAlign w:val="superscript"/>
              </w:rPr>
              <w:t>(2)</w:t>
            </w:r>
          </w:p>
        </w:tc>
        <w:tc>
          <w:tcPr>
            <w:tcW w:w="880" w:type="dxa"/>
            <w:vAlign w:val="bottom"/>
            <w:tcBorders>
              <w:bottom w:val="single" w:sz="8" w:color="EE2724"/>
            </w:tcBorders>
          </w:tcPr>
          <w:p>
            <w:pPr>
              <w:jc w:val="right"/>
              <w:ind w:right="86"/>
              <w:spacing w:after="0"/>
              <w:rPr>
                <w:sz w:val="20"/>
                <w:szCs w:val="20"/>
                <w:color w:val="auto"/>
              </w:rPr>
            </w:pPr>
            <w:r>
              <w:rPr>
                <w:rFonts w:ascii="Arial" w:cs="Arial" w:eastAsia="Arial" w:hAnsi="Arial"/>
                <w:sz w:val="11"/>
                <w:szCs w:val="11"/>
                <w:b w:val="1"/>
                <w:bCs w:val="1"/>
                <w:color w:val="auto"/>
              </w:rPr>
              <w:t>Target</w:t>
            </w:r>
          </w:p>
        </w:tc>
        <w:tc>
          <w:tcPr>
            <w:tcW w:w="860" w:type="dxa"/>
            <w:vAlign w:val="bottom"/>
            <w:tcBorders>
              <w:bottom w:val="single" w:sz="8" w:color="EE2724"/>
            </w:tcBorders>
            <w:gridSpan w:val="2"/>
          </w:tcPr>
          <w:p>
            <w:pPr>
              <w:ind w:left="240"/>
              <w:spacing w:after="0"/>
              <w:rPr>
                <w:sz w:val="20"/>
                <w:szCs w:val="20"/>
                <w:color w:val="auto"/>
              </w:rPr>
            </w:pPr>
            <w:r>
              <w:rPr>
                <w:rFonts w:ascii="Arial" w:cs="Arial" w:eastAsia="Arial" w:hAnsi="Arial"/>
                <w:sz w:val="11"/>
                <w:szCs w:val="11"/>
                <w:b w:val="1"/>
                <w:bCs w:val="1"/>
                <w:color w:val="auto"/>
              </w:rPr>
              <w:t>Maximum</w:t>
            </w:r>
          </w:p>
        </w:tc>
        <w:tc>
          <w:tcPr>
            <w:tcW w:w="900" w:type="dxa"/>
            <w:vAlign w:val="bottom"/>
            <w:tcBorders>
              <w:bottom w:val="single" w:sz="8" w:color="EE2724"/>
            </w:tcBorders>
          </w:tcPr>
          <w:p>
            <w:pPr>
              <w:jc w:val="right"/>
              <w:ind w:right="87"/>
              <w:spacing w:after="0"/>
              <w:rPr>
                <w:sz w:val="20"/>
                <w:szCs w:val="20"/>
                <w:color w:val="auto"/>
              </w:rPr>
            </w:pPr>
            <w:r>
              <w:rPr>
                <w:rFonts w:ascii="Arial" w:cs="Arial" w:eastAsia="Arial" w:hAnsi="Arial"/>
                <w:sz w:val="11"/>
                <w:szCs w:val="11"/>
                <w:b w:val="1"/>
                <w:bCs w:val="1"/>
                <w:color w:val="auto"/>
              </w:rPr>
              <w:t>Threshold</w:t>
            </w:r>
          </w:p>
        </w:tc>
        <w:tc>
          <w:tcPr>
            <w:tcW w:w="640" w:type="dxa"/>
            <w:vAlign w:val="bottom"/>
            <w:tcBorders>
              <w:bottom w:val="single" w:sz="8" w:color="EE2724"/>
            </w:tcBorders>
          </w:tcPr>
          <w:p>
            <w:pPr>
              <w:jc w:val="right"/>
              <w:ind w:right="66"/>
              <w:spacing w:after="0"/>
              <w:rPr>
                <w:sz w:val="20"/>
                <w:szCs w:val="20"/>
                <w:color w:val="auto"/>
              </w:rPr>
            </w:pPr>
            <w:r>
              <w:rPr>
                <w:rFonts w:ascii="Arial" w:cs="Arial" w:eastAsia="Arial" w:hAnsi="Arial"/>
                <w:sz w:val="11"/>
                <w:szCs w:val="11"/>
                <w:b w:val="1"/>
                <w:bCs w:val="1"/>
                <w:color w:val="auto"/>
              </w:rPr>
              <w:t>Target</w:t>
            </w:r>
          </w:p>
        </w:tc>
        <w:tc>
          <w:tcPr>
            <w:tcW w:w="640" w:type="dxa"/>
            <w:vAlign w:val="bottom"/>
            <w:tcBorders>
              <w:bottom w:val="single" w:sz="8" w:color="EE2724"/>
            </w:tcBorders>
          </w:tcPr>
          <w:p>
            <w:pPr>
              <w:jc w:val="right"/>
              <w:spacing w:after="0"/>
              <w:rPr>
                <w:sz w:val="20"/>
                <w:szCs w:val="20"/>
                <w:color w:val="auto"/>
              </w:rPr>
            </w:pPr>
            <w:r>
              <w:rPr>
                <w:rFonts w:ascii="Arial" w:cs="Arial" w:eastAsia="Arial" w:hAnsi="Arial"/>
                <w:sz w:val="11"/>
                <w:szCs w:val="11"/>
                <w:b w:val="1"/>
                <w:bCs w:val="1"/>
                <w:color w:val="auto"/>
              </w:rPr>
              <w:t>Maximum</w:t>
            </w:r>
          </w:p>
        </w:tc>
        <w:tc>
          <w:tcPr>
            <w:tcW w:w="860" w:type="dxa"/>
            <w:vAlign w:val="bottom"/>
            <w:tcBorders>
              <w:bottom w:val="single" w:sz="8" w:color="EE2724"/>
            </w:tcBorders>
          </w:tcPr>
          <w:p>
            <w:pPr>
              <w:jc w:val="right"/>
              <w:ind w:right="88"/>
              <w:spacing w:after="0"/>
              <w:rPr>
                <w:sz w:val="20"/>
                <w:szCs w:val="20"/>
                <w:color w:val="auto"/>
              </w:rPr>
            </w:pPr>
            <w:r>
              <w:rPr>
                <w:rFonts w:ascii="Arial" w:cs="Arial" w:eastAsia="Arial" w:hAnsi="Arial"/>
                <w:sz w:val="11"/>
                <w:szCs w:val="11"/>
                <w:b w:val="1"/>
                <w:bCs w:val="1"/>
                <w:color w:val="auto"/>
              </w:rPr>
              <w:t>or Units</w:t>
            </w:r>
            <w:r>
              <w:rPr>
                <w:rFonts w:ascii="Arial" w:cs="Arial" w:eastAsia="Arial" w:hAnsi="Arial"/>
                <w:sz w:val="14"/>
                <w:szCs w:val="14"/>
                <w:b w:val="1"/>
                <w:bCs w:val="1"/>
                <w:color w:val="auto"/>
                <w:vertAlign w:val="superscript"/>
              </w:rPr>
              <w:t>(4)</w:t>
            </w:r>
          </w:p>
        </w:tc>
        <w:tc>
          <w:tcPr>
            <w:tcW w:w="760" w:type="dxa"/>
            <w:vAlign w:val="bottom"/>
            <w:tcBorders>
              <w:bottom w:val="single" w:sz="8" w:color="EE2724"/>
            </w:tcBorders>
          </w:tcPr>
          <w:p>
            <w:pPr>
              <w:jc w:val="right"/>
              <w:ind w:right="8"/>
              <w:spacing w:after="0"/>
              <w:rPr>
                <w:sz w:val="20"/>
                <w:szCs w:val="20"/>
                <w:color w:val="auto"/>
              </w:rPr>
            </w:pPr>
            <w:r>
              <w:rPr>
                <w:rFonts w:ascii="Arial" w:cs="Arial" w:eastAsia="Arial" w:hAnsi="Arial"/>
                <w:sz w:val="11"/>
                <w:szCs w:val="11"/>
                <w:b w:val="1"/>
                <w:bCs w:val="1"/>
                <w:color w:val="auto"/>
              </w:rPr>
              <w:t>Options</w:t>
            </w:r>
            <w:r>
              <w:rPr>
                <w:rFonts w:ascii="Arial" w:cs="Arial" w:eastAsia="Arial" w:hAnsi="Arial"/>
                <w:sz w:val="14"/>
                <w:szCs w:val="14"/>
                <w:b w:val="1"/>
                <w:bCs w:val="1"/>
                <w:color w:val="auto"/>
                <w:vertAlign w:val="superscript"/>
              </w:rPr>
              <w:t>(5)</w:t>
            </w:r>
          </w:p>
        </w:tc>
        <w:tc>
          <w:tcPr>
            <w:tcW w:w="720" w:type="dxa"/>
            <w:vAlign w:val="bottom"/>
            <w:tcBorders>
              <w:bottom w:val="single" w:sz="8" w:color="EE2724"/>
            </w:tcBorders>
          </w:tcPr>
          <w:p>
            <w:pPr>
              <w:jc w:val="right"/>
              <w:ind w:right="28"/>
              <w:spacing w:after="0"/>
              <w:rPr>
                <w:sz w:val="20"/>
                <w:szCs w:val="20"/>
                <w:color w:val="auto"/>
              </w:rPr>
            </w:pPr>
            <w:r>
              <w:rPr>
                <w:rFonts w:ascii="Arial" w:cs="Arial" w:eastAsia="Arial" w:hAnsi="Arial"/>
                <w:sz w:val="11"/>
                <w:szCs w:val="11"/>
                <w:b w:val="1"/>
                <w:bCs w:val="1"/>
                <w:color w:val="auto"/>
              </w:rPr>
              <w:t>($/Sh)</w:t>
            </w:r>
          </w:p>
        </w:tc>
        <w:tc>
          <w:tcPr>
            <w:tcW w:w="800" w:type="dxa"/>
            <w:vAlign w:val="bottom"/>
            <w:tcBorders>
              <w:bottom w:val="single" w:sz="8" w:color="EE2724"/>
            </w:tcBorders>
          </w:tcPr>
          <w:p>
            <w:pPr>
              <w:jc w:val="right"/>
              <w:ind w:right="108"/>
              <w:spacing w:after="0"/>
              <w:rPr>
                <w:sz w:val="20"/>
                <w:szCs w:val="20"/>
                <w:color w:val="auto"/>
              </w:rPr>
            </w:pPr>
            <w:r>
              <w:rPr>
                <w:rFonts w:ascii="Arial" w:cs="Arial" w:eastAsia="Arial" w:hAnsi="Arial"/>
                <w:sz w:val="11"/>
                <w:szCs w:val="11"/>
                <w:b w:val="1"/>
                <w:bCs w:val="1"/>
                <w:color w:val="auto"/>
              </w:rPr>
              <w:t>($/Sh)</w:t>
            </w:r>
          </w:p>
        </w:tc>
        <w:tc>
          <w:tcPr>
            <w:tcW w:w="960" w:type="dxa"/>
            <w:vAlign w:val="bottom"/>
            <w:tcBorders>
              <w:bottom w:val="single" w:sz="8" w:color="EE2724"/>
            </w:tcBorders>
          </w:tcPr>
          <w:p>
            <w:pPr>
              <w:jc w:val="right"/>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14"/>
                <w:szCs w:val="14"/>
                <w:b w:val="1"/>
                <w:bCs w:val="1"/>
                <w:color w:val="auto"/>
                <w:vertAlign w:val="superscript"/>
              </w:rPr>
              <w:t>(6)</w:t>
            </w:r>
          </w:p>
        </w:tc>
        <w:tc>
          <w:tcPr>
            <w:tcW w:w="0" w:type="dxa"/>
            <w:vAlign w:val="bottom"/>
          </w:tcPr>
          <w:p>
            <w:pPr>
              <w:spacing w:after="0"/>
              <w:rPr>
                <w:sz w:val="1"/>
                <w:szCs w:val="1"/>
                <w:color w:val="auto"/>
              </w:rPr>
            </w:pPr>
          </w:p>
        </w:tc>
      </w:tr>
      <w:tr>
        <w:trPr>
          <w:trHeight w:val="155"/>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Vimal Kapur</w:t>
            </w:r>
          </w:p>
        </w:tc>
        <w:tc>
          <w:tcPr>
            <w:tcW w:w="620" w:type="dxa"/>
            <w:vAlign w:val="bottom"/>
          </w:tcPr>
          <w:p>
            <w:pPr>
              <w:ind w:left="20"/>
              <w:spacing w:after="0"/>
              <w:rPr>
                <w:sz w:val="20"/>
                <w:szCs w:val="20"/>
                <w:color w:val="auto"/>
              </w:rPr>
            </w:pPr>
            <w:r>
              <w:rPr>
                <w:rFonts w:ascii="Arial" w:cs="Arial" w:eastAsia="Arial" w:hAnsi="Arial"/>
                <w:sz w:val="11"/>
                <w:szCs w:val="11"/>
                <w:color w:val="auto"/>
              </w:rPr>
              <w:t>ICP</w:t>
            </w:r>
          </w:p>
        </w:tc>
        <w:tc>
          <w:tcPr>
            <w:tcW w:w="800" w:type="dxa"/>
            <w:vAlign w:val="bottom"/>
          </w:tcPr>
          <w:p>
            <w:pPr>
              <w:spacing w:after="0"/>
              <w:rPr>
                <w:sz w:val="13"/>
                <w:szCs w:val="13"/>
                <w:color w:val="auto"/>
              </w:rPr>
            </w:pP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  19,953</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$1,995,332</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$3,990,664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NQSO</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jc w:val="right"/>
              <w:ind w:right="48"/>
              <w:spacing w:after="0"/>
              <w:rPr>
                <w:sz w:val="20"/>
                <w:szCs w:val="20"/>
                <w:color w:val="auto"/>
              </w:rPr>
            </w:pPr>
            <w:r>
              <w:rPr>
                <w:rFonts w:ascii="Arial" w:cs="Arial" w:eastAsia="Arial" w:hAnsi="Arial"/>
                <w:sz w:val="11"/>
                <w:szCs w:val="11"/>
                <w:color w:val="auto"/>
              </w:rPr>
              <w:t>36,960</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   199.60</w:t>
            </w:r>
          </w:p>
        </w:tc>
        <w:tc>
          <w:tcPr>
            <w:tcW w:w="800" w:type="dxa"/>
            <w:vAlign w:val="bottom"/>
          </w:tcPr>
          <w:p>
            <w:pPr>
              <w:jc w:val="right"/>
              <w:ind w:right="148"/>
              <w:spacing w:after="0"/>
              <w:rPr>
                <w:sz w:val="20"/>
                <w:szCs w:val="20"/>
                <w:color w:val="auto"/>
              </w:rPr>
            </w:pPr>
            <w:r>
              <w:rPr>
                <w:rFonts w:ascii="Arial" w:cs="Arial" w:eastAsia="Arial" w:hAnsi="Arial"/>
                <w:sz w:val="11"/>
                <w:szCs w:val="11"/>
                <w:color w:val="auto"/>
              </w:rPr>
              <w:t>$   200.47</w:t>
            </w: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$1,475,074</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908</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14,527</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29,054</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2,949,998</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7,390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1,475,044</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NQSO</w:t>
            </w:r>
          </w:p>
        </w:tc>
        <w:tc>
          <w:tcPr>
            <w:tcW w:w="800" w:type="dxa"/>
            <w:vAlign w:val="bottom"/>
          </w:tcPr>
          <w:p>
            <w:pPr>
              <w:jc w:val="right"/>
              <w:spacing w:after="0"/>
              <w:rPr>
                <w:sz w:val="20"/>
                <w:szCs w:val="20"/>
                <w:color w:val="auto"/>
              </w:rPr>
            </w:pPr>
            <w:r>
              <w:rPr>
                <w:rFonts w:ascii="Arial" w:cs="Arial" w:eastAsia="Arial" w:hAnsi="Arial"/>
                <w:sz w:val="11"/>
                <w:szCs w:val="11"/>
                <w:color w:val="auto"/>
              </w:rPr>
              <w:t>6/1/2023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jc w:val="right"/>
              <w:ind w:right="48"/>
              <w:spacing w:after="0"/>
              <w:rPr>
                <w:sz w:val="20"/>
                <w:szCs w:val="20"/>
                <w:color w:val="auto"/>
              </w:rPr>
            </w:pPr>
            <w:r>
              <w:rPr>
                <w:rFonts w:ascii="Arial" w:cs="Arial" w:eastAsia="Arial" w:hAnsi="Arial"/>
                <w:sz w:val="11"/>
                <w:szCs w:val="11"/>
                <w:color w:val="auto"/>
              </w:rPr>
              <w:t>28,592</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192.39</w:t>
            </w:r>
          </w:p>
        </w:tc>
        <w:tc>
          <w:tcPr>
            <w:tcW w:w="800" w:type="dxa"/>
            <w:vAlign w:val="bottom"/>
          </w:tcPr>
          <w:p>
            <w:pPr>
              <w:jc w:val="right"/>
              <w:ind w:right="148"/>
              <w:spacing w:after="0"/>
              <w:rPr>
                <w:sz w:val="20"/>
                <w:szCs w:val="20"/>
                <w:color w:val="auto"/>
              </w:rPr>
            </w:pPr>
            <w:r>
              <w:rPr>
                <w:rFonts w:ascii="Arial" w:cs="Arial" w:eastAsia="Arial" w:hAnsi="Arial"/>
                <w:sz w:val="11"/>
                <w:szCs w:val="11"/>
                <w:color w:val="auto"/>
              </w:rPr>
              <w:t>193.86</w:t>
            </w: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1,035,030</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6/1/2023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645</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10,314</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20,628</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2,070,123</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6/1/2023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5,380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1,035,058</w:t>
            </w:r>
          </w:p>
        </w:tc>
        <w:tc>
          <w:tcPr>
            <w:tcW w:w="0" w:type="dxa"/>
            <w:vAlign w:val="bottom"/>
          </w:tcPr>
          <w:p>
            <w:pPr>
              <w:spacing w:after="0"/>
              <w:rPr>
                <w:sz w:val="1"/>
                <w:szCs w:val="1"/>
                <w:color w:val="auto"/>
              </w:rPr>
            </w:pPr>
          </w:p>
        </w:tc>
      </w:tr>
      <w:tr>
        <w:trPr>
          <w:trHeight w:val="33"/>
        </w:trPr>
        <w:tc>
          <w:tcPr>
            <w:tcW w:w="76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Gregory P.</w:t>
            </w:r>
          </w:p>
        </w:tc>
        <w:tc>
          <w:tcPr>
            <w:tcW w:w="620" w:type="dxa"/>
            <w:vAlign w:val="bottom"/>
          </w:tcPr>
          <w:p>
            <w:pPr>
              <w:ind w:left="20"/>
              <w:spacing w:after="0"/>
              <w:rPr>
                <w:sz w:val="20"/>
                <w:szCs w:val="20"/>
                <w:color w:val="auto"/>
              </w:rPr>
            </w:pPr>
            <w:r>
              <w:rPr>
                <w:rFonts w:ascii="Arial" w:cs="Arial" w:eastAsia="Arial" w:hAnsi="Arial"/>
                <w:sz w:val="11"/>
                <w:szCs w:val="11"/>
                <w:color w:val="auto"/>
              </w:rPr>
              <w:t>ICP</w:t>
            </w:r>
          </w:p>
        </w:tc>
        <w:tc>
          <w:tcPr>
            <w:tcW w:w="800" w:type="dxa"/>
            <w:vAlign w:val="bottom"/>
          </w:tcPr>
          <w:p>
            <w:pPr>
              <w:spacing w:after="0"/>
              <w:rPr>
                <w:sz w:val="12"/>
                <w:szCs w:val="12"/>
                <w:color w:val="auto"/>
              </w:rPr>
            </w:pP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9,603</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960,299</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1,920,598</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Lewis</w:t>
            </w:r>
          </w:p>
        </w:tc>
        <w:tc>
          <w:tcPr>
            <w:tcW w:w="6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102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1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60" w:type="dxa"/>
            <w:vAlign w:val="bottom"/>
            <w:vMerge w:val="continue"/>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color w:val="auto"/>
              </w:rPr>
              <w:t>NQSO</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1"/>
                <w:szCs w:val="11"/>
                <w:color w:val="auto"/>
              </w:rPr>
              <w:t>34,270</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199.60</w:t>
            </w:r>
          </w:p>
        </w:tc>
        <w:tc>
          <w:tcPr>
            <w:tcW w:w="800" w:type="dxa"/>
            <w:vAlign w:val="bottom"/>
            <w:vMerge w:val="restart"/>
          </w:tcPr>
          <w:p>
            <w:pPr>
              <w:jc w:val="right"/>
              <w:ind w:right="148"/>
              <w:spacing w:after="0"/>
              <w:rPr>
                <w:sz w:val="20"/>
                <w:szCs w:val="20"/>
                <w:color w:val="auto"/>
              </w:rPr>
            </w:pPr>
            <w:r>
              <w:rPr>
                <w:rFonts w:ascii="Arial" w:cs="Arial" w:eastAsia="Arial" w:hAnsi="Arial"/>
                <w:sz w:val="11"/>
                <w:szCs w:val="11"/>
                <w:color w:val="auto"/>
              </w:rPr>
              <w:t>200.47</w:t>
            </w:r>
          </w:p>
        </w:tc>
        <w:tc>
          <w:tcPr>
            <w:tcW w:w="960" w:type="dxa"/>
            <w:vAlign w:val="bottom"/>
            <w:vMerge w:val="restart"/>
          </w:tcPr>
          <w:p>
            <w:pPr>
              <w:jc w:val="right"/>
              <w:ind w:right="7"/>
              <w:spacing w:after="0"/>
              <w:rPr>
                <w:sz w:val="20"/>
                <w:szCs w:val="20"/>
                <w:color w:val="auto"/>
              </w:rPr>
            </w:pPr>
            <w:r>
              <w:rPr>
                <w:rFonts w:ascii="Arial" w:cs="Arial" w:eastAsia="Arial" w:hAnsi="Arial"/>
                <w:sz w:val="11"/>
                <w:szCs w:val="11"/>
                <w:color w:val="auto"/>
              </w:rPr>
              <w:t>1,367,716</w:t>
            </w: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842</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13,469</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26,938</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2,735,150</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6,850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1,367,260</w:t>
            </w:r>
          </w:p>
        </w:tc>
        <w:tc>
          <w:tcPr>
            <w:tcW w:w="0" w:type="dxa"/>
            <w:vAlign w:val="bottom"/>
          </w:tcPr>
          <w:p>
            <w:pPr>
              <w:spacing w:after="0"/>
              <w:rPr>
                <w:sz w:val="1"/>
                <w:szCs w:val="1"/>
                <w:color w:val="auto"/>
              </w:rPr>
            </w:pPr>
          </w:p>
        </w:tc>
      </w:tr>
      <w:tr>
        <w:trPr>
          <w:trHeight w:val="33"/>
        </w:trPr>
        <w:tc>
          <w:tcPr>
            <w:tcW w:w="76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Anne T.</w:t>
            </w:r>
          </w:p>
        </w:tc>
        <w:tc>
          <w:tcPr>
            <w:tcW w:w="620" w:type="dxa"/>
            <w:vAlign w:val="bottom"/>
          </w:tcPr>
          <w:p>
            <w:pPr>
              <w:ind w:left="20"/>
              <w:spacing w:after="0"/>
              <w:rPr>
                <w:sz w:val="20"/>
                <w:szCs w:val="20"/>
                <w:color w:val="auto"/>
              </w:rPr>
            </w:pPr>
            <w:r>
              <w:rPr>
                <w:rFonts w:ascii="Arial" w:cs="Arial" w:eastAsia="Arial" w:hAnsi="Arial"/>
                <w:sz w:val="11"/>
                <w:szCs w:val="11"/>
                <w:color w:val="auto"/>
              </w:rPr>
              <w:t>ICP</w:t>
            </w:r>
          </w:p>
        </w:tc>
        <w:tc>
          <w:tcPr>
            <w:tcW w:w="800" w:type="dxa"/>
            <w:vAlign w:val="bottom"/>
          </w:tcPr>
          <w:p>
            <w:pPr>
              <w:spacing w:after="0"/>
              <w:rPr>
                <w:sz w:val="12"/>
                <w:szCs w:val="12"/>
                <w:color w:val="auto"/>
              </w:rPr>
            </w:pP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9,272</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927,197</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1,854,394</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Madden</w:t>
            </w:r>
          </w:p>
        </w:tc>
        <w:tc>
          <w:tcPr>
            <w:tcW w:w="6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102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1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60" w:type="dxa"/>
            <w:vAlign w:val="bottom"/>
            <w:vMerge w:val="continue"/>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color w:val="auto"/>
              </w:rPr>
              <w:t>NQSO</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1"/>
                <w:szCs w:val="11"/>
                <w:color w:val="auto"/>
              </w:rPr>
              <w:t>31,225</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199.60</w:t>
            </w:r>
          </w:p>
        </w:tc>
        <w:tc>
          <w:tcPr>
            <w:tcW w:w="800" w:type="dxa"/>
            <w:vAlign w:val="bottom"/>
            <w:vMerge w:val="restart"/>
          </w:tcPr>
          <w:p>
            <w:pPr>
              <w:jc w:val="right"/>
              <w:ind w:right="148"/>
              <w:spacing w:after="0"/>
              <w:rPr>
                <w:sz w:val="20"/>
                <w:szCs w:val="20"/>
                <w:color w:val="auto"/>
              </w:rPr>
            </w:pPr>
            <w:r>
              <w:rPr>
                <w:rFonts w:ascii="Arial" w:cs="Arial" w:eastAsia="Arial" w:hAnsi="Arial"/>
                <w:sz w:val="11"/>
                <w:szCs w:val="11"/>
                <w:color w:val="auto"/>
              </w:rPr>
              <w:t>200.47</w:t>
            </w:r>
          </w:p>
        </w:tc>
        <w:tc>
          <w:tcPr>
            <w:tcW w:w="960" w:type="dxa"/>
            <w:vAlign w:val="bottom"/>
            <w:vMerge w:val="restart"/>
          </w:tcPr>
          <w:p>
            <w:pPr>
              <w:jc w:val="right"/>
              <w:ind w:right="7"/>
              <w:spacing w:after="0"/>
              <w:rPr>
                <w:sz w:val="20"/>
                <w:szCs w:val="20"/>
                <w:color w:val="auto"/>
              </w:rPr>
            </w:pPr>
            <w:r>
              <w:rPr>
                <w:rFonts w:ascii="Arial" w:cs="Arial" w:eastAsia="Arial" w:hAnsi="Arial"/>
                <w:sz w:val="11"/>
                <w:szCs w:val="11"/>
                <w:color w:val="auto"/>
              </w:rPr>
              <w:t>1,246,190</w:t>
            </w: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767</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12,274</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24,548</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2,492,481</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6,245</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1,246,502</w:t>
            </w:r>
          </w:p>
        </w:tc>
        <w:tc>
          <w:tcPr>
            <w:tcW w:w="0" w:type="dxa"/>
            <w:vAlign w:val="bottom"/>
          </w:tcPr>
          <w:p>
            <w:pPr>
              <w:spacing w:after="0"/>
              <w:rPr>
                <w:sz w:val="1"/>
                <w:szCs w:val="1"/>
                <w:color w:val="auto"/>
              </w:rPr>
            </w:pPr>
          </w:p>
        </w:tc>
      </w:tr>
      <w:tr>
        <w:trPr>
          <w:trHeight w:val="33"/>
        </w:trPr>
        <w:tc>
          <w:tcPr>
            <w:tcW w:w="76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Lucian</w:t>
            </w:r>
          </w:p>
        </w:tc>
        <w:tc>
          <w:tcPr>
            <w:tcW w:w="620" w:type="dxa"/>
            <w:vAlign w:val="bottom"/>
          </w:tcPr>
          <w:p>
            <w:pPr>
              <w:ind w:left="20"/>
              <w:spacing w:after="0"/>
              <w:rPr>
                <w:sz w:val="20"/>
                <w:szCs w:val="20"/>
                <w:color w:val="auto"/>
              </w:rPr>
            </w:pPr>
            <w:r>
              <w:rPr>
                <w:rFonts w:ascii="Arial" w:cs="Arial" w:eastAsia="Arial" w:hAnsi="Arial"/>
                <w:sz w:val="11"/>
                <w:szCs w:val="11"/>
                <w:color w:val="auto"/>
              </w:rPr>
              <w:t>ICP</w:t>
            </w:r>
          </w:p>
        </w:tc>
        <w:tc>
          <w:tcPr>
            <w:tcW w:w="800" w:type="dxa"/>
            <w:vAlign w:val="bottom"/>
          </w:tcPr>
          <w:p>
            <w:pPr>
              <w:spacing w:after="0"/>
              <w:rPr>
                <w:sz w:val="12"/>
                <w:szCs w:val="12"/>
                <w:color w:val="auto"/>
              </w:rPr>
            </w:pP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8,000</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800,000</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1,600,000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Boldea</w:t>
            </w:r>
          </w:p>
        </w:tc>
        <w:tc>
          <w:tcPr>
            <w:tcW w:w="6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102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1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760" w:type="dxa"/>
            <w:vAlign w:val="bottom"/>
            <w:vMerge w:val="continue"/>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color w:val="auto"/>
              </w:rPr>
              <w:t>NQSO</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1"/>
                <w:szCs w:val="11"/>
                <w:color w:val="auto"/>
              </w:rPr>
              <w:t>23,805</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199.60</w:t>
            </w:r>
          </w:p>
        </w:tc>
        <w:tc>
          <w:tcPr>
            <w:tcW w:w="800" w:type="dxa"/>
            <w:vAlign w:val="bottom"/>
            <w:vMerge w:val="restart"/>
          </w:tcPr>
          <w:p>
            <w:pPr>
              <w:jc w:val="right"/>
              <w:ind w:right="148"/>
              <w:spacing w:after="0"/>
              <w:rPr>
                <w:sz w:val="20"/>
                <w:szCs w:val="20"/>
                <w:color w:val="auto"/>
              </w:rPr>
            </w:pPr>
            <w:r>
              <w:rPr>
                <w:rFonts w:ascii="Arial" w:cs="Arial" w:eastAsia="Arial" w:hAnsi="Arial"/>
                <w:sz w:val="11"/>
                <w:szCs w:val="11"/>
                <w:color w:val="auto"/>
              </w:rPr>
              <w:t>200.47</w:t>
            </w:r>
          </w:p>
        </w:tc>
        <w:tc>
          <w:tcPr>
            <w:tcW w:w="960" w:type="dxa"/>
            <w:vAlign w:val="bottom"/>
            <w:vMerge w:val="restart"/>
          </w:tcPr>
          <w:p>
            <w:pPr>
              <w:jc w:val="right"/>
              <w:ind w:right="7"/>
              <w:spacing w:after="0"/>
              <w:rPr>
                <w:sz w:val="20"/>
                <w:szCs w:val="20"/>
                <w:color w:val="auto"/>
              </w:rPr>
            </w:pPr>
            <w:r>
              <w:rPr>
                <w:rFonts w:ascii="Arial" w:cs="Arial" w:eastAsia="Arial" w:hAnsi="Arial"/>
                <w:sz w:val="11"/>
                <w:szCs w:val="11"/>
                <w:color w:val="auto"/>
              </w:rPr>
              <w:t>950,058</w:t>
            </w: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585</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9,356</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18,712</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1,899,923</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4,760</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950,096</w:t>
            </w:r>
          </w:p>
        </w:tc>
        <w:tc>
          <w:tcPr>
            <w:tcW w:w="0" w:type="dxa"/>
            <w:vAlign w:val="bottom"/>
          </w:tcPr>
          <w:p>
            <w:pPr>
              <w:spacing w:after="0"/>
              <w:rPr>
                <w:sz w:val="1"/>
                <w:szCs w:val="1"/>
                <w:color w:val="auto"/>
              </w:rPr>
            </w:pPr>
          </w:p>
        </w:tc>
      </w:tr>
      <w:tr>
        <w:trPr>
          <w:trHeight w:val="33"/>
        </w:trPr>
        <w:tc>
          <w:tcPr>
            <w:tcW w:w="76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James</w:t>
            </w:r>
          </w:p>
        </w:tc>
        <w:tc>
          <w:tcPr>
            <w:tcW w:w="620" w:type="dxa"/>
            <w:vAlign w:val="bottom"/>
          </w:tcPr>
          <w:p>
            <w:pPr>
              <w:ind w:left="20"/>
              <w:spacing w:after="0"/>
              <w:rPr>
                <w:sz w:val="20"/>
                <w:szCs w:val="20"/>
                <w:color w:val="auto"/>
              </w:rPr>
            </w:pPr>
            <w:r>
              <w:rPr>
                <w:rFonts w:ascii="Arial" w:cs="Arial" w:eastAsia="Arial" w:hAnsi="Arial"/>
                <w:sz w:val="11"/>
                <w:szCs w:val="11"/>
                <w:color w:val="auto"/>
              </w:rPr>
              <w:t>ICP</w:t>
            </w:r>
          </w:p>
        </w:tc>
        <w:tc>
          <w:tcPr>
            <w:tcW w:w="800" w:type="dxa"/>
            <w:vAlign w:val="bottom"/>
          </w:tcPr>
          <w:p>
            <w:pPr>
              <w:spacing w:after="0"/>
              <w:rPr>
                <w:sz w:val="12"/>
                <w:szCs w:val="12"/>
                <w:color w:val="auto"/>
              </w:rPr>
            </w:pP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5,514</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551,385</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1,102,770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Currier</w:t>
            </w:r>
          </w:p>
        </w:tc>
        <w:tc>
          <w:tcPr>
            <w:tcW w:w="6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102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1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60" w:type="dxa"/>
            <w:vAlign w:val="bottom"/>
            <w:vMerge w:val="continue"/>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color w:val="auto"/>
              </w:rPr>
              <w:t>NQSO</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2/23/2023</w:t>
            </w:r>
          </w:p>
        </w:tc>
        <w:tc>
          <w:tcPr>
            <w:tcW w:w="10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1"/>
                <w:szCs w:val="11"/>
                <w:color w:val="auto"/>
              </w:rPr>
              <w:t>3,719</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194.31</w:t>
            </w:r>
          </w:p>
        </w:tc>
        <w:tc>
          <w:tcPr>
            <w:tcW w:w="800" w:type="dxa"/>
            <w:vAlign w:val="bottom"/>
            <w:vMerge w:val="restart"/>
          </w:tcPr>
          <w:p>
            <w:pPr>
              <w:jc w:val="right"/>
              <w:ind w:right="148"/>
              <w:spacing w:after="0"/>
              <w:rPr>
                <w:sz w:val="20"/>
                <w:szCs w:val="20"/>
                <w:color w:val="auto"/>
              </w:rPr>
            </w:pPr>
            <w:r>
              <w:rPr>
                <w:rFonts w:ascii="Arial" w:cs="Arial" w:eastAsia="Arial" w:hAnsi="Arial"/>
                <w:sz w:val="11"/>
                <w:szCs w:val="11"/>
                <w:color w:val="auto"/>
              </w:rPr>
              <w:t>195.02</w:t>
            </w:r>
          </w:p>
        </w:tc>
        <w:tc>
          <w:tcPr>
            <w:tcW w:w="960" w:type="dxa"/>
            <w:vAlign w:val="bottom"/>
            <w:vMerge w:val="restart"/>
          </w:tcPr>
          <w:p>
            <w:pPr>
              <w:jc w:val="right"/>
              <w:ind w:right="7"/>
              <w:spacing w:after="0"/>
              <w:rPr>
                <w:sz w:val="20"/>
                <w:szCs w:val="20"/>
                <w:color w:val="auto"/>
              </w:rPr>
            </w:pPr>
            <w:r>
              <w:rPr>
                <w:rFonts w:ascii="Arial" w:cs="Arial" w:eastAsia="Arial" w:hAnsi="Arial"/>
                <w:sz w:val="11"/>
                <w:szCs w:val="11"/>
                <w:color w:val="auto"/>
              </w:rPr>
              <w:t>144,037</w:t>
            </w: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PCU23-25</w:t>
            </w:r>
          </w:p>
        </w:tc>
        <w:tc>
          <w:tcPr>
            <w:tcW w:w="800" w:type="dxa"/>
            <w:vAlign w:val="bottom"/>
          </w:tcPr>
          <w:p>
            <w:pPr>
              <w:jc w:val="right"/>
              <w:spacing w:after="0"/>
              <w:rPr>
                <w:sz w:val="20"/>
                <w:szCs w:val="20"/>
                <w:color w:val="auto"/>
              </w:rPr>
            </w:pPr>
            <w:r>
              <w:rPr>
                <w:rFonts w:ascii="Arial" w:cs="Arial" w:eastAsia="Arial" w:hAnsi="Arial"/>
                <w:sz w:val="11"/>
                <w:szCs w:val="11"/>
                <w:color w:val="auto"/>
              </w:rPr>
              <w:t>2/23/2023</w:t>
            </w: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240</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1,440</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2,880</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144,000</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2/23/2023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742</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144,178</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NQSO</w:t>
            </w:r>
          </w:p>
        </w:tc>
        <w:tc>
          <w:tcPr>
            <w:tcW w:w="800" w:type="dxa"/>
            <w:vAlign w:val="bottom"/>
          </w:tcPr>
          <w:p>
            <w:pPr>
              <w:jc w:val="right"/>
              <w:spacing w:after="0"/>
              <w:rPr>
                <w:sz w:val="20"/>
                <w:szCs w:val="20"/>
                <w:color w:val="auto"/>
              </w:rPr>
            </w:pPr>
            <w:r>
              <w:rPr>
                <w:rFonts w:ascii="Arial" w:cs="Arial" w:eastAsia="Arial" w:hAnsi="Arial"/>
                <w:sz w:val="11"/>
                <w:szCs w:val="11"/>
                <w:color w:val="auto"/>
              </w:rPr>
              <w:t>8/1/2023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jc w:val="right"/>
              <w:ind w:right="48"/>
              <w:spacing w:after="0"/>
              <w:rPr>
                <w:sz w:val="20"/>
                <w:szCs w:val="20"/>
                <w:color w:val="auto"/>
              </w:rPr>
            </w:pPr>
            <w:r>
              <w:rPr>
                <w:rFonts w:ascii="Arial" w:cs="Arial" w:eastAsia="Arial" w:hAnsi="Arial"/>
                <w:sz w:val="11"/>
                <w:szCs w:val="11"/>
                <w:color w:val="auto"/>
              </w:rPr>
              <w:t>20,552</w:t>
            </w:r>
          </w:p>
        </w:tc>
        <w:tc>
          <w:tcPr>
            <w:tcW w:w="720" w:type="dxa"/>
            <w:vAlign w:val="bottom"/>
          </w:tcPr>
          <w:p>
            <w:pPr>
              <w:jc w:val="right"/>
              <w:ind w:right="68"/>
              <w:spacing w:after="0"/>
              <w:rPr>
                <w:sz w:val="20"/>
                <w:szCs w:val="20"/>
                <w:color w:val="auto"/>
              </w:rPr>
            </w:pPr>
            <w:r>
              <w:rPr>
                <w:rFonts w:ascii="Arial" w:cs="Arial" w:eastAsia="Arial" w:hAnsi="Arial"/>
                <w:sz w:val="11"/>
                <w:szCs w:val="11"/>
                <w:color w:val="auto"/>
              </w:rPr>
              <w:t>193.88</w:t>
            </w:r>
          </w:p>
        </w:tc>
        <w:tc>
          <w:tcPr>
            <w:tcW w:w="800" w:type="dxa"/>
            <w:vAlign w:val="bottom"/>
          </w:tcPr>
          <w:p>
            <w:pPr>
              <w:jc w:val="right"/>
              <w:ind w:right="148"/>
              <w:spacing w:after="0"/>
              <w:rPr>
                <w:sz w:val="20"/>
                <w:szCs w:val="20"/>
                <w:color w:val="auto"/>
              </w:rPr>
            </w:pPr>
            <w:r>
              <w:rPr>
                <w:rFonts w:ascii="Arial" w:cs="Arial" w:eastAsia="Arial" w:hAnsi="Arial"/>
                <w:sz w:val="11"/>
                <w:szCs w:val="11"/>
                <w:color w:val="auto"/>
              </w:rPr>
              <w:t>191.30</w:t>
            </w: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775,016</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8/1/2023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531</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8,497</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16,994</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1,550,108</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8/1/2023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3,998</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775,132</w:t>
            </w:r>
          </w:p>
        </w:tc>
        <w:tc>
          <w:tcPr>
            <w:tcW w:w="0" w:type="dxa"/>
            <w:vAlign w:val="bottom"/>
          </w:tcPr>
          <w:p>
            <w:pPr>
              <w:spacing w:after="0"/>
              <w:rPr>
                <w:sz w:val="1"/>
                <w:szCs w:val="1"/>
                <w:color w:val="auto"/>
              </w:rPr>
            </w:pPr>
          </w:p>
        </w:tc>
      </w:tr>
      <w:tr>
        <w:trPr>
          <w:trHeight w:val="33"/>
        </w:trPr>
        <w:tc>
          <w:tcPr>
            <w:tcW w:w="76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Darius</w:t>
            </w:r>
          </w:p>
        </w:tc>
        <w:tc>
          <w:tcPr>
            <w:tcW w:w="620" w:type="dxa"/>
            <w:vAlign w:val="bottom"/>
          </w:tcPr>
          <w:p>
            <w:pPr>
              <w:ind w:left="20"/>
              <w:spacing w:after="0"/>
              <w:rPr>
                <w:sz w:val="20"/>
                <w:szCs w:val="20"/>
                <w:color w:val="auto"/>
              </w:rPr>
            </w:pPr>
            <w:r>
              <w:rPr>
                <w:rFonts w:ascii="Arial" w:cs="Arial" w:eastAsia="Arial" w:hAnsi="Arial"/>
                <w:sz w:val="11"/>
                <w:szCs w:val="11"/>
                <w:color w:val="auto"/>
              </w:rPr>
              <w:t>ICP</w:t>
            </w:r>
          </w:p>
        </w:tc>
        <w:tc>
          <w:tcPr>
            <w:tcW w:w="800" w:type="dxa"/>
            <w:vAlign w:val="bottom"/>
          </w:tcPr>
          <w:p>
            <w:pPr>
              <w:spacing w:after="0"/>
              <w:rPr>
                <w:sz w:val="12"/>
                <w:szCs w:val="12"/>
                <w:color w:val="auto"/>
              </w:rPr>
            </w:pP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23,402</w:t>
            </w:r>
          </w:p>
        </w:tc>
        <w:tc>
          <w:tcPr>
            <w:tcW w:w="880" w:type="dxa"/>
            <w:vAlign w:val="bottom"/>
          </w:tcPr>
          <w:p>
            <w:pPr>
              <w:jc w:val="right"/>
              <w:ind w:right="126"/>
              <w:spacing w:after="0"/>
              <w:rPr>
                <w:sz w:val="20"/>
                <w:szCs w:val="20"/>
                <w:color w:val="auto"/>
              </w:rPr>
            </w:pPr>
            <w:r>
              <w:rPr>
                <w:rFonts w:ascii="Arial" w:cs="Arial" w:eastAsia="Arial" w:hAnsi="Arial"/>
                <w:sz w:val="11"/>
                <w:szCs w:val="11"/>
                <w:color w:val="auto"/>
              </w:rPr>
              <w:t>2,340,176</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4,680,352</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Adamczyk</w:t>
            </w:r>
          </w:p>
        </w:tc>
        <w:tc>
          <w:tcPr>
            <w:tcW w:w="6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1020" w:type="dxa"/>
            <w:vAlign w:val="bottom"/>
            <w:tcBorders>
              <w:bottom w:val="single" w:sz="8" w:color="939598"/>
            </w:tcBorders>
          </w:tcPr>
          <w:p>
            <w:pPr>
              <w:spacing w:after="0"/>
              <w:rPr>
                <w:sz w:val="3"/>
                <w:szCs w:val="3"/>
                <w:color w:val="auto"/>
              </w:rPr>
            </w:pPr>
          </w:p>
        </w:tc>
        <w:tc>
          <w:tcPr>
            <w:tcW w:w="88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1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640" w:type="dxa"/>
            <w:vAlign w:val="bottom"/>
            <w:tcBorders>
              <w:bottom w:val="single" w:sz="8" w:color="939598"/>
            </w:tcBorders>
          </w:tcPr>
          <w:p>
            <w:pPr>
              <w:spacing w:after="0"/>
              <w:rPr>
                <w:sz w:val="3"/>
                <w:szCs w:val="3"/>
                <w:color w:val="auto"/>
              </w:rPr>
            </w:pPr>
          </w:p>
        </w:tc>
        <w:tc>
          <w:tcPr>
            <w:tcW w:w="860" w:type="dxa"/>
            <w:vAlign w:val="bottom"/>
            <w:tcBorders>
              <w:bottom w:val="single" w:sz="8" w:color="939598"/>
            </w:tcBorders>
          </w:tcPr>
          <w:p>
            <w:pPr>
              <w:spacing w:after="0"/>
              <w:rPr>
                <w:sz w:val="3"/>
                <w:szCs w:val="3"/>
                <w:color w:val="auto"/>
              </w:rPr>
            </w:pPr>
          </w:p>
        </w:tc>
        <w:tc>
          <w:tcPr>
            <w:tcW w:w="760" w:type="dxa"/>
            <w:vAlign w:val="bottom"/>
            <w:tcBorders>
              <w:bottom w:val="single" w:sz="8" w:color="939598"/>
            </w:tcBorders>
          </w:tcPr>
          <w:p>
            <w:pPr>
              <w:spacing w:after="0"/>
              <w:rPr>
                <w:sz w:val="3"/>
                <w:szCs w:val="3"/>
                <w:color w:val="auto"/>
              </w:rPr>
            </w:pPr>
          </w:p>
        </w:tc>
        <w:tc>
          <w:tcPr>
            <w:tcW w:w="720" w:type="dxa"/>
            <w:vAlign w:val="bottom"/>
            <w:tcBorders>
              <w:bottom w:val="single" w:sz="8" w:color="939598"/>
            </w:tcBorders>
          </w:tcPr>
          <w:p>
            <w:pPr>
              <w:spacing w:after="0"/>
              <w:rPr>
                <w:sz w:val="3"/>
                <w:szCs w:val="3"/>
                <w:color w:val="auto"/>
              </w:rPr>
            </w:pPr>
          </w:p>
        </w:tc>
        <w:tc>
          <w:tcPr>
            <w:tcW w:w="80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60" w:type="dxa"/>
            <w:vAlign w:val="bottom"/>
            <w:vMerge w:val="continue"/>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color w:val="auto"/>
              </w:rPr>
              <w:t>NQSO</w:t>
            </w:r>
          </w:p>
        </w:tc>
        <w:tc>
          <w:tcPr>
            <w:tcW w:w="800" w:type="dxa"/>
            <w:vAlign w:val="bottom"/>
            <w:vMerge w:val="restart"/>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1"/>
                <w:szCs w:val="11"/>
                <w:color w:val="auto"/>
              </w:rPr>
              <w:t>112,755</w:t>
            </w:r>
          </w:p>
        </w:tc>
        <w:tc>
          <w:tcPr>
            <w:tcW w:w="720" w:type="dxa"/>
            <w:vAlign w:val="bottom"/>
            <w:vMerge w:val="restart"/>
          </w:tcPr>
          <w:p>
            <w:pPr>
              <w:jc w:val="right"/>
              <w:ind w:right="68"/>
              <w:spacing w:after="0"/>
              <w:rPr>
                <w:sz w:val="20"/>
                <w:szCs w:val="20"/>
                <w:color w:val="auto"/>
              </w:rPr>
            </w:pPr>
            <w:r>
              <w:rPr>
                <w:rFonts w:ascii="Arial" w:cs="Arial" w:eastAsia="Arial" w:hAnsi="Arial"/>
                <w:sz w:val="11"/>
                <w:szCs w:val="11"/>
                <w:color w:val="auto"/>
              </w:rPr>
              <w:t>199.60</w:t>
            </w:r>
          </w:p>
        </w:tc>
        <w:tc>
          <w:tcPr>
            <w:tcW w:w="800" w:type="dxa"/>
            <w:vAlign w:val="bottom"/>
            <w:vMerge w:val="restart"/>
          </w:tcPr>
          <w:p>
            <w:pPr>
              <w:jc w:val="right"/>
              <w:ind w:right="148"/>
              <w:spacing w:after="0"/>
              <w:rPr>
                <w:sz w:val="20"/>
                <w:szCs w:val="20"/>
                <w:color w:val="auto"/>
              </w:rPr>
            </w:pPr>
            <w:r>
              <w:rPr>
                <w:rFonts w:ascii="Arial" w:cs="Arial" w:eastAsia="Arial" w:hAnsi="Arial"/>
                <w:sz w:val="11"/>
                <w:szCs w:val="11"/>
                <w:color w:val="auto"/>
              </w:rPr>
              <w:t>200.47</w:t>
            </w:r>
          </w:p>
        </w:tc>
        <w:tc>
          <w:tcPr>
            <w:tcW w:w="960" w:type="dxa"/>
            <w:vAlign w:val="bottom"/>
            <w:vMerge w:val="restart"/>
          </w:tcPr>
          <w:p>
            <w:pPr>
              <w:jc w:val="right"/>
              <w:ind w:right="7"/>
              <w:spacing w:after="0"/>
              <w:rPr>
                <w:sz w:val="20"/>
                <w:szCs w:val="20"/>
                <w:color w:val="auto"/>
              </w:rPr>
            </w:pPr>
            <w:r>
              <w:rPr>
                <w:rFonts w:ascii="Arial" w:cs="Arial" w:eastAsia="Arial" w:hAnsi="Arial"/>
                <w:sz w:val="11"/>
                <w:szCs w:val="11"/>
                <w:color w:val="auto"/>
              </w:rPr>
              <w:t>4,500,052</w:t>
            </w:r>
          </w:p>
        </w:tc>
        <w:tc>
          <w:tcPr>
            <w:tcW w:w="0" w:type="dxa"/>
            <w:vAlign w:val="bottom"/>
          </w:tcPr>
          <w:p>
            <w:pPr>
              <w:spacing w:after="0"/>
              <w:rPr>
                <w:sz w:val="1"/>
                <w:szCs w:val="1"/>
                <w:color w:val="auto"/>
              </w:rPr>
            </w:pPr>
          </w:p>
        </w:tc>
      </w:tr>
      <w:tr>
        <w:trPr>
          <w:trHeight w:val="62"/>
        </w:trPr>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PSU23-25</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27"/>
              <w:spacing w:after="0"/>
              <w:rPr>
                <w:sz w:val="20"/>
                <w:szCs w:val="20"/>
                <w:color w:val="auto"/>
              </w:rPr>
            </w:pPr>
            <w:r>
              <w:rPr>
                <w:rFonts w:ascii="Arial" w:cs="Arial" w:eastAsia="Arial" w:hAnsi="Arial"/>
                <w:sz w:val="11"/>
                <w:szCs w:val="11"/>
                <w:color w:val="auto"/>
              </w:rPr>
              <w:t>2,770</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44,321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88,642</w:t>
            </w: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9,000,265</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1020" w:type="dxa"/>
            <w:vAlign w:val="bottom"/>
            <w:tcBorders>
              <w:bottom w:val="single" w:sz="8" w:color="939598"/>
            </w:tcBorders>
          </w:tcPr>
          <w:p>
            <w:pPr>
              <w:spacing w:after="0"/>
              <w:rPr>
                <w:sz w:val="2"/>
                <w:szCs w:val="2"/>
                <w:color w:val="auto"/>
              </w:rPr>
            </w:pPr>
          </w:p>
        </w:tc>
        <w:tc>
          <w:tcPr>
            <w:tcW w:w="88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10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64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760" w:type="dxa"/>
            <w:vAlign w:val="bottom"/>
            <w:tcBorders>
              <w:bottom w:val="single" w:sz="8" w:color="939598"/>
            </w:tcBorders>
          </w:tcPr>
          <w:p>
            <w:pPr>
              <w:spacing w:after="0"/>
              <w:rPr>
                <w:sz w:val="2"/>
                <w:szCs w:val="2"/>
                <w:color w:val="auto"/>
              </w:rPr>
            </w:pPr>
          </w:p>
        </w:tc>
        <w:tc>
          <w:tcPr>
            <w:tcW w:w="72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96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Arial" w:cs="Arial" w:eastAsia="Arial" w:hAnsi="Arial"/>
                <w:sz w:val="11"/>
                <w:szCs w:val="11"/>
                <w:color w:val="auto"/>
              </w:rPr>
              <w:t>RSU</w:t>
            </w:r>
          </w:p>
        </w:tc>
        <w:tc>
          <w:tcPr>
            <w:tcW w:w="800" w:type="dxa"/>
            <w:vAlign w:val="bottom"/>
          </w:tcPr>
          <w:p>
            <w:pPr>
              <w:jc w:val="right"/>
              <w:spacing w:after="0"/>
              <w:rPr>
                <w:sz w:val="20"/>
                <w:szCs w:val="20"/>
                <w:color w:val="auto"/>
              </w:rPr>
            </w:pPr>
            <w:r>
              <w:rPr>
                <w:rFonts w:ascii="Arial" w:cs="Arial" w:eastAsia="Arial" w:hAnsi="Arial"/>
                <w:sz w:val="11"/>
                <w:szCs w:val="11"/>
                <w:color w:val="auto"/>
              </w:rPr>
              <w:t>2/10/2023</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jc w:val="right"/>
              <w:ind w:right="128"/>
              <w:spacing w:after="0"/>
              <w:rPr>
                <w:sz w:val="20"/>
                <w:szCs w:val="20"/>
                <w:color w:val="auto"/>
              </w:rPr>
            </w:pPr>
            <w:r>
              <w:rPr>
                <w:rFonts w:ascii="Arial" w:cs="Arial" w:eastAsia="Arial" w:hAnsi="Arial"/>
                <w:sz w:val="11"/>
                <w:szCs w:val="11"/>
                <w:color w:val="auto"/>
              </w:rPr>
              <w:t>22,545</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4,499,982</w:t>
            </w:r>
          </w:p>
        </w:tc>
        <w:tc>
          <w:tcPr>
            <w:tcW w:w="0" w:type="dxa"/>
            <w:vAlign w:val="bottom"/>
          </w:tcPr>
          <w:p>
            <w:pPr>
              <w:spacing w:after="0"/>
              <w:rPr>
                <w:sz w:val="1"/>
                <w:szCs w:val="1"/>
                <w:color w:val="auto"/>
              </w:rPr>
            </w:pPr>
          </w:p>
        </w:tc>
      </w:tr>
      <w:tr>
        <w:trPr>
          <w:trHeight w:val="33"/>
        </w:trPr>
        <w:tc>
          <w:tcPr>
            <w:tcW w:w="760" w:type="dxa"/>
            <w:vAlign w:val="bottom"/>
            <w:tcBorders>
              <w:bottom w:val="single" w:sz="8" w:color="EE2724"/>
            </w:tcBorders>
          </w:tcPr>
          <w:p>
            <w:pPr>
              <w:spacing w:after="0"/>
              <w:rPr>
                <w:sz w:val="2"/>
                <w:szCs w:val="2"/>
                <w:color w:val="auto"/>
              </w:rPr>
            </w:pPr>
          </w:p>
        </w:tc>
        <w:tc>
          <w:tcPr>
            <w:tcW w:w="620" w:type="dxa"/>
            <w:vAlign w:val="bottom"/>
            <w:tcBorders>
              <w:bottom w:val="single" w:sz="8" w:color="EE2724"/>
            </w:tcBorders>
          </w:tcPr>
          <w:p>
            <w:pPr>
              <w:spacing w:after="0"/>
              <w:rPr>
                <w:sz w:val="2"/>
                <w:szCs w:val="2"/>
                <w:color w:val="auto"/>
              </w:rPr>
            </w:pPr>
          </w:p>
        </w:tc>
        <w:tc>
          <w:tcPr>
            <w:tcW w:w="800" w:type="dxa"/>
            <w:vAlign w:val="bottom"/>
            <w:tcBorders>
              <w:bottom w:val="single" w:sz="8" w:color="EE2724"/>
            </w:tcBorders>
          </w:tcPr>
          <w:p>
            <w:pPr>
              <w:spacing w:after="0"/>
              <w:rPr>
                <w:sz w:val="2"/>
                <w:szCs w:val="2"/>
                <w:color w:val="auto"/>
              </w:rPr>
            </w:pPr>
          </w:p>
        </w:tc>
        <w:tc>
          <w:tcPr>
            <w:tcW w:w="1020" w:type="dxa"/>
            <w:vAlign w:val="bottom"/>
            <w:tcBorders>
              <w:bottom w:val="single" w:sz="8" w:color="EE2724"/>
            </w:tcBorders>
          </w:tcPr>
          <w:p>
            <w:pPr>
              <w:spacing w:after="0"/>
              <w:rPr>
                <w:sz w:val="2"/>
                <w:szCs w:val="2"/>
                <w:color w:val="auto"/>
              </w:rPr>
            </w:pPr>
          </w:p>
        </w:tc>
        <w:tc>
          <w:tcPr>
            <w:tcW w:w="880" w:type="dxa"/>
            <w:vAlign w:val="bottom"/>
            <w:tcBorders>
              <w:bottom w:val="single" w:sz="8" w:color="EE2724"/>
            </w:tcBorders>
          </w:tcPr>
          <w:p>
            <w:pPr>
              <w:spacing w:after="0"/>
              <w:rPr>
                <w:sz w:val="2"/>
                <w:szCs w:val="2"/>
                <w:color w:val="auto"/>
              </w:rPr>
            </w:pPr>
          </w:p>
        </w:tc>
        <w:tc>
          <w:tcPr>
            <w:tcW w:w="760" w:type="dxa"/>
            <w:vAlign w:val="bottom"/>
            <w:tcBorders>
              <w:bottom w:val="single" w:sz="8" w:color="EE2724"/>
            </w:tcBorders>
          </w:tcPr>
          <w:p>
            <w:pPr>
              <w:spacing w:after="0"/>
              <w:rPr>
                <w:sz w:val="2"/>
                <w:szCs w:val="2"/>
                <w:color w:val="auto"/>
              </w:rPr>
            </w:pPr>
          </w:p>
        </w:tc>
        <w:tc>
          <w:tcPr>
            <w:tcW w:w="100" w:type="dxa"/>
            <w:vAlign w:val="bottom"/>
            <w:tcBorders>
              <w:bottom w:val="single" w:sz="8" w:color="EE2724"/>
            </w:tcBorders>
          </w:tcPr>
          <w:p>
            <w:pPr>
              <w:spacing w:after="0"/>
              <w:rPr>
                <w:sz w:val="2"/>
                <w:szCs w:val="2"/>
                <w:color w:val="auto"/>
              </w:rPr>
            </w:pPr>
          </w:p>
        </w:tc>
        <w:tc>
          <w:tcPr>
            <w:tcW w:w="900" w:type="dxa"/>
            <w:vAlign w:val="bottom"/>
            <w:tcBorders>
              <w:bottom w:val="single" w:sz="8" w:color="EE2724"/>
            </w:tcBorders>
          </w:tcPr>
          <w:p>
            <w:pPr>
              <w:spacing w:after="0"/>
              <w:rPr>
                <w:sz w:val="2"/>
                <w:szCs w:val="2"/>
                <w:color w:val="auto"/>
              </w:rPr>
            </w:pPr>
          </w:p>
        </w:tc>
        <w:tc>
          <w:tcPr>
            <w:tcW w:w="640" w:type="dxa"/>
            <w:vAlign w:val="bottom"/>
            <w:tcBorders>
              <w:bottom w:val="single" w:sz="8" w:color="EE2724"/>
            </w:tcBorders>
          </w:tcPr>
          <w:p>
            <w:pPr>
              <w:spacing w:after="0"/>
              <w:rPr>
                <w:sz w:val="2"/>
                <w:szCs w:val="2"/>
                <w:color w:val="auto"/>
              </w:rPr>
            </w:pPr>
          </w:p>
        </w:tc>
        <w:tc>
          <w:tcPr>
            <w:tcW w:w="640" w:type="dxa"/>
            <w:vAlign w:val="bottom"/>
            <w:tcBorders>
              <w:bottom w:val="single" w:sz="8" w:color="EE2724"/>
            </w:tcBorders>
          </w:tcPr>
          <w:p>
            <w:pPr>
              <w:spacing w:after="0"/>
              <w:rPr>
                <w:sz w:val="2"/>
                <w:szCs w:val="2"/>
                <w:color w:val="auto"/>
              </w:rPr>
            </w:pPr>
          </w:p>
        </w:tc>
        <w:tc>
          <w:tcPr>
            <w:tcW w:w="860" w:type="dxa"/>
            <w:vAlign w:val="bottom"/>
            <w:tcBorders>
              <w:bottom w:val="single" w:sz="8" w:color="EE2724"/>
            </w:tcBorders>
          </w:tcPr>
          <w:p>
            <w:pPr>
              <w:spacing w:after="0"/>
              <w:rPr>
                <w:sz w:val="2"/>
                <w:szCs w:val="2"/>
                <w:color w:val="auto"/>
              </w:rPr>
            </w:pPr>
          </w:p>
        </w:tc>
        <w:tc>
          <w:tcPr>
            <w:tcW w:w="760" w:type="dxa"/>
            <w:vAlign w:val="bottom"/>
            <w:tcBorders>
              <w:bottom w:val="single" w:sz="8" w:color="EE2724"/>
            </w:tcBorders>
          </w:tcPr>
          <w:p>
            <w:pPr>
              <w:spacing w:after="0"/>
              <w:rPr>
                <w:sz w:val="2"/>
                <w:szCs w:val="2"/>
                <w:color w:val="auto"/>
              </w:rPr>
            </w:pPr>
          </w:p>
        </w:tc>
        <w:tc>
          <w:tcPr>
            <w:tcW w:w="720" w:type="dxa"/>
            <w:vAlign w:val="bottom"/>
            <w:tcBorders>
              <w:bottom w:val="single" w:sz="8" w:color="EE2724"/>
            </w:tcBorders>
          </w:tcPr>
          <w:p>
            <w:pPr>
              <w:spacing w:after="0"/>
              <w:rPr>
                <w:sz w:val="2"/>
                <w:szCs w:val="2"/>
                <w:color w:val="auto"/>
              </w:rPr>
            </w:pPr>
          </w:p>
        </w:tc>
        <w:tc>
          <w:tcPr>
            <w:tcW w:w="800" w:type="dxa"/>
            <w:vAlign w:val="bottom"/>
            <w:tcBorders>
              <w:bottom w:val="single" w:sz="8" w:color="EE2724"/>
            </w:tcBorders>
          </w:tcPr>
          <w:p>
            <w:pPr>
              <w:spacing w:after="0"/>
              <w:rPr>
                <w:sz w:val="2"/>
                <w:szCs w:val="2"/>
                <w:color w:val="auto"/>
              </w:rPr>
            </w:pPr>
          </w:p>
        </w:tc>
        <w:tc>
          <w:tcPr>
            <w:tcW w:w="960" w:type="dxa"/>
            <w:vAlign w:val="bottom"/>
            <w:tcBorders>
              <w:bottom w:val="single" w:sz="8" w:color="EE272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00" w:hanging="192"/>
        <w:spacing w:after="0"/>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Award Type:</w:t>
      </w:r>
    </w:p>
    <w:p>
      <w:pPr>
        <w:spacing w:after="0" w:line="21" w:lineRule="exact"/>
        <w:rPr>
          <w:rFonts w:ascii="Arial" w:cs="Arial" w:eastAsia="Arial" w:hAnsi="Arial"/>
          <w:sz w:val="16"/>
          <w:szCs w:val="16"/>
          <w:color w:val="auto"/>
          <w:vertAlign w:val="superscript"/>
        </w:rPr>
      </w:pPr>
    </w:p>
    <w:p>
      <w:pPr>
        <w:ind w:left="200" w:right="6700"/>
        <w:spacing w:after="0" w:line="205" w:lineRule="auto"/>
        <w:rPr>
          <w:rFonts w:ascii="Arial" w:cs="Arial" w:eastAsia="Arial" w:hAnsi="Arial"/>
          <w:sz w:val="16"/>
          <w:szCs w:val="16"/>
          <w:color w:val="auto"/>
          <w:vertAlign w:val="superscript"/>
        </w:rPr>
      </w:pPr>
      <w:r>
        <w:rPr>
          <w:rFonts w:ascii="Arial" w:cs="Arial" w:eastAsia="Arial" w:hAnsi="Arial"/>
          <w:sz w:val="13"/>
          <w:szCs w:val="13"/>
          <w:color w:val="auto"/>
        </w:rPr>
        <w:t>ICP = Incentive Compensation Plan (for 2023 performance year, paid in 2024) NQSO = Nonqualified Stock Option</w:t>
      </w:r>
    </w:p>
    <w:p>
      <w:pPr>
        <w:spacing w:after="0" w:line="1" w:lineRule="exact"/>
        <w:rPr>
          <w:rFonts w:ascii="Arial" w:cs="Arial" w:eastAsia="Arial" w:hAnsi="Arial"/>
          <w:sz w:val="16"/>
          <w:szCs w:val="16"/>
          <w:color w:val="auto"/>
          <w:vertAlign w:val="superscript"/>
        </w:rPr>
      </w:pPr>
    </w:p>
    <w:p>
      <w:pPr>
        <w:ind w:left="200" w:right="7600"/>
        <w:spacing w:after="0" w:line="216" w:lineRule="auto"/>
        <w:rPr>
          <w:rFonts w:ascii="Arial" w:cs="Arial" w:eastAsia="Arial" w:hAnsi="Arial"/>
          <w:sz w:val="16"/>
          <w:szCs w:val="16"/>
          <w:color w:val="auto"/>
          <w:vertAlign w:val="superscript"/>
        </w:rPr>
      </w:pPr>
      <w:r>
        <w:rPr>
          <w:rFonts w:ascii="Arial" w:cs="Arial" w:eastAsia="Arial" w:hAnsi="Arial"/>
          <w:sz w:val="13"/>
          <w:szCs w:val="13"/>
          <w:color w:val="auto"/>
        </w:rPr>
        <w:t>PCU23-25 = 2023-2025 Performance Cash Unit (Currier only) PSU23-25 = 2023-2025 Performance Stock Unit</w:t>
      </w:r>
    </w:p>
    <w:p>
      <w:pPr>
        <w:ind w:left="200"/>
        <w:spacing w:after="0"/>
        <w:rPr>
          <w:rFonts w:ascii="Arial" w:cs="Arial" w:eastAsia="Arial" w:hAnsi="Arial"/>
          <w:sz w:val="16"/>
          <w:szCs w:val="16"/>
          <w:color w:val="auto"/>
          <w:vertAlign w:val="superscript"/>
        </w:rPr>
      </w:pPr>
      <w:r>
        <w:rPr>
          <w:rFonts w:ascii="Arial" w:cs="Arial" w:eastAsia="Arial" w:hAnsi="Arial"/>
          <w:sz w:val="13"/>
          <w:szCs w:val="13"/>
          <w:color w:val="auto"/>
        </w:rPr>
        <w:t>RSU = Restricted Stock Unit</w:t>
      </w:r>
    </w:p>
    <w:p>
      <w:pPr>
        <w:spacing w:after="0" w:line="36"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Represents the minimum level of performance that must be achieved for any amount to be payable.</w:t>
      </w:r>
    </w:p>
    <w:p>
      <w:pPr>
        <w:spacing w:after="0" w:line="56" w:lineRule="exact"/>
        <w:rPr>
          <w:rFonts w:ascii="Arial" w:cs="Arial" w:eastAsia="Arial" w:hAnsi="Arial"/>
          <w:sz w:val="16"/>
          <w:szCs w:val="16"/>
          <w:color w:val="auto"/>
          <w:vertAlign w:val="superscript"/>
        </w:rPr>
      </w:pPr>
    </w:p>
    <w:p>
      <w:pPr>
        <w:ind w:left="200" w:right="320" w:hanging="192"/>
        <w:spacing w:after="0" w:line="222" w:lineRule="auto"/>
        <w:tabs>
          <w:tab w:leader="none" w:pos="200" w:val="left"/>
        </w:tabs>
        <w:numPr>
          <w:ilvl w:val="0"/>
          <w:numId w:val="178"/>
        </w:numPr>
        <w:rPr>
          <w:rFonts w:ascii="Arial" w:cs="Arial" w:eastAsia="Arial" w:hAnsi="Arial"/>
          <w:sz w:val="15"/>
          <w:szCs w:val="15"/>
          <w:color w:val="auto"/>
          <w:vertAlign w:val="superscript"/>
        </w:rPr>
      </w:pPr>
      <w:r>
        <w:rPr>
          <w:rFonts w:ascii="Arial" w:cs="Arial" w:eastAsia="Arial" w:hAnsi="Arial"/>
          <w:sz w:val="12"/>
          <w:szCs w:val="12"/>
          <w:color w:val="auto"/>
        </w:rPr>
        <w:t>The amount in the Target column represents the number of PSUs awarded to the Named Executive Officer in 2023 under the 2016 Stock Incentive Plan for the performance period of January 1, 2023–December 31, 2025. Actual earned PSU awards may range from 0% to 200% based on performance against plan metrics over the three-year performance period. Awards vest 100% in February 2026. 50% of the total number of PSUs earned will be converted to, and paid in, cash. 50% of the earned PSUs will be paid in shares subject to a minimum one-year holding period.</w:t>
      </w:r>
    </w:p>
    <w:p>
      <w:pPr>
        <w:spacing w:after="0" w:line="10" w:lineRule="exact"/>
        <w:rPr>
          <w:rFonts w:ascii="Arial" w:cs="Arial" w:eastAsia="Arial" w:hAnsi="Arial"/>
          <w:sz w:val="15"/>
          <w:szCs w:val="15"/>
          <w:color w:val="auto"/>
          <w:vertAlign w:val="superscript"/>
        </w:rPr>
      </w:pPr>
    </w:p>
    <w:p>
      <w:pPr>
        <w:ind w:left="200" w:right="60" w:hanging="192"/>
        <w:spacing w:after="0" w:line="206" w:lineRule="auto"/>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Represents the number of RSUs awarded to the Named Executive Officer in 2023 under the 2016 Stock Incentive Plan. Annual RSUs vest in three installments; 33% on each of the second and third anniversaries of the grant date and 34% on the fourth anniversary of the grant date.</w:t>
      </w:r>
    </w:p>
    <w:p>
      <w:pPr>
        <w:spacing w:after="0" w:line="10" w:lineRule="exact"/>
        <w:rPr>
          <w:rFonts w:ascii="Arial" w:cs="Arial" w:eastAsia="Arial" w:hAnsi="Arial"/>
          <w:sz w:val="16"/>
          <w:szCs w:val="16"/>
          <w:color w:val="auto"/>
          <w:vertAlign w:val="superscript"/>
        </w:rPr>
      </w:pPr>
    </w:p>
    <w:p>
      <w:pPr>
        <w:ind w:left="200" w:right="40" w:hanging="192"/>
        <w:spacing w:after="0" w:line="216" w:lineRule="auto"/>
        <w:tabs>
          <w:tab w:leader="none" w:pos="200" w:val="left"/>
        </w:tabs>
        <w:numPr>
          <w:ilvl w:val="0"/>
          <w:numId w:val="178"/>
        </w:numPr>
        <w:rPr>
          <w:rFonts w:ascii="Arial" w:cs="Arial" w:eastAsia="Arial" w:hAnsi="Arial"/>
          <w:sz w:val="16"/>
          <w:szCs w:val="16"/>
          <w:color w:val="auto"/>
          <w:vertAlign w:val="superscript"/>
        </w:rPr>
      </w:pPr>
      <w:r>
        <w:rPr>
          <w:rFonts w:ascii="Arial" w:cs="Arial" w:eastAsia="Arial" w:hAnsi="Arial"/>
          <w:sz w:val="13"/>
          <w:szCs w:val="13"/>
          <w:color w:val="auto"/>
        </w:rPr>
        <w:t>NQSO awards in this column represent the number of annual stock options awarded to the Named Executive Officers on the Grant Date. These stock options vest in equal annual installments over a period of four years and have a ten-year term. The exercise price is equal to the fair market value of Honeywell stock on the date of grant.</w:t>
      </w:r>
    </w:p>
    <w:p>
      <w:pPr>
        <w:spacing w:after="0" w:line="50" w:lineRule="exact"/>
        <w:rPr>
          <w:rFonts w:ascii="Arial" w:cs="Arial" w:eastAsia="Arial" w:hAnsi="Arial"/>
          <w:sz w:val="16"/>
          <w:szCs w:val="16"/>
          <w:color w:val="auto"/>
          <w:vertAlign w:val="superscript"/>
        </w:rPr>
      </w:pPr>
    </w:p>
    <w:p>
      <w:pPr>
        <w:ind w:left="200" w:hanging="192"/>
        <w:spacing w:after="0" w:line="259" w:lineRule="auto"/>
        <w:tabs>
          <w:tab w:leader="none" w:pos="200" w:val="left"/>
        </w:tabs>
        <w:numPr>
          <w:ilvl w:val="0"/>
          <w:numId w:val="178"/>
        </w:numPr>
        <w:rPr>
          <w:rFonts w:ascii="Arial" w:cs="Arial" w:eastAsia="Arial" w:hAnsi="Arial"/>
          <w:sz w:val="15"/>
          <w:szCs w:val="15"/>
          <w:color w:val="auto"/>
          <w:vertAlign w:val="superscript"/>
        </w:rPr>
      </w:pPr>
      <w:r>
        <w:rPr>
          <w:rFonts w:ascii="Arial" w:cs="Arial" w:eastAsia="Arial" w:hAnsi="Arial"/>
          <w:sz w:val="12"/>
          <w:szCs w:val="12"/>
          <w:color w:val="auto"/>
        </w:rPr>
        <w:t>The grant date fair values for NQSO awards was calculated in accordance with FASB ASC Topic 718, using the Black-Scholes option valuation model at the time of grant. NQSO grant date values were: $39.91 for February 10, 2023 grants, $38.73 for the February 23, 2023 grant, $36.20 for the June 1, 2023 grant and $37.71 for the August 1, 2023 grant. A more detailed discussion of the assumptions used in the valuation of stock option awards may be found in Note 15 of the Notes to the Financial Statements in the Company’s Form 10-K for the year ended December 31, 2023. The grant date fair value for RSUs were determined using the average of the high and low stock prices of Honeywell stock on the grant date. Grant date fair values for RSUs issued in 2023 were: $199.60 for February 10, 2023 grants, $194.31 for the February 23, 2023 grant, $192.39 for the June 1, 2023 grant, and $193.88 for the August 1, 2023 grant. The grant date fair value for PSU23-25 awards were calculated based on the value of Honeywell stock on the date of grant for the 75% of the award tied to performance against internal metrics, and (b) a multifactor Monte Carlo simulation of Honeywell’s stock price and TSR relative to each of the other companies in the Compensation Peer Group, determined in accordance with FASB ASC Topic 718, for the 25% of the award with payout determined based on three-year TSR relative to the Compensation Peer Group. The PSU23-25 grant date fair values were: $203.07 for grants made on February 10, 2023, $200.71 for the grant made on June 1, 2023, and $182.43 for the grant made on August 1, 2023. The grant date fair value for the PCU23-25 award was $100.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DESCRIPTION OF PLAN-BASED AWARDS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All NQSO, PSU, and RSU awards granted to the Named Executive Officers in fiscal year 2023 were granted under the Company’s 2016 Stock Incentive Plan and are governed by and subject to the terms and conditions of the 2016 Stock Incentive Plan and the relevant award agreements. A detailed discussion of these long-term incentive awards can be found beginning on page 68 of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2023 FISCAL YEAR-END</w:t>
      </w:r>
    </w:p>
    <w:p>
      <w:pPr>
        <w:sectPr>
          <w:pgSz w:w="11900" w:h="16838" w:orient="portrait"/>
          <w:cols w:equalWidth="0" w:num="1">
            <w:col w:w="10880"/>
          </w:cols>
          <w:pgMar w:left="320" w:top="230" w:right="699" w:bottom="1440" w:gutter="0" w:footer="0" w:header="0"/>
        </w:sectPr>
      </w:pPr>
    </w:p>
    <w:bookmarkStart w:id="90" w:name="page91"/>
    <w:bookmarkEnd w:id="90"/>
    <w:p>
      <w:pPr>
        <w:ind w:left="376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14"/>
          <w:szCs w:val="14"/>
          <w:b w:val="1"/>
          <w:bCs w:val="1"/>
          <w:color w:val="auto"/>
          <w:vertAlign w:val="superscript"/>
        </w:rPr>
        <w:t>(1)</w:t>
      </w:r>
    </w:p>
    <w:tbl>
      <w:tblPr>
        <w:tblLayout w:type="fixed"/>
        <w:tblInd w:w="0" w:type="dxa"/>
        <w:tblCellMar>
          <w:top w:w="0" w:type="dxa"/>
          <w:left w:w="0" w:type="dxa"/>
          <w:bottom w:w="0" w:type="dxa"/>
          <w:right w:w="0" w:type="dxa"/>
        </w:tblCellMar>
      </w:tblPr>
      <w:tr>
        <w:trPr>
          <w:trHeight w:val="159"/>
        </w:trPr>
        <w:tc>
          <w:tcPr>
            <w:tcW w:w="1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1300" w:type="dxa"/>
            <w:vAlign w:val="bottom"/>
            <w:tcBorders>
              <w:bottom w:val="single" w:sz="8" w:color="D7282F"/>
            </w:tcBorders>
          </w:tcPr>
          <w:p>
            <w:pPr>
              <w:jc w:val="right"/>
              <w:ind w:right="46"/>
              <w:spacing w:after="0"/>
              <w:rPr>
                <w:sz w:val="20"/>
                <w:szCs w:val="20"/>
                <w:color w:val="auto"/>
              </w:rPr>
            </w:pPr>
            <w:r>
              <w:rPr>
                <w:rFonts w:ascii="Arial" w:cs="Arial" w:eastAsia="Arial" w:hAnsi="Arial"/>
                <w:sz w:val="11"/>
                <w:szCs w:val="11"/>
                <w:b w:val="1"/>
                <w:bCs w:val="1"/>
                <w:color w:val="auto"/>
              </w:rPr>
              <w:t>Stock Awards</w:t>
            </w:r>
          </w:p>
        </w:tc>
        <w:tc>
          <w:tcPr>
            <w:tcW w:w="68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Number of</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413"/>
              <w:spacing w:after="0"/>
              <w:rPr>
                <w:sz w:val="20"/>
                <w:szCs w:val="20"/>
                <w:color w:val="auto"/>
              </w:rPr>
            </w:pPr>
            <w:r>
              <w:rPr>
                <w:rFonts w:ascii="Arial" w:cs="Arial" w:eastAsia="Arial" w:hAnsi="Arial"/>
                <w:sz w:val="11"/>
                <w:szCs w:val="11"/>
                <w:b w:val="1"/>
                <w:bCs w:val="1"/>
                <w:color w:val="auto"/>
              </w:rPr>
              <w:t>Number of</w:t>
            </w: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Number of</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1"/>
        </w:trPr>
        <w:tc>
          <w:tcPr>
            <w:tcW w:w="1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Unearned</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Securities</w:t>
            </w:r>
          </w:p>
        </w:tc>
        <w:tc>
          <w:tcPr>
            <w:tcW w:w="10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right"/>
              <w:ind w:right="413"/>
              <w:spacing w:after="0" w:line="122" w:lineRule="exact"/>
              <w:rPr>
                <w:sz w:val="20"/>
                <w:szCs w:val="20"/>
                <w:color w:val="auto"/>
              </w:rPr>
            </w:pPr>
            <w:r>
              <w:rPr>
                <w:rFonts w:ascii="Arial" w:cs="Arial" w:eastAsia="Arial" w:hAnsi="Arial"/>
                <w:sz w:val="11"/>
                <w:szCs w:val="11"/>
                <w:b w:val="1"/>
                <w:bCs w:val="1"/>
                <w:color w:val="auto"/>
              </w:rPr>
              <w:t>Shares or</w:t>
            </w:r>
          </w:p>
        </w:tc>
        <w:tc>
          <w:tcPr>
            <w:tcW w:w="380" w:type="dxa"/>
            <w:vAlign w:val="bottom"/>
          </w:tcPr>
          <w:p>
            <w:pPr>
              <w:spacing w:after="0"/>
              <w:rPr>
                <w:sz w:val="10"/>
                <w:szCs w:val="10"/>
                <w:color w:val="auto"/>
              </w:rPr>
            </w:pPr>
          </w:p>
        </w:tc>
        <w:tc>
          <w:tcPr>
            <w:tcW w:w="1300" w:type="dxa"/>
            <w:vAlign w:val="bottom"/>
          </w:tcPr>
          <w:p>
            <w:pPr>
              <w:jc w:val="right"/>
              <w:ind w:right="426"/>
              <w:spacing w:after="0" w:line="122" w:lineRule="exact"/>
              <w:rPr>
                <w:sz w:val="20"/>
                <w:szCs w:val="20"/>
                <w:color w:val="auto"/>
              </w:rPr>
            </w:pPr>
            <w:r>
              <w:rPr>
                <w:rFonts w:ascii="Arial" w:cs="Arial" w:eastAsia="Arial" w:hAnsi="Arial"/>
                <w:sz w:val="11"/>
                <w:szCs w:val="11"/>
                <w:b w:val="1"/>
                <w:bCs w:val="1"/>
                <w:color w:val="auto"/>
                <w:w w:val="98"/>
              </w:rPr>
              <w:t>Market Value of</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Shares or</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of Shares or</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b w:val="1"/>
                <w:bCs w:val="1"/>
                <w:color w:val="auto"/>
              </w:rPr>
              <w:t>Underlying</w:t>
            </w: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413"/>
              <w:spacing w:after="0"/>
              <w:rPr>
                <w:sz w:val="20"/>
                <w:szCs w:val="20"/>
                <w:color w:val="auto"/>
              </w:rPr>
            </w:pPr>
            <w:r>
              <w:rPr>
                <w:rFonts w:ascii="Arial" w:cs="Arial" w:eastAsia="Arial" w:hAnsi="Arial"/>
                <w:sz w:val="11"/>
                <w:szCs w:val="11"/>
                <w:b w:val="1"/>
                <w:bCs w:val="1"/>
                <w:color w:val="auto"/>
              </w:rPr>
              <w:t>Units of</w:t>
            </w:r>
          </w:p>
        </w:tc>
        <w:tc>
          <w:tcPr>
            <w:tcW w:w="380" w:type="dxa"/>
            <w:vAlign w:val="bottom"/>
          </w:tcPr>
          <w:p>
            <w:pPr>
              <w:spacing w:after="0"/>
              <w:rPr>
                <w:sz w:val="11"/>
                <w:szCs w:val="11"/>
                <w:color w:val="auto"/>
              </w:rPr>
            </w:pPr>
          </w:p>
        </w:tc>
        <w:tc>
          <w:tcPr>
            <w:tcW w:w="1300" w:type="dxa"/>
            <w:vAlign w:val="bottom"/>
          </w:tcPr>
          <w:p>
            <w:pPr>
              <w:jc w:val="right"/>
              <w:ind w:right="426"/>
              <w:spacing w:after="0"/>
              <w:rPr>
                <w:sz w:val="20"/>
                <w:szCs w:val="20"/>
                <w:color w:val="auto"/>
              </w:rPr>
            </w:pPr>
            <w:r>
              <w:rPr>
                <w:rFonts w:ascii="Arial" w:cs="Arial" w:eastAsia="Arial" w:hAnsi="Arial"/>
                <w:sz w:val="11"/>
                <w:szCs w:val="11"/>
                <w:b w:val="1"/>
                <w:bCs w:val="1"/>
                <w:color w:val="auto"/>
                <w:w w:val="98"/>
              </w:rPr>
              <w:t>Shares or 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Unexercised</w:t>
            </w:r>
          </w:p>
        </w:tc>
        <w:tc>
          <w:tcPr>
            <w:tcW w:w="10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Unexercised</w:t>
            </w:r>
          </w:p>
        </w:tc>
        <w:tc>
          <w:tcPr>
            <w:tcW w:w="22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Option</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Option</w:t>
            </w:r>
          </w:p>
        </w:tc>
        <w:tc>
          <w:tcPr>
            <w:tcW w:w="1280" w:type="dxa"/>
            <w:vAlign w:val="bottom"/>
          </w:tcPr>
          <w:p>
            <w:pPr>
              <w:jc w:val="right"/>
              <w:ind w:right="413"/>
              <w:spacing w:after="0" w:line="122" w:lineRule="exact"/>
              <w:rPr>
                <w:sz w:val="20"/>
                <w:szCs w:val="20"/>
                <w:color w:val="auto"/>
              </w:rPr>
            </w:pPr>
            <w:r>
              <w:rPr>
                <w:rFonts w:ascii="Arial" w:cs="Arial" w:eastAsia="Arial" w:hAnsi="Arial"/>
                <w:sz w:val="11"/>
                <w:szCs w:val="11"/>
                <w:b w:val="1"/>
                <w:bCs w:val="1"/>
                <w:color w:val="auto"/>
              </w:rPr>
              <w:t>Stock that</w:t>
            </w:r>
          </w:p>
        </w:tc>
        <w:tc>
          <w:tcPr>
            <w:tcW w:w="380" w:type="dxa"/>
            <w:vAlign w:val="bottom"/>
          </w:tcPr>
          <w:p>
            <w:pPr>
              <w:spacing w:after="0"/>
              <w:rPr>
                <w:sz w:val="10"/>
                <w:szCs w:val="10"/>
                <w:color w:val="auto"/>
              </w:rPr>
            </w:pPr>
          </w:p>
        </w:tc>
        <w:tc>
          <w:tcPr>
            <w:tcW w:w="1300" w:type="dxa"/>
            <w:vAlign w:val="bottom"/>
          </w:tcPr>
          <w:p>
            <w:pPr>
              <w:jc w:val="right"/>
              <w:ind w:right="426"/>
              <w:spacing w:after="0" w:line="122" w:lineRule="exact"/>
              <w:rPr>
                <w:sz w:val="20"/>
                <w:szCs w:val="20"/>
                <w:color w:val="auto"/>
              </w:rPr>
            </w:pPr>
            <w:r>
              <w:rPr>
                <w:rFonts w:ascii="Arial" w:cs="Arial" w:eastAsia="Arial" w:hAnsi="Arial"/>
                <w:sz w:val="11"/>
                <w:szCs w:val="11"/>
                <w:b w:val="1"/>
                <w:bCs w:val="1"/>
                <w:color w:val="auto"/>
              </w:rPr>
              <w:t>of Stock That</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Grant</w:t>
            </w:r>
          </w:p>
        </w:tc>
        <w:tc>
          <w:tcPr>
            <w:tcW w:w="1160" w:type="dxa"/>
            <w:vAlign w:val="bottom"/>
          </w:tcPr>
          <w:p>
            <w:pPr>
              <w:jc w:val="right"/>
              <w:ind w:right="106"/>
              <w:spacing w:after="0"/>
              <w:rPr>
                <w:sz w:val="20"/>
                <w:szCs w:val="20"/>
                <w:color w:val="auto"/>
              </w:rPr>
            </w:pPr>
            <w:r>
              <w:rPr>
                <w:rFonts w:ascii="Arial" w:cs="Arial" w:eastAsia="Arial" w:hAnsi="Arial"/>
                <w:sz w:val="11"/>
                <w:szCs w:val="11"/>
                <w:b w:val="1"/>
                <w:bCs w:val="1"/>
                <w:color w:val="auto"/>
              </w:rPr>
              <w:t>Options</w:t>
            </w: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Options</w:t>
            </w:r>
          </w:p>
        </w:tc>
        <w:tc>
          <w:tcPr>
            <w:tcW w:w="22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Exercise</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Expiration</w:t>
            </w:r>
          </w:p>
        </w:tc>
        <w:tc>
          <w:tcPr>
            <w:tcW w:w="1280" w:type="dxa"/>
            <w:vAlign w:val="bottom"/>
          </w:tcPr>
          <w:p>
            <w:pPr>
              <w:jc w:val="right"/>
              <w:ind w:right="413"/>
              <w:spacing w:after="0"/>
              <w:rPr>
                <w:sz w:val="20"/>
                <w:szCs w:val="20"/>
                <w:color w:val="auto"/>
              </w:rPr>
            </w:pPr>
            <w:r>
              <w:rPr>
                <w:rFonts w:ascii="Arial" w:cs="Arial" w:eastAsia="Arial" w:hAnsi="Arial"/>
                <w:sz w:val="11"/>
                <w:szCs w:val="11"/>
                <w:b w:val="1"/>
                <w:bCs w:val="1"/>
                <w:color w:val="auto"/>
              </w:rPr>
              <w:t>Have Not</w:t>
            </w:r>
          </w:p>
        </w:tc>
        <w:tc>
          <w:tcPr>
            <w:tcW w:w="380" w:type="dxa"/>
            <w:vAlign w:val="bottom"/>
          </w:tcPr>
          <w:p>
            <w:pPr>
              <w:spacing w:after="0"/>
              <w:rPr>
                <w:sz w:val="11"/>
                <w:szCs w:val="11"/>
                <w:color w:val="auto"/>
              </w:rPr>
            </w:pPr>
          </w:p>
        </w:tc>
        <w:tc>
          <w:tcPr>
            <w:tcW w:w="1300" w:type="dxa"/>
            <w:vAlign w:val="bottom"/>
          </w:tcPr>
          <w:p>
            <w:pPr>
              <w:jc w:val="right"/>
              <w:ind w:right="426"/>
              <w:spacing w:after="0"/>
              <w:rPr>
                <w:sz w:val="20"/>
                <w:szCs w:val="20"/>
                <w:color w:val="auto"/>
              </w:rPr>
            </w:pPr>
            <w:r>
              <w:rPr>
                <w:rFonts w:ascii="Arial" w:cs="Arial" w:eastAsia="Arial" w:hAnsi="Arial"/>
                <w:sz w:val="11"/>
                <w:szCs w:val="11"/>
                <w:b w:val="1"/>
                <w:bCs w:val="1"/>
                <w:color w:val="auto"/>
              </w:rPr>
              <w:t>Have Not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0" w:type="dxa"/>
            <w:vAlign w:val="bottom"/>
          </w:tcPr>
          <w:p>
            <w:pPr>
              <w:spacing w:after="0"/>
              <w:rPr>
                <w:sz w:val="1"/>
                <w:szCs w:val="1"/>
                <w:color w:val="auto"/>
              </w:rPr>
            </w:pPr>
          </w:p>
        </w:tc>
      </w:tr>
      <w:tr>
        <w:trPr>
          <w:trHeight w:val="178"/>
        </w:trPr>
        <w:tc>
          <w:tcPr>
            <w:tcW w:w="1820" w:type="dxa"/>
            <w:vAlign w:val="bottom"/>
            <w:tcBorders>
              <w:bottom w:val="single" w:sz="8" w:color="D7282F"/>
            </w:tcBorders>
          </w:tcPr>
          <w:p>
            <w:pPr>
              <w:ind w:left="20"/>
              <w:spacing w:after="0"/>
              <w:rPr>
                <w:sz w:val="20"/>
                <w:szCs w:val="20"/>
                <w:color w:val="auto"/>
              </w:rPr>
            </w:pPr>
            <w:r>
              <w:rPr>
                <w:rFonts w:ascii="Arial" w:cs="Arial" w:eastAsia="Arial" w:hAnsi="Arial"/>
                <w:sz w:val="11"/>
                <w:szCs w:val="11"/>
                <w:b w:val="1"/>
                <w:bCs w:val="1"/>
                <w:color w:val="auto"/>
              </w:rPr>
              <w:t>Name</w:t>
            </w:r>
          </w:p>
        </w:tc>
        <w:tc>
          <w:tcPr>
            <w:tcW w:w="520" w:type="dxa"/>
            <w:vAlign w:val="bottom"/>
            <w:tcBorders>
              <w:bottom w:val="single" w:sz="8" w:color="D7282F"/>
            </w:tcBorders>
          </w:tcPr>
          <w:p>
            <w:pPr>
              <w:ind w:left="20"/>
              <w:spacing w:after="0"/>
              <w:rPr>
                <w:sz w:val="20"/>
                <w:szCs w:val="20"/>
                <w:color w:val="auto"/>
              </w:rPr>
            </w:pPr>
            <w:r>
              <w:rPr>
                <w:rFonts w:ascii="Arial" w:cs="Arial" w:eastAsia="Arial" w:hAnsi="Arial"/>
                <w:sz w:val="11"/>
                <w:szCs w:val="11"/>
                <w:b w:val="1"/>
                <w:bCs w:val="1"/>
                <w:color w:val="auto"/>
              </w:rPr>
              <w:t>Year</w:t>
            </w:r>
          </w:p>
        </w:tc>
        <w:tc>
          <w:tcPr>
            <w:tcW w:w="1160" w:type="dxa"/>
            <w:vAlign w:val="bottom"/>
            <w:tcBorders>
              <w:bottom w:val="single" w:sz="8" w:color="D7282F"/>
            </w:tcBorders>
          </w:tcPr>
          <w:p>
            <w:pPr>
              <w:jc w:val="right"/>
              <w:ind w:right="106"/>
              <w:spacing w:after="0"/>
              <w:rPr>
                <w:sz w:val="20"/>
                <w:szCs w:val="20"/>
                <w:color w:val="auto"/>
              </w:rPr>
            </w:pPr>
            <w:r>
              <w:rPr>
                <w:rFonts w:ascii="Arial" w:cs="Arial" w:eastAsia="Arial" w:hAnsi="Arial"/>
                <w:sz w:val="11"/>
                <w:szCs w:val="11"/>
                <w:b w:val="1"/>
                <w:bCs w:val="1"/>
                <w:color w:val="auto"/>
              </w:rPr>
              <w:t>Exercisable</w:t>
            </w:r>
          </w:p>
        </w:tc>
        <w:tc>
          <w:tcPr>
            <w:tcW w:w="1000" w:type="dxa"/>
            <w:vAlign w:val="bottom"/>
            <w:tcBorders>
              <w:bottom w:val="single" w:sz="8" w:color="D7282F"/>
            </w:tcBorders>
          </w:tcPr>
          <w:p>
            <w:pPr>
              <w:jc w:val="right"/>
              <w:ind w:right="46"/>
              <w:spacing w:after="0"/>
              <w:rPr>
                <w:sz w:val="20"/>
                <w:szCs w:val="20"/>
                <w:color w:val="auto"/>
              </w:rPr>
            </w:pPr>
            <w:r>
              <w:rPr>
                <w:rFonts w:ascii="Arial" w:cs="Arial" w:eastAsia="Arial" w:hAnsi="Arial"/>
                <w:sz w:val="11"/>
                <w:szCs w:val="11"/>
                <w:b w:val="1"/>
                <w:bCs w:val="1"/>
                <w:color w:val="auto"/>
              </w:rPr>
              <w:t>Unexercisable</w:t>
            </w:r>
          </w:p>
        </w:tc>
        <w:tc>
          <w:tcPr>
            <w:tcW w:w="22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ind w:right="66"/>
              <w:spacing w:after="0"/>
              <w:rPr>
                <w:sz w:val="20"/>
                <w:szCs w:val="20"/>
                <w:color w:val="auto"/>
              </w:rPr>
            </w:pPr>
            <w:r>
              <w:rPr>
                <w:rFonts w:ascii="Arial" w:cs="Arial" w:eastAsia="Arial" w:hAnsi="Arial"/>
                <w:sz w:val="11"/>
                <w:szCs w:val="11"/>
                <w:b w:val="1"/>
                <w:bCs w:val="1"/>
                <w:color w:val="auto"/>
              </w:rPr>
              <w:t>Price</w:t>
            </w:r>
          </w:p>
        </w:tc>
        <w:tc>
          <w:tcPr>
            <w:tcW w:w="900" w:type="dxa"/>
            <w:vAlign w:val="bottom"/>
            <w:tcBorders>
              <w:bottom w:val="single" w:sz="8" w:color="D7282F"/>
            </w:tcBorders>
            <w:gridSpan w:val="2"/>
          </w:tcPr>
          <w:p>
            <w:pPr>
              <w:jc w:val="right"/>
              <w:ind w:right="220"/>
              <w:spacing w:after="0"/>
              <w:rPr>
                <w:sz w:val="20"/>
                <w:szCs w:val="20"/>
                <w:color w:val="auto"/>
              </w:rPr>
            </w:pPr>
            <w:r>
              <w:rPr>
                <w:rFonts w:ascii="Arial" w:cs="Arial" w:eastAsia="Arial" w:hAnsi="Arial"/>
                <w:sz w:val="11"/>
                <w:szCs w:val="11"/>
                <w:b w:val="1"/>
                <w:bCs w:val="1"/>
                <w:color w:val="auto"/>
              </w:rPr>
              <w:t>Date</w:t>
            </w:r>
          </w:p>
        </w:tc>
        <w:tc>
          <w:tcPr>
            <w:tcW w:w="1280" w:type="dxa"/>
            <w:vAlign w:val="bottom"/>
            <w:tcBorders>
              <w:bottom w:val="single" w:sz="8" w:color="D7282F"/>
            </w:tcBorders>
          </w:tcPr>
          <w:p>
            <w:pPr>
              <w:jc w:val="right"/>
              <w:ind w:right="413"/>
              <w:spacing w:after="0"/>
              <w:rPr>
                <w:sz w:val="20"/>
                <w:szCs w:val="20"/>
                <w:color w:val="auto"/>
              </w:rPr>
            </w:pPr>
            <w:r>
              <w:rPr>
                <w:rFonts w:ascii="Arial" w:cs="Arial" w:eastAsia="Arial" w:hAnsi="Arial"/>
                <w:sz w:val="11"/>
                <w:szCs w:val="11"/>
                <w:b w:val="1"/>
                <w:bCs w:val="1"/>
                <w:color w:val="auto"/>
              </w:rPr>
              <w:t>Vested</w:t>
            </w:r>
          </w:p>
        </w:tc>
        <w:tc>
          <w:tcPr>
            <w:tcW w:w="380" w:type="dxa"/>
            <w:vAlign w:val="bottom"/>
            <w:tcBorders>
              <w:bottom w:val="single" w:sz="8" w:color="D7282F"/>
            </w:tcBorders>
          </w:tcPr>
          <w:p>
            <w:pPr>
              <w:spacing w:after="0"/>
              <w:rPr>
                <w:sz w:val="15"/>
                <w:szCs w:val="15"/>
                <w:color w:val="auto"/>
              </w:rPr>
            </w:pPr>
          </w:p>
        </w:tc>
        <w:tc>
          <w:tcPr>
            <w:tcW w:w="1300" w:type="dxa"/>
            <w:vAlign w:val="bottom"/>
            <w:tcBorders>
              <w:bottom w:val="single" w:sz="8" w:color="D7282F"/>
            </w:tcBorders>
          </w:tcPr>
          <w:p>
            <w:pPr>
              <w:jc w:val="right"/>
              <w:ind w:right="426"/>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7"/>
                <w:szCs w:val="7"/>
                <w:b w:val="1"/>
                <w:bCs w:val="1"/>
                <w:color w:val="auto"/>
              </w:rPr>
              <w:t>(2)</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p>
        </w:tc>
        <w:tc>
          <w:tcPr>
            <w:tcW w:w="300" w:type="dxa"/>
            <w:vAlign w:val="bottom"/>
            <w:tcBorders>
              <w:bottom w:val="single" w:sz="8" w:color="EE2724"/>
            </w:tcBorders>
          </w:tcPr>
          <w:p>
            <w:pPr>
              <w:spacing w:after="0"/>
              <w:rPr>
                <w:sz w:val="15"/>
                <w:szCs w:val="15"/>
                <w:color w:val="auto"/>
              </w:rPr>
            </w:pPr>
          </w:p>
        </w:tc>
        <w:tc>
          <w:tcPr>
            <w:tcW w:w="30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(3)</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20"/>
              <w:spacing w:after="0"/>
              <w:rPr>
                <w:sz w:val="20"/>
                <w:szCs w:val="20"/>
                <w:color w:val="auto"/>
              </w:rPr>
            </w:pPr>
            <w:r>
              <w:rPr>
                <w:rFonts w:ascii="Arial" w:cs="Arial" w:eastAsia="Arial" w:hAnsi="Arial"/>
                <w:sz w:val="11"/>
                <w:szCs w:val="11"/>
                <w:b w:val="1"/>
                <w:bCs w:val="1"/>
                <w:color w:val="auto"/>
              </w:rPr>
              <w:t>Vimal Kapur</w:t>
            </w:r>
          </w:p>
        </w:tc>
        <w:tc>
          <w:tcPr>
            <w:tcW w:w="520" w:type="dxa"/>
            <w:vAlign w:val="bottom"/>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28,592</w:t>
            </w:r>
          </w:p>
        </w:tc>
        <w:tc>
          <w:tcPr>
            <w:tcW w:w="2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192.39</w:t>
            </w:r>
          </w:p>
        </w:tc>
        <w:tc>
          <w:tcPr>
            <w:tcW w:w="680" w:type="dxa"/>
            <w:vAlign w:val="bottom"/>
          </w:tcPr>
          <w:p>
            <w:pPr>
              <w:jc w:val="right"/>
              <w:spacing w:after="0"/>
              <w:rPr>
                <w:sz w:val="20"/>
                <w:szCs w:val="20"/>
                <w:color w:val="auto"/>
              </w:rPr>
            </w:pPr>
            <w:r>
              <w:rPr>
                <w:rFonts w:ascii="Arial" w:cs="Arial" w:eastAsia="Arial" w:hAnsi="Arial"/>
                <w:sz w:val="11"/>
                <w:szCs w:val="11"/>
                <w:color w:val="auto"/>
              </w:rPr>
              <w:t>5/31/2033</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5,467</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1,146,485</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10,481</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2,197,971</w:t>
            </w:r>
          </w:p>
        </w:tc>
        <w:tc>
          <w:tcPr>
            <w:tcW w:w="0" w:type="dxa"/>
            <w:vAlign w:val="bottom"/>
          </w:tcPr>
          <w:p>
            <w:pPr>
              <w:spacing w:after="0"/>
              <w:rPr>
                <w:sz w:val="1"/>
                <w:szCs w:val="1"/>
                <w:color w:val="auto"/>
              </w:rPr>
            </w:pPr>
          </w:p>
        </w:tc>
      </w:tr>
      <w:tr>
        <w:trPr>
          <w:trHeight w:val="28"/>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36,960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199.60</w:t>
            </w:r>
          </w:p>
        </w:tc>
        <w:tc>
          <w:tcPr>
            <w:tcW w:w="680" w:type="dxa"/>
            <w:vAlign w:val="bottom"/>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7,549</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1,583,101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14,841</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3,112,306</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(6)</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(8)</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5,212</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15,634</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189.18</w:t>
            </w:r>
          </w:p>
        </w:tc>
        <w:tc>
          <w:tcPr>
            <w:tcW w:w="680" w:type="dxa"/>
            <w:vAlign w:val="bottom"/>
          </w:tcPr>
          <w:p>
            <w:pPr>
              <w:jc w:val="right"/>
              <w:spacing w:after="0"/>
              <w:rPr>
                <w:sz w:val="20"/>
                <w:szCs w:val="20"/>
                <w:color w:val="auto"/>
              </w:rPr>
            </w:pPr>
            <w:r>
              <w:rPr>
                <w:rFonts w:ascii="Arial" w:cs="Arial" w:eastAsia="Arial" w:hAnsi="Arial"/>
                <w:sz w:val="11"/>
                <w:szCs w:val="11"/>
                <w:color w:val="auto"/>
              </w:rPr>
              <w:t>7/27/2032</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1,636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343,086</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5,078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1,064,907</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(8)</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11,050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33,150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189.72</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3,127</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655,763</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10,737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2,251,656</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(9)</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14,150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14,150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202.72</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1,350</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283,109</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(10)</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9,611</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2,015,523</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2020</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25,725</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8,575</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180.92</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1,233</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258,572</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(12)</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2019</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28,600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154.22</w:t>
            </w:r>
          </w:p>
        </w:tc>
        <w:tc>
          <w:tcPr>
            <w:tcW w:w="680" w:type="dxa"/>
            <w:vAlign w:val="bottom"/>
          </w:tcPr>
          <w:p>
            <w:pPr>
              <w:jc w:val="right"/>
              <w:spacing w:after="0"/>
              <w:rPr>
                <w:sz w:val="20"/>
                <w:szCs w:val="20"/>
                <w:color w:val="auto"/>
              </w:rPr>
            </w:pPr>
            <w:r>
              <w:rPr>
                <w:rFonts w:ascii="Arial" w:cs="Arial" w:eastAsia="Arial" w:hAnsi="Arial"/>
                <w:sz w:val="11"/>
                <w:szCs w:val="11"/>
                <w:color w:val="auto"/>
              </w:rPr>
              <w:t>2/25/2029</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635</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133,166</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2018</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17,232</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148.79</w:t>
            </w:r>
          </w:p>
        </w:tc>
        <w:tc>
          <w:tcPr>
            <w:tcW w:w="680" w:type="dxa"/>
            <w:vAlign w:val="bottom"/>
          </w:tcPr>
          <w:p>
            <w:pPr>
              <w:jc w:val="right"/>
              <w:spacing w:after="0"/>
              <w:rPr>
                <w:sz w:val="20"/>
                <w:szCs w:val="20"/>
                <w:color w:val="auto"/>
              </w:rPr>
            </w:pPr>
            <w:r>
              <w:rPr>
                <w:rFonts w:ascii="Arial" w:cs="Arial" w:eastAsia="Arial" w:hAnsi="Arial"/>
                <w:sz w:val="11"/>
                <w:szCs w:val="11"/>
                <w:color w:val="auto"/>
              </w:rPr>
              <w:t>2/26/2028</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2017</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16,188</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119.69</w:t>
            </w:r>
          </w:p>
        </w:tc>
        <w:tc>
          <w:tcPr>
            <w:tcW w:w="680" w:type="dxa"/>
            <w:vAlign w:val="bottom"/>
          </w:tcPr>
          <w:p>
            <w:pPr>
              <w:jc w:val="right"/>
              <w:spacing w:after="0"/>
              <w:rPr>
                <w:sz w:val="20"/>
                <w:szCs w:val="20"/>
                <w:color w:val="auto"/>
              </w:rPr>
            </w:pPr>
            <w:r>
              <w:rPr>
                <w:rFonts w:ascii="Arial" w:cs="Arial" w:eastAsia="Arial" w:hAnsi="Arial"/>
                <w:sz w:val="11"/>
                <w:szCs w:val="11"/>
                <w:color w:val="auto"/>
              </w:rPr>
              <w:t>2/27/2027</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118,157</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137,061</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b w:val="1"/>
                <w:bCs w:val="1"/>
                <w:color w:val="auto"/>
              </w:rPr>
              <w:t>30,608</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b w:val="1"/>
                <w:bCs w:val="1"/>
                <w:color w:val="auto"/>
              </w:rPr>
              <w:t>6,418,804</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41,137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8,626,840</w:t>
            </w:r>
          </w:p>
        </w:tc>
        <w:tc>
          <w:tcPr>
            <w:tcW w:w="0" w:type="dxa"/>
            <w:vAlign w:val="bottom"/>
          </w:tcPr>
          <w:p>
            <w:pPr>
              <w:spacing w:after="0"/>
              <w:rPr>
                <w:sz w:val="1"/>
                <w:szCs w:val="1"/>
                <w:color w:val="auto"/>
              </w:rPr>
            </w:pPr>
          </w:p>
        </w:tc>
      </w:tr>
      <w:tr>
        <w:trPr>
          <w:trHeight w:val="28"/>
        </w:trPr>
        <w:tc>
          <w:tcPr>
            <w:tcW w:w="182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Gregory P. Lewis</w:t>
            </w:r>
          </w:p>
        </w:tc>
        <w:tc>
          <w:tcPr>
            <w:tcW w:w="520" w:type="dxa"/>
            <w:vAlign w:val="bottom"/>
            <w:vMerge w:val="restart"/>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34,270</w:t>
            </w:r>
          </w:p>
        </w:tc>
        <w:tc>
          <w:tcPr>
            <w:tcW w:w="220" w:type="dxa"/>
            <w:vAlign w:val="bottom"/>
          </w:tcPr>
          <w:p>
            <w:pPr>
              <w:spacing w:after="0"/>
              <w:rPr>
                <w:sz w:val="10"/>
                <w:szCs w:val="10"/>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color w:val="auto"/>
              </w:rPr>
              <w:t>199.60</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0"/>
                <w:szCs w:val="10"/>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380" w:type="dxa"/>
            <w:vAlign w:val="bottom"/>
          </w:tcPr>
          <w:p>
            <w:pPr>
              <w:spacing w:after="0"/>
              <w:rPr>
                <w:sz w:val="10"/>
                <w:szCs w:val="10"/>
                <w:color w:val="auto"/>
              </w:rPr>
            </w:pPr>
          </w:p>
        </w:tc>
        <w:tc>
          <w:tcPr>
            <w:tcW w:w="1300" w:type="dxa"/>
            <w:vAlign w:val="bottom"/>
            <w:vMerge w:val="restart"/>
          </w:tcPr>
          <w:p>
            <w:pPr>
              <w:jc w:val="right"/>
              <w:ind w:right="466"/>
              <w:spacing w:after="0"/>
              <w:rPr>
                <w:sz w:val="20"/>
                <w:szCs w:val="20"/>
                <w:color w:val="auto"/>
              </w:rPr>
            </w:pPr>
            <w:r>
              <w:rPr>
                <w:rFonts w:ascii="Arial" w:cs="Arial" w:eastAsia="Arial" w:hAnsi="Arial"/>
                <w:sz w:val="11"/>
                <w:szCs w:val="11"/>
                <w:color w:val="auto"/>
              </w:rPr>
              <w:t>1,467,551</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13,760</w:t>
            </w: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2,885,610</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6,998</w:t>
            </w: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16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12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(8)</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13,725</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41,175</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189.72</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3,961</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830,661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13,343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2,798,161</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(9)</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25,600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25,600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202.72</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2,416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506,659</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(10)</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16,997</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3,564,441</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2020</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52,650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17,550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180.92</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2,539</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532,454</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(12)</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2019</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56,800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154.22</w:t>
            </w:r>
          </w:p>
        </w:tc>
        <w:tc>
          <w:tcPr>
            <w:tcW w:w="680" w:type="dxa"/>
            <w:vAlign w:val="bottom"/>
          </w:tcPr>
          <w:p>
            <w:pPr>
              <w:jc w:val="right"/>
              <w:spacing w:after="0"/>
              <w:rPr>
                <w:sz w:val="20"/>
                <w:szCs w:val="20"/>
                <w:color w:val="auto"/>
              </w:rPr>
            </w:pPr>
            <w:r>
              <w:rPr>
                <w:rFonts w:ascii="Arial" w:cs="Arial" w:eastAsia="Arial" w:hAnsi="Arial"/>
                <w:sz w:val="11"/>
                <w:szCs w:val="11"/>
                <w:color w:val="auto"/>
              </w:rPr>
              <w:t>2/25/2029</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1,270</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266,332</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2018</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26,110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148.79</w:t>
            </w:r>
          </w:p>
        </w:tc>
        <w:tc>
          <w:tcPr>
            <w:tcW w:w="680" w:type="dxa"/>
            <w:vAlign w:val="bottom"/>
          </w:tcPr>
          <w:p>
            <w:pPr>
              <w:jc w:val="right"/>
              <w:spacing w:after="0"/>
              <w:rPr>
                <w:sz w:val="20"/>
                <w:szCs w:val="20"/>
                <w:color w:val="auto"/>
              </w:rPr>
            </w:pPr>
            <w:r>
              <w:rPr>
                <w:rFonts w:ascii="Arial" w:cs="Arial" w:eastAsia="Arial" w:hAnsi="Arial"/>
                <w:sz w:val="11"/>
                <w:szCs w:val="11"/>
                <w:color w:val="auto"/>
              </w:rPr>
              <w:t>2/26/2028</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2017</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26,110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119.69</w:t>
            </w:r>
          </w:p>
        </w:tc>
        <w:tc>
          <w:tcPr>
            <w:tcW w:w="680" w:type="dxa"/>
            <w:vAlign w:val="bottom"/>
          </w:tcPr>
          <w:p>
            <w:pPr>
              <w:jc w:val="right"/>
              <w:spacing w:after="0"/>
              <w:rPr>
                <w:sz w:val="20"/>
                <w:szCs w:val="20"/>
                <w:color w:val="auto"/>
              </w:rPr>
            </w:pPr>
            <w:r>
              <w:rPr>
                <w:rFonts w:ascii="Arial" w:cs="Arial" w:eastAsia="Arial" w:hAnsi="Arial"/>
                <w:sz w:val="11"/>
                <w:szCs w:val="11"/>
                <w:color w:val="auto"/>
              </w:rPr>
              <w:t>2/27/2027</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2016</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25,209</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98.70</w:t>
            </w:r>
          </w:p>
        </w:tc>
        <w:tc>
          <w:tcPr>
            <w:tcW w:w="680" w:type="dxa"/>
            <w:vAlign w:val="bottom"/>
          </w:tcPr>
          <w:p>
            <w:pPr>
              <w:jc w:val="right"/>
              <w:spacing w:after="0"/>
              <w:rPr>
                <w:sz w:val="20"/>
                <w:szCs w:val="20"/>
                <w:color w:val="auto"/>
              </w:rPr>
            </w:pPr>
            <w:r>
              <w:rPr>
                <w:rFonts w:ascii="Arial" w:cs="Arial" w:eastAsia="Arial" w:hAnsi="Arial"/>
                <w:sz w:val="11"/>
                <w:szCs w:val="11"/>
                <w:color w:val="auto"/>
              </w:rPr>
              <w:t>2/24/2026</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226,204</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118,595</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b w:val="1"/>
                <w:bCs w:val="1"/>
                <w:color w:val="auto"/>
              </w:rPr>
              <w:t>34,181</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b w:val="1"/>
                <w:bCs w:val="1"/>
                <w:color w:val="auto"/>
              </w:rPr>
              <w:t>7,168,098</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27,103</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5,683,770</w:t>
            </w:r>
          </w:p>
        </w:tc>
        <w:tc>
          <w:tcPr>
            <w:tcW w:w="0" w:type="dxa"/>
            <w:vAlign w:val="bottom"/>
          </w:tcPr>
          <w:p>
            <w:pPr>
              <w:spacing w:after="0"/>
              <w:rPr>
                <w:sz w:val="1"/>
                <w:szCs w:val="1"/>
                <w:color w:val="auto"/>
              </w:rPr>
            </w:pPr>
          </w:p>
        </w:tc>
      </w:tr>
      <w:tr>
        <w:trPr>
          <w:trHeight w:val="28"/>
        </w:trPr>
        <w:tc>
          <w:tcPr>
            <w:tcW w:w="182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Anne T. Madden</w:t>
            </w:r>
          </w:p>
        </w:tc>
        <w:tc>
          <w:tcPr>
            <w:tcW w:w="520" w:type="dxa"/>
            <w:vAlign w:val="bottom"/>
            <w:vMerge w:val="restart"/>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31,225</w:t>
            </w:r>
          </w:p>
        </w:tc>
        <w:tc>
          <w:tcPr>
            <w:tcW w:w="220" w:type="dxa"/>
            <w:vAlign w:val="bottom"/>
          </w:tcPr>
          <w:p>
            <w:pPr>
              <w:spacing w:after="0"/>
              <w:rPr>
                <w:sz w:val="10"/>
                <w:szCs w:val="10"/>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color w:val="auto"/>
              </w:rPr>
              <w:t>199.60</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0"/>
                <w:szCs w:val="10"/>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380" w:type="dxa"/>
            <w:vAlign w:val="bottom"/>
          </w:tcPr>
          <w:p>
            <w:pPr>
              <w:spacing w:after="0"/>
              <w:rPr>
                <w:sz w:val="10"/>
                <w:szCs w:val="10"/>
                <w:color w:val="auto"/>
              </w:rPr>
            </w:pPr>
          </w:p>
        </w:tc>
        <w:tc>
          <w:tcPr>
            <w:tcW w:w="1300" w:type="dxa"/>
            <w:vAlign w:val="bottom"/>
            <w:vMerge w:val="restart"/>
          </w:tcPr>
          <w:p>
            <w:pPr>
              <w:jc w:val="right"/>
              <w:ind w:right="466"/>
              <w:spacing w:after="0"/>
              <w:rPr>
                <w:sz w:val="20"/>
                <w:szCs w:val="20"/>
                <w:color w:val="auto"/>
              </w:rPr>
            </w:pPr>
            <w:r>
              <w:rPr>
                <w:rFonts w:ascii="Arial" w:cs="Arial" w:eastAsia="Arial" w:hAnsi="Arial"/>
                <w:sz w:val="11"/>
                <w:szCs w:val="11"/>
                <w:color w:val="auto"/>
              </w:rPr>
              <w:t>1,337,950</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12,539</w:t>
            </w: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2,629,554</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6,380</w:t>
            </w: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16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12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(8)</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13,725</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41,175</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189.72</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3,961</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830,661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13,343</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2,798,161</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(9)</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25,600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25,600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202.72</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2,416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506,659</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(10)</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16,997</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3,564,441</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2020</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52,650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17,550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180.92</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2,539</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532,454</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(12)</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2019</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56,800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154.22</w:t>
            </w:r>
          </w:p>
        </w:tc>
        <w:tc>
          <w:tcPr>
            <w:tcW w:w="680" w:type="dxa"/>
            <w:vAlign w:val="bottom"/>
          </w:tcPr>
          <w:p>
            <w:pPr>
              <w:jc w:val="right"/>
              <w:spacing w:after="0"/>
              <w:rPr>
                <w:sz w:val="20"/>
                <w:szCs w:val="20"/>
                <w:color w:val="auto"/>
              </w:rPr>
            </w:pPr>
            <w:r>
              <w:rPr>
                <w:rFonts w:ascii="Arial" w:cs="Arial" w:eastAsia="Arial" w:hAnsi="Arial"/>
                <w:sz w:val="11"/>
                <w:szCs w:val="11"/>
                <w:color w:val="auto"/>
              </w:rPr>
              <w:t>2/25/2029</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1,270</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266,332</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(13)</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2018</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31,959</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148.79</w:t>
            </w:r>
          </w:p>
        </w:tc>
        <w:tc>
          <w:tcPr>
            <w:tcW w:w="680" w:type="dxa"/>
            <w:vAlign w:val="bottom"/>
          </w:tcPr>
          <w:p>
            <w:pPr>
              <w:jc w:val="right"/>
              <w:spacing w:after="0"/>
              <w:rPr>
                <w:sz w:val="20"/>
                <w:szCs w:val="20"/>
                <w:color w:val="auto"/>
              </w:rPr>
            </w:pPr>
            <w:r>
              <w:rPr>
                <w:rFonts w:ascii="Arial" w:cs="Arial" w:eastAsia="Arial" w:hAnsi="Arial"/>
                <w:sz w:val="11"/>
                <w:szCs w:val="11"/>
                <w:color w:val="auto"/>
              </w:rPr>
              <w:t>2/26/2028</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1,834</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384,608</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2017</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28,199</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119.69</w:t>
            </w:r>
          </w:p>
        </w:tc>
        <w:tc>
          <w:tcPr>
            <w:tcW w:w="680" w:type="dxa"/>
            <w:vAlign w:val="bottom"/>
          </w:tcPr>
          <w:p>
            <w:pPr>
              <w:jc w:val="right"/>
              <w:spacing w:after="0"/>
              <w:rPr>
                <w:sz w:val="20"/>
                <w:szCs w:val="20"/>
                <w:color w:val="auto"/>
              </w:rPr>
            </w:pPr>
            <w:r>
              <w:rPr>
                <w:rFonts w:ascii="Arial" w:cs="Arial" w:eastAsia="Arial" w:hAnsi="Arial"/>
                <w:sz w:val="11"/>
                <w:szCs w:val="11"/>
                <w:color w:val="auto"/>
              </w:rPr>
              <w:t>2/27/2027</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2016</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28,885</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98.70</w:t>
            </w:r>
          </w:p>
        </w:tc>
        <w:tc>
          <w:tcPr>
            <w:tcW w:w="680" w:type="dxa"/>
            <w:vAlign w:val="bottom"/>
          </w:tcPr>
          <w:p>
            <w:pPr>
              <w:jc w:val="right"/>
              <w:spacing w:after="0"/>
              <w:rPr>
                <w:sz w:val="20"/>
                <w:szCs w:val="20"/>
                <w:color w:val="auto"/>
              </w:rPr>
            </w:pPr>
            <w:r>
              <w:rPr>
                <w:rFonts w:ascii="Arial" w:cs="Arial" w:eastAsia="Arial" w:hAnsi="Arial"/>
                <w:sz w:val="11"/>
                <w:szCs w:val="11"/>
                <w:color w:val="auto"/>
              </w:rPr>
              <w:t>2/24/2026</w:t>
            </w: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237,818</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115,550</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b w:val="1"/>
                <w:bCs w:val="1"/>
                <w:color w:val="auto"/>
              </w:rPr>
              <w:t>35,397</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b w:val="1"/>
                <w:bCs w:val="1"/>
                <w:color w:val="auto"/>
              </w:rPr>
              <w:t>7,423,105</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25,882</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5,427,714</w:t>
            </w:r>
          </w:p>
        </w:tc>
        <w:tc>
          <w:tcPr>
            <w:tcW w:w="0" w:type="dxa"/>
            <w:vAlign w:val="bottom"/>
          </w:tcPr>
          <w:p>
            <w:pPr>
              <w:spacing w:after="0"/>
              <w:rPr>
                <w:sz w:val="1"/>
                <w:szCs w:val="1"/>
                <w:color w:val="auto"/>
              </w:rPr>
            </w:pPr>
          </w:p>
        </w:tc>
      </w:tr>
      <w:tr>
        <w:trPr>
          <w:trHeight w:val="28"/>
        </w:trPr>
        <w:tc>
          <w:tcPr>
            <w:tcW w:w="182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Lucian Boldea</w:t>
            </w:r>
          </w:p>
        </w:tc>
        <w:tc>
          <w:tcPr>
            <w:tcW w:w="520" w:type="dxa"/>
            <w:vAlign w:val="bottom"/>
            <w:vMerge w:val="restart"/>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tcPr>
          <w:p>
            <w:pPr>
              <w:spacing w:after="0"/>
              <w:rPr>
                <w:sz w:val="10"/>
                <w:szCs w:val="10"/>
                <w:color w:val="auto"/>
              </w:rPr>
            </w:pP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23,805</w:t>
            </w:r>
          </w:p>
        </w:tc>
        <w:tc>
          <w:tcPr>
            <w:tcW w:w="220" w:type="dxa"/>
            <w:vAlign w:val="bottom"/>
          </w:tcPr>
          <w:p>
            <w:pPr>
              <w:spacing w:after="0"/>
              <w:rPr>
                <w:sz w:val="10"/>
                <w:szCs w:val="10"/>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color w:val="auto"/>
              </w:rPr>
              <w:t>199.60</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0"/>
                <w:szCs w:val="10"/>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380" w:type="dxa"/>
            <w:vAlign w:val="bottom"/>
          </w:tcPr>
          <w:p>
            <w:pPr>
              <w:spacing w:after="0"/>
              <w:rPr>
                <w:sz w:val="10"/>
                <w:szCs w:val="10"/>
                <w:color w:val="auto"/>
              </w:rPr>
            </w:pPr>
          </w:p>
        </w:tc>
        <w:tc>
          <w:tcPr>
            <w:tcW w:w="1300" w:type="dxa"/>
            <w:vAlign w:val="bottom"/>
            <w:vMerge w:val="restart"/>
          </w:tcPr>
          <w:p>
            <w:pPr>
              <w:jc w:val="right"/>
              <w:ind w:right="466"/>
              <w:spacing w:after="0"/>
              <w:rPr>
                <w:sz w:val="20"/>
                <w:szCs w:val="20"/>
                <w:color w:val="auto"/>
              </w:rPr>
            </w:pPr>
            <w:r>
              <w:rPr>
                <w:rFonts w:ascii="Arial" w:cs="Arial" w:eastAsia="Arial" w:hAnsi="Arial"/>
                <w:sz w:val="11"/>
                <w:szCs w:val="11"/>
                <w:color w:val="auto"/>
              </w:rPr>
              <w:t>1,019,610</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9,558</w:t>
            </w: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2,004,408</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4,862</w:t>
            </w: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16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12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(14)</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(8)</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8,797</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26,390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171.73</w:t>
            </w:r>
          </w:p>
        </w:tc>
        <w:tc>
          <w:tcPr>
            <w:tcW w:w="680" w:type="dxa"/>
            <w:vAlign w:val="bottom"/>
          </w:tcPr>
          <w:p>
            <w:pPr>
              <w:jc w:val="right"/>
              <w:spacing w:after="0"/>
              <w:rPr>
                <w:sz w:val="20"/>
                <w:szCs w:val="20"/>
                <w:color w:val="auto"/>
              </w:rPr>
            </w:pPr>
            <w:r>
              <w:rPr>
                <w:rFonts w:ascii="Arial" w:cs="Arial" w:eastAsia="Arial" w:hAnsi="Arial"/>
                <w:sz w:val="11"/>
                <w:szCs w:val="11"/>
                <w:color w:val="auto"/>
              </w:rPr>
              <w:t>10/2/2032</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17,716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3,715,222</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9,570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2,006,925</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8,797</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50,195</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b w:val="1"/>
                <w:bCs w:val="1"/>
                <w:color w:val="auto"/>
              </w:rPr>
              <w:t>22,578</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b w:val="1"/>
                <w:bCs w:val="1"/>
                <w:color w:val="auto"/>
              </w:rPr>
              <w:t>4,734,832</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19,128</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4,011,333</w:t>
            </w:r>
          </w:p>
        </w:tc>
        <w:tc>
          <w:tcPr>
            <w:tcW w:w="0" w:type="dxa"/>
            <w:vAlign w:val="bottom"/>
          </w:tcPr>
          <w:p>
            <w:pPr>
              <w:spacing w:after="0"/>
              <w:rPr>
                <w:sz w:val="1"/>
                <w:szCs w:val="1"/>
                <w:color w:val="auto"/>
              </w:rPr>
            </w:pPr>
          </w:p>
        </w:tc>
      </w:tr>
      <w:tr>
        <w:trPr>
          <w:trHeight w:val="28"/>
        </w:trPr>
        <w:tc>
          <w:tcPr>
            <w:tcW w:w="182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82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James Currier</w:t>
            </w:r>
          </w:p>
        </w:tc>
        <w:tc>
          <w:tcPr>
            <w:tcW w:w="520" w:type="dxa"/>
            <w:vAlign w:val="bottom"/>
            <w:vMerge w:val="restart"/>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20,552</w:t>
            </w:r>
          </w:p>
        </w:tc>
        <w:tc>
          <w:tcPr>
            <w:tcW w:w="220" w:type="dxa"/>
            <w:vAlign w:val="bottom"/>
          </w:tcPr>
          <w:p>
            <w:pPr>
              <w:spacing w:after="0"/>
              <w:rPr>
                <w:sz w:val="10"/>
                <w:szCs w:val="10"/>
                <w:color w:val="auto"/>
              </w:rPr>
            </w:pP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color w:val="auto"/>
              </w:rPr>
              <w:t>193.88</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7/31/2033</w:t>
            </w:r>
          </w:p>
        </w:tc>
        <w:tc>
          <w:tcPr>
            <w:tcW w:w="220" w:type="dxa"/>
            <w:vAlign w:val="bottom"/>
          </w:tcPr>
          <w:p>
            <w:pPr>
              <w:spacing w:after="0"/>
              <w:rPr>
                <w:sz w:val="10"/>
                <w:szCs w:val="10"/>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(15)</w:t>
            </w:r>
          </w:p>
        </w:tc>
        <w:tc>
          <w:tcPr>
            <w:tcW w:w="380" w:type="dxa"/>
            <w:vAlign w:val="bottom"/>
          </w:tcPr>
          <w:p>
            <w:pPr>
              <w:spacing w:after="0"/>
              <w:rPr>
                <w:sz w:val="10"/>
                <w:szCs w:val="10"/>
                <w:color w:val="auto"/>
              </w:rPr>
            </w:pPr>
          </w:p>
        </w:tc>
        <w:tc>
          <w:tcPr>
            <w:tcW w:w="1300" w:type="dxa"/>
            <w:vAlign w:val="bottom"/>
            <w:vMerge w:val="restart"/>
          </w:tcPr>
          <w:p>
            <w:pPr>
              <w:jc w:val="right"/>
              <w:ind w:right="466"/>
              <w:spacing w:after="0"/>
              <w:rPr>
                <w:sz w:val="20"/>
                <w:szCs w:val="20"/>
                <w:color w:val="auto"/>
              </w:rPr>
            </w:pPr>
            <w:r>
              <w:rPr>
                <w:rFonts w:ascii="Arial" w:cs="Arial" w:eastAsia="Arial" w:hAnsi="Arial"/>
                <w:sz w:val="11"/>
                <w:szCs w:val="11"/>
                <w:color w:val="auto"/>
              </w:rPr>
              <w:t>847,438</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8,590</w:t>
            </w:r>
          </w:p>
        </w:tc>
        <w:tc>
          <w:tcPr>
            <w:tcW w:w="300" w:type="dxa"/>
            <w:vAlign w:val="bottom"/>
          </w:tcPr>
          <w:p>
            <w:pPr>
              <w:jc w:val="right"/>
              <w:ind w:right="163"/>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1,801,409</w:t>
            </w: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4,041</w:t>
            </w: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116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12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(16)</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2023</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3,719</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194.31</w:t>
            </w:r>
          </w:p>
        </w:tc>
        <w:tc>
          <w:tcPr>
            <w:tcW w:w="680" w:type="dxa"/>
            <w:vAlign w:val="bottom"/>
          </w:tcPr>
          <w:p>
            <w:pPr>
              <w:jc w:val="right"/>
              <w:spacing w:after="0"/>
              <w:rPr>
                <w:sz w:val="20"/>
                <w:szCs w:val="20"/>
                <w:color w:val="auto"/>
              </w:rPr>
            </w:pPr>
            <w:r>
              <w:rPr>
                <w:rFonts w:ascii="Arial" w:cs="Arial" w:eastAsia="Arial" w:hAnsi="Arial"/>
                <w:sz w:val="11"/>
                <w:szCs w:val="11"/>
                <w:color w:val="auto"/>
              </w:rPr>
              <w:t>2/22/2033</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758</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158,960</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(17)</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1,081</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3,243</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189.72</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732</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153,508</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(18)</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1,831</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383,979</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(19)</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1,454</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1,454</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202.72</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488</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102,338</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(20)</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2020</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2,920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973</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180.92</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1,426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299,046</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(21)</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2019</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2,520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154.22</w:t>
            </w:r>
          </w:p>
        </w:tc>
        <w:tc>
          <w:tcPr>
            <w:tcW w:w="680" w:type="dxa"/>
            <w:vAlign w:val="bottom"/>
          </w:tcPr>
          <w:p>
            <w:pPr>
              <w:jc w:val="right"/>
              <w:spacing w:after="0"/>
              <w:rPr>
                <w:sz w:val="20"/>
                <w:szCs w:val="20"/>
                <w:color w:val="auto"/>
              </w:rPr>
            </w:pPr>
            <w:r>
              <w:rPr>
                <w:rFonts w:ascii="Arial" w:cs="Arial" w:eastAsia="Arial" w:hAnsi="Arial"/>
                <w:sz w:val="11"/>
                <w:szCs w:val="11"/>
                <w:color w:val="auto"/>
              </w:rPr>
              <w:t>2/25/2029</w:t>
            </w:r>
          </w:p>
        </w:tc>
        <w:tc>
          <w:tcPr>
            <w:tcW w:w="220" w:type="dxa"/>
            <w:vAlign w:val="bottom"/>
          </w:tcPr>
          <w:p>
            <w:pPr>
              <w:spacing w:after="0"/>
              <w:rPr>
                <w:sz w:val="12"/>
                <w:szCs w:val="12"/>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color w:val="auto"/>
              </w:rPr>
              <w:t>641</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134,424</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color w:val="auto"/>
              </w:rPr>
              <w:t>2018</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1,671</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148.79</w:t>
            </w:r>
          </w:p>
        </w:tc>
        <w:tc>
          <w:tcPr>
            <w:tcW w:w="680" w:type="dxa"/>
            <w:vAlign w:val="bottom"/>
          </w:tcPr>
          <w:p>
            <w:pPr>
              <w:jc w:val="right"/>
              <w:spacing w:after="0"/>
              <w:rPr>
                <w:sz w:val="20"/>
                <w:szCs w:val="20"/>
                <w:color w:val="auto"/>
              </w:rPr>
            </w:pPr>
            <w:r>
              <w:rPr>
                <w:rFonts w:ascii="Arial" w:cs="Arial" w:eastAsia="Arial" w:hAnsi="Arial"/>
                <w:sz w:val="11"/>
                <w:szCs w:val="11"/>
                <w:color w:val="auto"/>
              </w:rPr>
              <w:t>2/26/2028</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820" w:type="dxa"/>
            <w:vAlign w:val="bottom"/>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9,646</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29,941</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53"/>
              <w:spacing w:after="0"/>
              <w:rPr>
                <w:sz w:val="20"/>
                <w:szCs w:val="20"/>
                <w:color w:val="auto"/>
              </w:rPr>
            </w:pPr>
            <w:r>
              <w:rPr>
                <w:rFonts w:ascii="Arial" w:cs="Arial" w:eastAsia="Arial" w:hAnsi="Arial"/>
                <w:sz w:val="11"/>
                <w:szCs w:val="11"/>
                <w:b w:val="1"/>
                <w:bCs w:val="1"/>
                <w:color w:val="auto"/>
              </w:rPr>
              <w:t>9,917</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b w:val="1"/>
                <w:bCs w:val="1"/>
                <w:color w:val="auto"/>
              </w:rPr>
              <w:t>2,079,694</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8,590</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1,801,409</w:t>
            </w:r>
          </w:p>
        </w:tc>
        <w:tc>
          <w:tcPr>
            <w:tcW w:w="0" w:type="dxa"/>
            <w:vAlign w:val="bottom"/>
          </w:tcPr>
          <w:p>
            <w:pPr>
              <w:spacing w:after="0"/>
              <w:rPr>
                <w:sz w:val="1"/>
                <w:szCs w:val="1"/>
                <w:color w:val="auto"/>
              </w:rPr>
            </w:pPr>
          </w:p>
        </w:tc>
      </w:tr>
      <w:tr>
        <w:trPr>
          <w:trHeight w:val="28"/>
        </w:trPr>
        <w:tc>
          <w:tcPr>
            <w:tcW w:w="1820" w:type="dxa"/>
            <w:vAlign w:val="bottom"/>
            <w:tcBorders>
              <w:bottom w:val="single" w:sz="8" w:color="939598"/>
            </w:tcBorders>
          </w:tcPr>
          <w:p>
            <w:pPr>
              <w:spacing w:after="0"/>
              <w:rPr>
                <w:sz w:val="2"/>
                <w:szCs w:val="2"/>
                <w:color w:val="auto"/>
              </w:rPr>
            </w:pPr>
          </w:p>
        </w:tc>
        <w:tc>
          <w:tcPr>
            <w:tcW w:w="52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sz w:val="1"/>
          <w:szCs w:val="1"/>
          <w:color w:val="auto"/>
        </w:rPr>
        <w:drawing>
          <wp:inline distT="0" distB="0" distL="0" distR="0">
            <wp:extent cx="548640" cy="10287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5" w:right="35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60"/>
        <w:spacing w:after="0"/>
        <w:rPr>
          <w:sz w:val="20"/>
          <w:szCs w:val="20"/>
          <w:color w:val="auto"/>
        </w:rPr>
      </w:pPr>
      <w:r>
        <w:rPr>
          <w:rFonts w:ascii="Arial" w:cs="Arial" w:eastAsia="Arial" w:hAnsi="Arial"/>
          <w:sz w:val="11"/>
          <w:szCs w:val="11"/>
          <w:b w:val="1"/>
          <w:bCs w:val="1"/>
          <w:color w:val="auto"/>
        </w:rPr>
        <w:t>Option Awards</w:t>
      </w:r>
      <w:r>
        <w:rPr>
          <w:rFonts w:ascii="Arial" w:cs="Arial" w:eastAsia="Arial" w:hAnsi="Arial"/>
          <w:sz w:val="14"/>
          <w:szCs w:val="14"/>
          <w:b w:val="1"/>
          <w:bCs w:val="1"/>
          <w:color w:val="auto"/>
          <w:vertAlign w:val="superscript"/>
        </w:rPr>
        <w:t>(1)</w:t>
      </w:r>
    </w:p>
    <w:tbl>
      <w:tblPr>
        <w:tblLayout w:type="fixed"/>
        <w:tblInd w:w="0" w:type="dxa"/>
        <w:tblCellMar>
          <w:top w:w="0" w:type="dxa"/>
          <w:left w:w="0" w:type="dxa"/>
          <w:bottom w:w="0" w:type="dxa"/>
          <w:right w:w="0" w:type="dxa"/>
        </w:tblCellMar>
      </w:tblPr>
      <w:tr>
        <w:trPr>
          <w:trHeight w:val="159"/>
        </w:trPr>
        <w:tc>
          <w:tcPr>
            <w:tcW w:w="1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Borders>
              <w:bottom w:val="single" w:sz="8" w:color="D7282F"/>
            </w:tcBorders>
          </w:tcPr>
          <w:p>
            <w:pPr>
              <w:spacing w:after="0"/>
              <w:rPr>
                <w:sz w:val="13"/>
                <w:szCs w:val="13"/>
                <w:color w:val="auto"/>
              </w:rPr>
            </w:pPr>
          </w:p>
        </w:tc>
        <w:tc>
          <w:tcPr>
            <w:tcW w:w="1000" w:type="dxa"/>
            <w:vAlign w:val="bottom"/>
            <w:tcBorders>
              <w:bottom w:val="single" w:sz="8" w:color="D7282F"/>
            </w:tcBorders>
          </w:tcPr>
          <w:p>
            <w:pPr>
              <w:spacing w:after="0"/>
              <w:rPr>
                <w:sz w:val="13"/>
                <w:szCs w:val="13"/>
                <w:color w:val="auto"/>
              </w:rPr>
            </w:pPr>
          </w:p>
        </w:tc>
        <w:tc>
          <w:tcPr>
            <w:tcW w:w="220" w:type="dxa"/>
            <w:vAlign w:val="bottom"/>
            <w:tcBorders>
              <w:bottom w:val="single" w:sz="8" w:color="D7282F"/>
            </w:tcBorders>
          </w:tcPr>
          <w:p>
            <w:pPr>
              <w:spacing w:after="0"/>
              <w:rPr>
                <w:sz w:val="13"/>
                <w:szCs w:val="13"/>
                <w:color w:val="auto"/>
              </w:rPr>
            </w:pPr>
          </w:p>
        </w:tc>
        <w:tc>
          <w:tcPr>
            <w:tcW w:w="620" w:type="dxa"/>
            <w:vAlign w:val="bottom"/>
            <w:tcBorders>
              <w:bottom w:val="single" w:sz="8" w:color="D7282F"/>
            </w:tcBorders>
          </w:tcPr>
          <w:p>
            <w:pPr>
              <w:spacing w:after="0"/>
              <w:rPr>
                <w:sz w:val="13"/>
                <w:szCs w:val="13"/>
                <w:color w:val="auto"/>
              </w:rPr>
            </w:pPr>
          </w:p>
        </w:tc>
        <w:tc>
          <w:tcPr>
            <w:tcW w:w="680" w:type="dxa"/>
            <w:vAlign w:val="bottom"/>
            <w:tcBorders>
              <w:bottom w:val="single" w:sz="8" w:color="D7282F"/>
            </w:tcBorders>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Borders>
              <w:bottom w:val="single" w:sz="8" w:color="D7282F"/>
            </w:tcBorders>
          </w:tcPr>
          <w:p>
            <w:pPr>
              <w:spacing w:after="0"/>
              <w:rPr>
                <w:sz w:val="13"/>
                <w:szCs w:val="13"/>
                <w:color w:val="auto"/>
              </w:rPr>
            </w:pPr>
          </w:p>
        </w:tc>
        <w:tc>
          <w:tcPr>
            <w:tcW w:w="380" w:type="dxa"/>
            <w:vAlign w:val="bottom"/>
            <w:tcBorders>
              <w:bottom w:val="single" w:sz="8" w:color="D7282F"/>
            </w:tcBorders>
          </w:tcPr>
          <w:p>
            <w:pPr>
              <w:spacing w:after="0"/>
              <w:rPr>
                <w:sz w:val="13"/>
                <w:szCs w:val="13"/>
                <w:color w:val="auto"/>
              </w:rPr>
            </w:pPr>
          </w:p>
        </w:tc>
        <w:tc>
          <w:tcPr>
            <w:tcW w:w="1300" w:type="dxa"/>
            <w:vAlign w:val="bottom"/>
            <w:tcBorders>
              <w:bottom w:val="single" w:sz="8" w:color="D7282F"/>
            </w:tcBorders>
          </w:tcPr>
          <w:p>
            <w:pPr>
              <w:jc w:val="right"/>
              <w:ind w:right="46"/>
              <w:spacing w:after="0"/>
              <w:rPr>
                <w:sz w:val="20"/>
                <w:szCs w:val="20"/>
                <w:color w:val="auto"/>
              </w:rPr>
            </w:pPr>
            <w:r>
              <w:rPr>
                <w:rFonts w:ascii="Arial" w:cs="Arial" w:eastAsia="Arial" w:hAnsi="Arial"/>
                <w:sz w:val="11"/>
                <w:szCs w:val="11"/>
                <w:b w:val="1"/>
                <w:bCs w:val="1"/>
                <w:color w:val="auto"/>
              </w:rPr>
              <w:t>Stock Awards</w:t>
            </w:r>
          </w:p>
        </w:tc>
        <w:tc>
          <w:tcPr>
            <w:tcW w:w="68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300" w:type="dxa"/>
            <w:vAlign w:val="bottom"/>
            <w:tcBorders>
              <w:bottom w:val="single" w:sz="8" w:color="D7282F"/>
            </w:tcBorders>
          </w:tcPr>
          <w:p>
            <w:pPr>
              <w:spacing w:after="0"/>
              <w:rPr>
                <w:sz w:val="13"/>
                <w:szCs w:val="13"/>
                <w:color w:val="auto"/>
              </w:rPr>
            </w:pPr>
          </w:p>
        </w:tc>
        <w:tc>
          <w:tcPr>
            <w:tcW w:w="740" w:type="dxa"/>
            <w:vAlign w:val="bottom"/>
            <w:tcBorders>
              <w:bottom w:val="single" w:sz="8" w:color="D7282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Number of</w:t>
            </w:r>
          </w:p>
        </w:tc>
        <w:tc>
          <w:tcPr>
            <w:tcW w:w="10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412"/>
              <w:spacing w:after="0"/>
              <w:rPr>
                <w:sz w:val="20"/>
                <w:szCs w:val="20"/>
                <w:color w:val="auto"/>
              </w:rPr>
            </w:pPr>
            <w:r>
              <w:rPr>
                <w:rFonts w:ascii="Arial" w:cs="Arial" w:eastAsia="Arial" w:hAnsi="Arial"/>
                <w:sz w:val="11"/>
                <w:szCs w:val="11"/>
                <w:b w:val="1"/>
                <w:bCs w:val="1"/>
                <w:color w:val="auto"/>
              </w:rPr>
              <w:t>Number of</w:t>
            </w: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Number of</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Unearned</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Securities</w:t>
            </w:r>
          </w:p>
        </w:tc>
        <w:tc>
          <w:tcPr>
            <w:tcW w:w="10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right"/>
              <w:ind w:right="412"/>
              <w:spacing w:after="0" w:line="122" w:lineRule="exact"/>
              <w:rPr>
                <w:sz w:val="20"/>
                <w:szCs w:val="20"/>
                <w:color w:val="auto"/>
              </w:rPr>
            </w:pPr>
            <w:r>
              <w:rPr>
                <w:rFonts w:ascii="Arial" w:cs="Arial" w:eastAsia="Arial" w:hAnsi="Arial"/>
                <w:sz w:val="11"/>
                <w:szCs w:val="11"/>
                <w:b w:val="1"/>
                <w:bCs w:val="1"/>
                <w:color w:val="auto"/>
              </w:rPr>
              <w:t>Shares or</w:t>
            </w:r>
          </w:p>
        </w:tc>
        <w:tc>
          <w:tcPr>
            <w:tcW w:w="380" w:type="dxa"/>
            <w:vAlign w:val="bottom"/>
          </w:tcPr>
          <w:p>
            <w:pPr>
              <w:spacing w:after="0"/>
              <w:rPr>
                <w:sz w:val="10"/>
                <w:szCs w:val="10"/>
                <w:color w:val="auto"/>
              </w:rPr>
            </w:pPr>
          </w:p>
        </w:tc>
        <w:tc>
          <w:tcPr>
            <w:tcW w:w="1300" w:type="dxa"/>
            <w:vAlign w:val="bottom"/>
          </w:tcPr>
          <w:p>
            <w:pPr>
              <w:jc w:val="right"/>
              <w:ind w:right="426"/>
              <w:spacing w:after="0" w:line="122" w:lineRule="exact"/>
              <w:rPr>
                <w:sz w:val="20"/>
                <w:szCs w:val="20"/>
                <w:color w:val="auto"/>
              </w:rPr>
            </w:pPr>
            <w:r>
              <w:rPr>
                <w:rFonts w:ascii="Arial" w:cs="Arial" w:eastAsia="Arial" w:hAnsi="Arial"/>
                <w:sz w:val="11"/>
                <w:szCs w:val="11"/>
                <w:b w:val="1"/>
                <w:bCs w:val="1"/>
                <w:color w:val="auto"/>
                <w:w w:val="98"/>
              </w:rPr>
              <w:t>Market Value of</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Shares or</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of Shares or</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jc w:val="right"/>
              <w:ind w:right="106"/>
              <w:spacing w:after="0"/>
              <w:rPr>
                <w:sz w:val="20"/>
                <w:szCs w:val="20"/>
                <w:color w:val="auto"/>
              </w:rPr>
            </w:pPr>
            <w:r>
              <w:rPr>
                <w:rFonts w:ascii="Arial" w:cs="Arial" w:eastAsia="Arial" w:hAnsi="Arial"/>
                <w:sz w:val="11"/>
                <w:szCs w:val="11"/>
                <w:b w:val="1"/>
                <w:bCs w:val="1"/>
                <w:color w:val="auto"/>
              </w:rPr>
              <w:t>Underlying</w:t>
            </w: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Underlying</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right"/>
              <w:ind w:right="412"/>
              <w:spacing w:after="0"/>
              <w:rPr>
                <w:sz w:val="20"/>
                <w:szCs w:val="20"/>
                <w:color w:val="auto"/>
              </w:rPr>
            </w:pPr>
            <w:r>
              <w:rPr>
                <w:rFonts w:ascii="Arial" w:cs="Arial" w:eastAsia="Arial" w:hAnsi="Arial"/>
                <w:sz w:val="11"/>
                <w:szCs w:val="11"/>
                <w:b w:val="1"/>
                <w:bCs w:val="1"/>
                <w:color w:val="auto"/>
              </w:rPr>
              <w:t>Units of</w:t>
            </w:r>
          </w:p>
        </w:tc>
        <w:tc>
          <w:tcPr>
            <w:tcW w:w="380" w:type="dxa"/>
            <w:vAlign w:val="bottom"/>
          </w:tcPr>
          <w:p>
            <w:pPr>
              <w:spacing w:after="0"/>
              <w:rPr>
                <w:sz w:val="11"/>
                <w:szCs w:val="11"/>
                <w:color w:val="auto"/>
              </w:rPr>
            </w:pPr>
          </w:p>
        </w:tc>
        <w:tc>
          <w:tcPr>
            <w:tcW w:w="1300" w:type="dxa"/>
            <w:vAlign w:val="bottom"/>
          </w:tcPr>
          <w:p>
            <w:pPr>
              <w:jc w:val="right"/>
              <w:ind w:right="426"/>
              <w:spacing w:after="0"/>
              <w:rPr>
                <w:sz w:val="20"/>
                <w:szCs w:val="20"/>
                <w:color w:val="auto"/>
              </w:rPr>
            </w:pPr>
            <w:r>
              <w:rPr>
                <w:rFonts w:ascii="Arial" w:cs="Arial" w:eastAsia="Arial" w:hAnsi="Arial"/>
                <w:sz w:val="11"/>
                <w:szCs w:val="11"/>
                <w:b w:val="1"/>
                <w:bCs w:val="1"/>
                <w:color w:val="auto"/>
                <w:w w:val="98"/>
              </w:rPr>
              <w:t>Shares or Units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Units of</w:t>
            </w: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Unexercised</w:t>
            </w:r>
          </w:p>
        </w:tc>
        <w:tc>
          <w:tcPr>
            <w:tcW w:w="10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Unexercised</w:t>
            </w:r>
          </w:p>
        </w:tc>
        <w:tc>
          <w:tcPr>
            <w:tcW w:w="220" w:type="dxa"/>
            <w:vAlign w:val="bottom"/>
          </w:tcPr>
          <w:p>
            <w:pPr>
              <w:spacing w:after="0"/>
              <w:rPr>
                <w:sz w:val="10"/>
                <w:szCs w:val="10"/>
                <w:color w:val="auto"/>
              </w:rPr>
            </w:pPr>
          </w:p>
        </w:tc>
        <w:tc>
          <w:tcPr>
            <w:tcW w:w="6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Option</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Option</w:t>
            </w:r>
          </w:p>
        </w:tc>
        <w:tc>
          <w:tcPr>
            <w:tcW w:w="1280" w:type="dxa"/>
            <w:vAlign w:val="bottom"/>
          </w:tcPr>
          <w:p>
            <w:pPr>
              <w:jc w:val="right"/>
              <w:ind w:right="412"/>
              <w:spacing w:after="0" w:line="122" w:lineRule="exact"/>
              <w:rPr>
                <w:sz w:val="20"/>
                <w:szCs w:val="20"/>
                <w:color w:val="auto"/>
              </w:rPr>
            </w:pPr>
            <w:r>
              <w:rPr>
                <w:rFonts w:ascii="Arial" w:cs="Arial" w:eastAsia="Arial" w:hAnsi="Arial"/>
                <w:sz w:val="11"/>
                <w:szCs w:val="11"/>
                <w:b w:val="1"/>
                <w:bCs w:val="1"/>
                <w:color w:val="auto"/>
              </w:rPr>
              <w:t>Stock that</w:t>
            </w:r>
          </w:p>
        </w:tc>
        <w:tc>
          <w:tcPr>
            <w:tcW w:w="380" w:type="dxa"/>
            <w:vAlign w:val="bottom"/>
          </w:tcPr>
          <w:p>
            <w:pPr>
              <w:spacing w:after="0"/>
              <w:rPr>
                <w:sz w:val="10"/>
                <w:szCs w:val="10"/>
                <w:color w:val="auto"/>
              </w:rPr>
            </w:pPr>
          </w:p>
        </w:tc>
        <w:tc>
          <w:tcPr>
            <w:tcW w:w="1300" w:type="dxa"/>
            <w:vAlign w:val="bottom"/>
          </w:tcPr>
          <w:p>
            <w:pPr>
              <w:jc w:val="right"/>
              <w:ind w:right="426"/>
              <w:spacing w:after="0" w:line="122" w:lineRule="exact"/>
              <w:rPr>
                <w:sz w:val="20"/>
                <w:szCs w:val="20"/>
                <w:color w:val="auto"/>
              </w:rPr>
            </w:pPr>
            <w:r>
              <w:rPr>
                <w:rFonts w:ascii="Arial" w:cs="Arial" w:eastAsia="Arial" w:hAnsi="Arial"/>
                <w:sz w:val="11"/>
                <w:szCs w:val="11"/>
                <w:b w:val="1"/>
                <w:bCs w:val="1"/>
                <w:color w:val="auto"/>
              </w:rPr>
              <w:t>of Stock That</w:t>
            </w:r>
          </w:p>
        </w:tc>
        <w:tc>
          <w:tcPr>
            <w:tcW w:w="6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Stock That</w:t>
            </w:r>
          </w:p>
        </w:tc>
        <w:tc>
          <w:tcPr>
            <w:tcW w:w="0" w:type="dxa"/>
            <w:vAlign w:val="bottom"/>
          </w:tcPr>
          <w:p>
            <w:pPr>
              <w:spacing w:after="0"/>
              <w:rPr>
                <w:sz w:val="1"/>
                <w:szCs w:val="1"/>
                <w:color w:val="auto"/>
              </w:rPr>
            </w:pPr>
          </w:p>
        </w:tc>
      </w:tr>
      <w:tr>
        <w:trPr>
          <w:trHeight w:val="133"/>
        </w:trPr>
        <w:tc>
          <w:tcPr>
            <w:tcW w:w="184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Grant</w:t>
            </w:r>
          </w:p>
        </w:tc>
        <w:tc>
          <w:tcPr>
            <w:tcW w:w="1160" w:type="dxa"/>
            <w:vAlign w:val="bottom"/>
          </w:tcPr>
          <w:p>
            <w:pPr>
              <w:jc w:val="right"/>
              <w:ind w:right="106"/>
              <w:spacing w:after="0"/>
              <w:rPr>
                <w:sz w:val="20"/>
                <w:szCs w:val="20"/>
                <w:color w:val="auto"/>
              </w:rPr>
            </w:pPr>
            <w:r>
              <w:rPr>
                <w:rFonts w:ascii="Arial" w:cs="Arial" w:eastAsia="Arial" w:hAnsi="Arial"/>
                <w:sz w:val="11"/>
                <w:szCs w:val="11"/>
                <w:b w:val="1"/>
                <w:bCs w:val="1"/>
                <w:color w:val="auto"/>
              </w:rPr>
              <w:t>Options</w:t>
            </w:r>
          </w:p>
        </w:tc>
        <w:tc>
          <w:tcPr>
            <w:tcW w:w="1000" w:type="dxa"/>
            <w:vAlign w:val="bottom"/>
          </w:tcPr>
          <w:p>
            <w:pPr>
              <w:jc w:val="right"/>
              <w:ind w:right="46"/>
              <w:spacing w:after="0"/>
              <w:rPr>
                <w:sz w:val="20"/>
                <w:szCs w:val="20"/>
                <w:color w:val="auto"/>
              </w:rPr>
            </w:pPr>
            <w:r>
              <w:rPr>
                <w:rFonts w:ascii="Arial" w:cs="Arial" w:eastAsia="Arial" w:hAnsi="Arial"/>
                <w:sz w:val="11"/>
                <w:szCs w:val="11"/>
                <w:b w:val="1"/>
                <w:bCs w:val="1"/>
                <w:color w:val="auto"/>
              </w:rPr>
              <w:t>Options</w:t>
            </w:r>
          </w:p>
        </w:tc>
        <w:tc>
          <w:tcPr>
            <w:tcW w:w="220" w:type="dxa"/>
            <w:vAlign w:val="bottom"/>
          </w:tcPr>
          <w:p>
            <w:pPr>
              <w:spacing w:after="0"/>
              <w:rPr>
                <w:sz w:val="11"/>
                <w:szCs w:val="1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auto"/>
              </w:rPr>
              <w:t>Exercise</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Expiration</w:t>
            </w:r>
          </w:p>
        </w:tc>
        <w:tc>
          <w:tcPr>
            <w:tcW w:w="1280" w:type="dxa"/>
            <w:vAlign w:val="bottom"/>
          </w:tcPr>
          <w:p>
            <w:pPr>
              <w:jc w:val="right"/>
              <w:ind w:right="412"/>
              <w:spacing w:after="0"/>
              <w:rPr>
                <w:sz w:val="20"/>
                <w:szCs w:val="20"/>
                <w:color w:val="auto"/>
              </w:rPr>
            </w:pPr>
            <w:r>
              <w:rPr>
                <w:rFonts w:ascii="Arial" w:cs="Arial" w:eastAsia="Arial" w:hAnsi="Arial"/>
                <w:sz w:val="11"/>
                <w:szCs w:val="11"/>
                <w:b w:val="1"/>
                <w:bCs w:val="1"/>
                <w:color w:val="auto"/>
              </w:rPr>
              <w:t>Have Not</w:t>
            </w:r>
          </w:p>
        </w:tc>
        <w:tc>
          <w:tcPr>
            <w:tcW w:w="380" w:type="dxa"/>
            <w:vAlign w:val="bottom"/>
          </w:tcPr>
          <w:p>
            <w:pPr>
              <w:spacing w:after="0"/>
              <w:rPr>
                <w:sz w:val="11"/>
                <w:szCs w:val="11"/>
                <w:color w:val="auto"/>
              </w:rPr>
            </w:pPr>
          </w:p>
        </w:tc>
        <w:tc>
          <w:tcPr>
            <w:tcW w:w="1300" w:type="dxa"/>
            <w:vAlign w:val="bottom"/>
          </w:tcPr>
          <w:p>
            <w:pPr>
              <w:jc w:val="right"/>
              <w:ind w:right="426"/>
              <w:spacing w:after="0"/>
              <w:rPr>
                <w:sz w:val="20"/>
                <w:szCs w:val="20"/>
                <w:color w:val="auto"/>
              </w:rPr>
            </w:pPr>
            <w:r>
              <w:rPr>
                <w:rFonts w:ascii="Arial" w:cs="Arial" w:eastAsia="Arial" w:hAnsi="Arial"/>
                <w:sz w:val="11"/>
                <w:szCs w:val="11"/>
                <w:b w:val="1"/>
                <w:bCs w:val="1"/>
                <w:color w:val="auto"/>
              </w:rPr>
              <w:t>Have Not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Have Not</w:t>
            </w:r>
          </w:p>
        </w:tc>
        <w:tc>
          <w:tcPr>
            <w:tcW w:w="0" w:type="dxa"/>
            <w:vAlign w:val="bottom"/>
          </w:tcPr>
          <w:p>
            <w:pPr>
              <w:spacing w:after="0"/>
              <w:rPr>
                <w:sz w:val="1"/>
                <w:szCs w:val="1"/>
                <w:color w:val="auto"/>
              </w:rPr>
            </w:pPr>
          </w:p>
        </w:tc>
      </w:tr>
      <w:tr>
        <w:trPr>
          <w:trHeight w:val="178"/>
        </w:trPr>
        <w:tc>
          <w:tcPr>
            <w:tcW w:w="1840" w:type="dxa"/>
            <w:vAlign w:val="bottom"/>
            <w:tcBorders>
              <w:bottom w:val="single" w:sz="8" w:color="D7282F"/>
            </w:tcBorders>
          </w:tcPr>
          <w:p>
            <w:pPr>
              <w:ind w:left="20"/>
              <w:spacing w:after="0"/>
              <w:rPr>
                <w:sz w:val="20"/>
                <w:szCs w:val="20"/>
                <w:color w:val="auto"/>
              </w:rPr>
            </w:pPr>
            <w:r>
              <w:rPr>
                <w:rFonts w:ascii="Arial" w:cs="Arial" w:eastAsia="Arial" w:hAnsi="Arial"/>
                <w:sz w:val="11"/>
                <w:szCs w:val="11"/>
                <w:b w:val="1"/>
                <w:bCs w:val="1"/>
                <w:color w:val="auto"/>
              </w:rPr>
              <w:t>Name</w:t>
            </w:r>
          </w:p>
        </w:tc>
        <w:tc>
          <w:tcPr>
            <w:tcW w:w="500" w:type="dxa"/>
            <w:vAlign w:val="bottom"/>
            <w:tcBorders>
              <w:bottom w:val="single" w:sz="8" w:color="D7282F"/>
            </w:tcBorders>
          </w:tcPr>
          <w:p>
            <w:pPr>
              <w:spacing w:after="0"/>
              <w:rPr>
                <w:sz w:val="20"/>
                <w:szCs w:val="20"/>
                <w:color w:val="auto"/>
              </w:rPr>
            </w:pPr>
            <w:r>
              <w:rPr>
                <w:rFonts w:ascii="Arial" w:cs="Arial" w:eastAsia="Arial" w:hAnsi="Arial"/>
                <w:sz w:val="11"/>
                <w:szCs w:val="11"/>
                <w:b w:val="1"/>
                <w:bCs w:val="1"/>
                <w:color w:val="auto"/>
              </w:rPr>
              <w:t>Year</w:t>
            </w:r>
          </w:p>
        </w:tc>
        <w:tc>
          <w:tcPr>
            <w:tcW w:w="1160" w:type="dxa"/>
            <w:vAlign w:val="bottom"/>
            <w:tcBorders>
              <w:bottom w:val="single" w:sz="8" w:color="D7282F"/>
            </w:tcBorders>
          </w:tcPr>
          <w:p>
            <w:pPr>
              <w:jc w:val="right"/>
              <w:ind w:right="106"/>
              <w:spacing w:after="0"/>
              <w:rPr>
                <w:sz w:val="20"/>
                <w:szCs w:val="20"/>
                <w:color w:val="auto"/>
              </w:rPr>
            </w:pPr>
            <w:r>
              <w:rPr>
                <w:rFonts w:ascii="Arial" w:cs="Arial" w:eastAsia="Arial" w:hAnsi="Arial"/>
                <w:sz w:val="11"/>
                <w:szCs w:val="11"/>
                <w:b w:val="1"/>
                <w:bCs w:val="1"/>
                <w:color w:val="auto"/>
              </w:rPr>
              <w:t>Exercisable</w:t>
            </w:r>
          </w:p>
        </w:tc>
        <w:tc>
          <w:tcPr>
            <w:tcW w:w="1000" w:type="dxa"/>
            <w:vAlign w:val="bottom"/>
            <w:tcBorders>
              <w:bottom w:val="single" w:sz="8" w:color="D7282F"/>
            </w:tcBorders>
          </w:tcPr>
          <w:p>
            <w:pPr>
              <w:jc w:val="right"/>
              <w:ind w:right="46"/>
              <w:spacing w:after="0"/>
              <w:rPr>
                <w:sz w:val="20"/>
                <w:szCs w:val="20"/>
                <w:color w:val="auto"/>
              </w:rPr>
            </w:pPr>
            <w:r>
              <w:rPr>
                <w:rFonts w:ascii="Arial" w:cs="Arial" w:eastAsia="Arial" w:hAnsi="Arial"/>
                <w:sz w:val="11"/>
                <w:szCs w:val="11"/>
                <w:b w:val="1"/>
                <w:bCs w:val="1"/>
                <w:color w:val="auto"/>
              </w:rPr>
              <w:t>Unexercisable</w:t>
            </w:r>
          </w:p>
        </w:tc>
        <w:tc>
          <w:tcPr>
            <w:tcW w:w="220" w:type="dxa"/>
            <w:vAlign w:val="bottom"/>
            <w:tcBorders>
              <w:bottom w:val="single" w:sz="8" w:color="D7282F"/>
            </w:tcBorders>
          </w:tcPr>
          <w:p>
            <w:pPr>
              <w:spacing w:after="0"/>
              <w:rPr>
                <w:sz w:val="15"/>
                <w:szCs w:val="15"/>
                <w:color w:val="auto"/>
              </w:rPr>
            </w:pPr>
          </w:p>
        </w:tc>
        <w:tc>
          <w:tcPr>
            <w:tcW w:w="620" w:type="dxa"/>
            <w:vAlign w:val="bottom"/>
            <w:tcBorders>
              <w:bottom w:val="single" w:sz="8" w:color="D7282F"/>
            </w:tcBorders>
          </w:tcPr>
          <w:p>
            <w:pPr>
              <w:jc w:val="right"/>
              <w:ind w:right="66"/>
              <w:spacing w:after="0"/>
              <w:rPr>
                <w:sz w:val="20"/>
                <w:szCs w:val="20"/>
                <w:color w:val="auto"/>
              </w:rPr>
            </w:pPr>
            <w:r>
              <w:rPr>
                <w:rFonts w:ascii="Arial" w:cs="Arial" w:eastAsia="Arial" w:hAnsi="Arial"/>
                <w:sz w:val="11"/>
                <w:szCs w:val="11"/>
                <w:b w:val="1"/>
                <w:bCs w:val="1"/>
                <w:color w:val="auto"/>
              </w:rPr>
              <w:t>Price</w:t>
            </w:r>
          </w:p>
        </w:tc>
        <w:tc>
          <w:tcPr>
            <w:tcW w:w="900" w:type="dxa"/>
            <w:vAlign w:val="bottom"/>
            <w:tcBorders>
              <w:bottom w:val="single" w:sz="8" w:color="D7282F"/>
            </w:tcBorders>
            <w:gridSpan w:val="2"/>
          </w:tcPr>
          <w:p>
            <w:pPr>
              <w:jc w:val="right"/>
              <w:ind w:right="220"/>
              <w:spacing w:after="0"/>
              <w:rPr>
                <w:sz w:val="20"/>
                <w:szCs w:val="20"/>
                <w:color w:val="auto"/>
              </w:rPr>
            </w:pPr>
            <w:r>
              <w:rPr>
                <w:rFonts w:ascii="Arial" w:cs="Arial" w:eastAsia="Arial" w:hAnsi="Arial"/>
                <w:sz w:val="11"/>
                <w:szCs w:val="11"/>
                <w:b w:val="1"/>
                <w:bCs w:val="1"/>
                <w:color w:val="auto"/>
              </w:rPr>
              <w:t>Date</w:t>
            </w:r>
          </w:p>
        </w:tc>
        <w:tc>
          <w:tcPr>
            <w:tcW w:w="1280" w:type="dxa"/>
            <w:vAlign w:val="bottom"/>
            <w:tcBorders>
              <w:bottom w:val="single" w:sz="8" w:color="D7282F"/>
            </w:tcBorders>
          </w:tcPr>
          <w:p>
            <w:pPr>
              <w:jc w:val="right"/>
              <w:ind w:right="412"/>
              <w:spacing w:after="0"/>
              <w:rPr>
                <w:sz w:val="20"/>
                <w:szCs w:val="20"/>
                <w:color w:val="auto"/>
              </w:rPr>
            </w:pPr>
            <w:r>
              <w:rPr>
                <w:rFonts w:ascii="Arial" w:cs="Arial" w:eastAsia="Arial" w:hAnsi="Arial"/>
                <w:sz w:val="11"/>
                <w:szCs w:val="11"/>
                <w:b w:val="1"/>
                <w:bCs w:val="1"/>
                <w:color w:val="auto"/>
              </w:rPr>
              <w:t>Vested</w:t>
            </w:r>
          </w:p>
        </w:tc>
        <w:tc>
          <w:tcPr>
            <w:tcW w:w="380" w:type="dxa"/>
            <w:vAlign w:val="bottom"/>
            <w:tcBorders>
              <w:bottom w:val="single" w:sz="8" w:color="D7282F"/>
            </w:tcBorders>
          </w:tcPr>
          <w:p>
            <w:pPr>
              <w:spacing w:after="0"/>
              <w:rPr>
                <w:sz w:val="15"/>
                <w:szCs w:val="15"/>
                <w:color w:val="auto"/>
              </w:rPr>
            </w:pPr>
          </w:p>
        </w:tc>
        <w:tc>
          <w:tcPr>
            <w:tcW w:w="1300" w:type="dxa"/>
            <w:vAlign w:val="bottom"/>
            <w:tcBorders>
              <w:bottom w:val="single" w:sz="8" w:color="D7282F"/>
            </w:tcBorders>
          </w:tcPr>
          <w:p>
            <w:pPr>
              <w:jc w:val="right"/>
              <w:ind w:right="426"/>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7"/>
                <w:szCs w:val="7"/>
                <w:b w:val="1"/>
                <w:bCs w:val="1"/>
                <w:color w:val="auto"/>
              </w:rPr>
              <w:t>(2)</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p>
        </w:tc>
        <w:tc>
          <w:tcPr>
            <w:tcW w:w="300" w:type="dxa"/>
            <w:vAlign w:val="bottom"/>
            <w:tcBorders>
              <w:bottom w:val="single" w:sz="8" w:color="EE2724"/>
            </w:tcBorders>
          </w:tcPr>
          <w:p>
            <w:pPr>
              <w:spacing w:after="0"/>
              <w:rPr>
                <w:sz w:val="15"/>
                <w:szCs w:val="15"/>
                <w:color w:val="auto"/>
              </w:rPr>
            </w:pPr>
          </w:p>
        </w:tc>
        <w:tc>
          <w:tcPr>
            <w:tcW w:w="300" w:type="dxa"/>
            <w:vAlign w:val="bottom"/>
            <w:tcBorders>
              <w:bottom w:val="single" w:sz="8" w:color="D7282F"/>
            </w:tcBorders>
          </w:tcPr>
          <w:p>
            <w:pPr>
              <w:spacing w:after="0"/>
              <w:rPr>
                <w:sz w:val="15"/>
                <w:szCs w:val="15"/>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Vested</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15"/>
        </w:trPr>
        <w:tc>
          <w:tcPr>
            <w:tcW w:w="1840" w:type="dxa"/>
            <w:vAlign w:val="bottom"/>
          </w:tcPr>
          <w:p>
            <w:pPr>
              <w:ind w:left="20"/>
              <w:spacing w:after="0" w:line="115" w:lineRule="exact"/>
              <w:rPr>
                <w:sz w:val="20"/>
                <w:szCs w:val="20"/>
                <w:color w:val="auto"/>
              </w:rPr>
            </w:pPr>
            <w:r>
              <w:rPr>
                <w:rFonts w:ascii="Arial" w:cs="Arial" w:eastAsia="Arial" w:hAnsi="Arial"/>
                <w:sz w:val="11"/>
                <w:szCs w:val="11"/>
                <w:b w:val="1"/>
                <w:bCs w:val="1"/>
                <w:color w:val="auto"/>
              </w:rPr>
              <w:t>Darius Adamczyk</w:t>
            </w:r>
          </w:p>
        </w:tc>
        <w:tc>
          <w:tcPr>
            <w:tcW w:w="500" w:type="dxa"/>
            <w:vAlign w:val="bottom"/>
            <w:vMerge w:val="restart"/>
          </w:tcPr>
          <w:p>
            <w:pPr>
              <w:jc w:val="right"/>
              <w:ind w:right="86"/>
              <w:spacing w:after="0"/>
              <w:rPr>
                <w:sz w:val="20"/>
                <w:szCs w:val="20"/>
                <w:color w:val="auto"/>
              </w:rPr>
            </w:pPr>
            <w:r>
              <w:rPr>
                <w:rFonts w:ascii="Arial" w:cs="Arial" w:eastAsia="Arial" w:hAnsi="Arial"/>
                <w:sz w:val="11"/>
                <w:szCs w:val="11"/>
                <w:color w:val="auto"/>
              </w:rPr>
              <w:t>2023</w:t>
            </w:r>
          </w:p>
        </w:tc>
        <w:tc>
          <w:tcPr>
            <w:tcW w:w="1160" w:type="dxa"/>
            <w:vAlign w:val="bottom"/>
            <w:vMerge w:val="restart"/>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vMerge w:val="restart"/>
          </w:tcPr>
          <w:p>
            <w:pPr>
              <w:jc w:val="right"/>
              <w:ind w:right="86"/>
              <w:spacing w:after="0"/>
              <w:rPr>
                <w:sz w:val="20"/>
                <w:szCs w:val="20"/>
                <w:color w:val="auto"/>
              </w:rPr>
            </w:pPr>
            <w:r>
              <w:rPr>
                <w:rFonts w:ascii="Arial" w:cs="Arial" w:eastAsia="Arial" w:hAnsi="Arial"/>
                <w:sz w:val="11"/>
                <w:szCs w:val="11"/>
                <w:color w:val="auto"/>
              </w:rPr>
              <w:t>112,755</w:t>
            </w:r>
          </w:p>
        </w:tc>
        <w:tc>
          <w:tcPr>
            <w:tcW w:w="2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color w:val="auto"/>
              </w:rPr>
              <w:t>199.60</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2/9/2033</w:t>
            </w:r>
          </w:p>
        </w:tc>
        <w:tc>
          <w:tcPr>
            <w:tcW w:w="220" w:type="dxa"/>
            <w:vAlign w:val="bottom"/>
          </w:tcPr>
          <w:p>
            <w:pPr>
              <w:spacing w:after="0"/>
              <w:rPr>
                <w:sz w:val="10"/>
                <w:szCs w:val="10"/>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(5)</w:t>
            </w:r>
          </w:p>
        </w:tc>
        <w:tc>
          <w:tcPr>
            <w:tcW w:w="3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300" w:type="dxa"/>
            <w:vAlign w:val="bottom"/>
            <w:vMerge w:val="restart"/>
          </w:tcPr>
          <w:p>
            <w:pPr>
              <w:jc w:val="right"/>
              <w:ind w:right="466"/>
              <w:spacing w:after="0"/>
              <w:rPr>
                <w:sz w:val="20"/>
                <w:szCs w:val="20"/>
                <w:color w:val="auto"/>
              </w:rPr>
            </w:pPr>
            <w:r>
              <w:rPr>
                <w:rFonts w:ascii="Arial" w:cs="Arial" w:eastAsia="Arial" w:hAnsi="Arial"/>
                <w:sz w:val="11"/>
                <w:szCs w:val="11"/>
                <w:color w:val="auto"/>
              </w:rPr>
              <w:t>4,830,041</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45,279</w:t>
            </w:r>
          </w:p>
        </w:tc>
        <w:tc>
          <w:tcPr>
            <w:tcW w:w="300" w:type="dxa"/>
            <w:vAlign w:val="bottom"/>
          </w:tcPr>
          <w:p>
            <w:pPr>
              <w:jc w:val="right"/>
              <w:ind w:right="159"/>
              <w:spacing w:after="0"/>
              <w:rPr>
                <w:sz w:val="20"/>
                <w:szCs w:val="20"/>
                <w:color w:val="auto"/>
              </w:rPr>
            </w:pPr>
            <w:r>
              <w:rPr>
                <w:rFonts w:ascii="Arial" w:cs="Arial" w:eastAsia="Arial" w:hAnsi="Arial"/>
                <w:sz w:val="7"/>
                <w:szCs w:val="7"/>
                <w:color w:val="auto"/>
                <w:w w:val="92"/>
              </w:rPr>
              <w:t>(4)</w:t>
            </w:r>
          </w:p>
        </w:tc>
        <w:tc>
          <w:tcPr>
            <w:tcW w:w="30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9,495,459</w:t>
            </w: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23,032</w:t>
            </w:r>
          </w:p>
        </w:tc>
        <w:tc>
          <w:tcPr>
            <w:tcW w:w="3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16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12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1300" w:type="dxa"/>
            <w:vAlign w:val="bottom"/>
            <w:tcBorders>
              <w:bottom w:val="single" w:sz="8" w:color="939598"/>
            </w:tcBorders>
          </w:tcPr>
          <w:p>
            <w:pPr>
              <w:spacing w:after="0" w:line="20" w:lineRule="exact"/>
              <w:rPr>
                <w:sz w:val="1"/>
                <w:szCs w:val="1"/>
                <w:color w:val="auto"/>
              </w:rPr>
            </w:pPr>
          </w:p>
        </w:tc>
        <w:tc>
          <w:tcPr>
            <w:tcW w:w="68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30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(7)</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jc w:val="right"/>
              <w:ind w:right="159"/>
              <w:spacing w:after="0"/>
              <w:rPr>
                <w:sz w:val="20"/>
                <w:szCs w:val="20"/>
                <w:color w:val="auto"/>
              </w:rPr>
            </w:pPr>
            <w:r>
              <w:rPr>
                <w:rFonts w:ascii="Arial" w:cs="Arial" w:eastAsia="Arial" w:hAnsi="Arial"/>
                <w:sz w:val="7"/>
                <w:szCs w:val="7"/>
                <w:color w:val="auto"/>
                <w:w w:val="92"/>
              </w:rPr>
              <w:t>(8)</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2022</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45,375</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136,125</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189.72</w:t>
            </w:r>
          </w:p>
        </w:tc>
        <w:tc>
          <w:tcPr>
            <w:tcW w:w="680" w:type="dxa"/>
            <w:vAlign w:val="bottom"/>
          </w:tcPr>
          <w:p>
            <w:pPr>
              <w:jc w:val="right"/>
              <w:spacing w:after="0"/>
              <w:rPr>
                <w:sz w:val="20"/>
                <w:szCs w:val="20"/>
                <w:color w:val="auto"/>
              </w:rPr>
            </w:pPr>
            <w:r>
              <w:rPr>
                <w:rFonts w:ascii="Arial" w:cs="Arial" w:eastAsia="Arial" w:hAnsi="Arial"/>
                <w:sz w:val="11"/>
                <w:szCs w:val="11"/>
                <w:color w:val="auto"/>
              </w:rPr>
              <w:t>2/10/2032</w:t>
            </w:r>
          </w:p>
        </w:tc>
        <w:tc>
          <w:tcPr>
            <w:tcW w:w="220" w:type="dxa"/>
            <w:vAlign w:val="bottom"/>
          </w:tcPr>
          <w:p>
            <w:pPr>
              <w:spacing w:after="0"/>
              <w:rPr>
                <w:sz w:val="12"/>
                <w:szCs w:val="12"/>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13,135</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2,754,541</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43,888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9,203,752</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(9)</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81,750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81,750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202.72</w:t>
            </w:r>
          </w:p>
        </w:tc>
        <w:tc>
          <w:tcPr>
            <w:tcW w:w="680" w:type="dxa"/>
            <w:vAlign w:val="bottom"/>
          </w:tcPr>
          <w:p>
            <w:pPr>
              <w:jc w:val="right"/>
              <w:spacing w:after="0"/>
              <w:rPr>
                <w:sz w:val="20"/>
                <w:szCs w:val="20"/>
                <w:color w:val="auto"/>
              </w:rPr>
            </w:pPr>
            <w:r>
              <w:rPr>
                <w:rFonts w:ascii="Arial" w:cs="Arial" w:eastAsia="Arial" w:hAnsi="Arial"/>
                <w:sz w:val="11"/>
                <w:szCs w:val="11"/>
                <w:color w:val="auto"/>
              </w:rPr>
              <w:t>2/11/2031</w:t>
            </w:r>
          </w:p>
        </w:tc>
        <w:tc>
          <w:tcPr>
            <w:tcW w:w="220" w:type="dxa"/>
            <w:vAlign w:val="bottom"/>
          </w:tcPr>
          <w:p>
            <w:pPr>
              <w:spacing w:after="0"/>
              <w:rPr>
                <w:sz w:val="12"/>
                <w:szCs w:val="12"/>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7,816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1,639,093</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(10)</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2021</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0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54,052</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11,335,245</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(11)</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2020</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171,600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57,200</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180.92</w:t>
            </w:r>
          </w:p>
        </w:tc>
        <w:tc>
          <w:tcPr>
            <w:tcW w:w="680" w:type="dxa"/>
            <w:vAlign w:val="bottom"/>
          </w:tcPr>
          <w:p>
            <w:pPr>
              <w:jc w:val="right"/>
              <w:spacing w:after="0"/>
              <w:rPr>
                <w:sz w:val="20"/>
                <w:szCs w:val="20"/>
                <w:color w:val="auto"/>
              </w:rPr>
            </w:pPr>
            <w:r>
              <w:rPr>
                <w:rFonts w:ascii="Arial" w:cs="Arial" w:eastAsia="Arial" w:hAnsi="Arial"/>
                <w:sz w:val="11"/>
                <w:szCs w:val="11"/>
                <w:color w:val="auto"/>
              </w:rPr>
              <w:t>2/13/2030</w:t>
            </w:r>
          </w:p>
        </w:tc>
        <w:tc>
          <w:tcPr>
            <w:tcW w:w="220" w:type="dxa"/>
            <w:vAlign w:val="bottom"/>
          </w:tcPr>
          <w:p>
            <w:pPr>
              <w:spacing w:after="0"/>
              <w:rPr>
                <w:sz w:val="12"/>
                <w:szCs w:val="12"/>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8,416</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1,764,919</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(12)</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2019</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215,300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154.22</w:t>
            </w:r>
          </w:p>
        </w:tc>
        <w:tc>
          <w:tcPr>
            <w:tcW w:w="680" w:type="dxa"/>
            <w:vAlign w:val="bottom"/>
          </w:tcPr>
          <w:p>
            <w:pPr>
              <w:jc w:val="right"/>
              <w:spacing w:after="0"/>
              <w:rPr>
                <w:sz w:val="20"/>
                <w:szCs w:val="20"/>
                <w:color w:val="auto"/>
              </w:rPr>
            </w:pPr>
            <w:r>
              <w:rPr>
                <w:rFonts w:ascii="Arial" w:cs="Arial" w:eastAsia="Arial" w:hAnsi="Arial"/>
                <w:sz w:val="11"/>
                <w:szCs w:val="11"/>
                <w:color w:val="auto"/>
              </w:rPr>
              <w:t>2/25/2029</w:t>
            </w:r>
          </w:p>
        </w:tc>
        <w:tc>
          <w:tcPr>
            <w:tcW w:w="220" w:type="dxa"/>
            <w:vAlign w:val="bottom"/>
          </w:tcPr>
          <w:p>
            <w:pPr>
              <w:spacing w:after="0"/>
              <w:rPr>
                <w:sz w:val="12"/>
                <w:szCs w:val="12"/>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4,782</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1,002,833</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ind w:left="840"/>
              <w:spacing w:after="0"/>
              <w:rPr>
                <w:sz w:val="20"/>
                <w:szCs w:val="20"/>
                <w:color w:val="auto"/>
              </w:rPr>
            </w:pPr>
            <w:r>
              <w:rPr>
                <w:rFonts w:ascii="Arial" w:cs="Arial" w:eastAsia="Arial" w:hAnsi="Arial"/>
                <w:sz w:val="7"/>
                <w:szCs w:val="7"/>
                <w:color w:val="auto"/>
              </w:rPr>
              <w:t>(13)</w:t>
            </w: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2018</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140,685</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148.79</w:t>
            </w:r>
          </w:p>
        </w:tc>
        <w:tc>
          <w:tcPr>
            <w:tcW w:w="680" w:type="dxa"/>
            <w:vAlign w:val="bottom"/>
          </w:tcPr>
          <w:p>
            <w:pPr>
              <w:jc w:val="right"/>
              <w:spacing w:after="0"/>
              <w:rPr>
                <w:sz w:val="20"/>
                <w:szCs w:val="20"/>
                <w:color w:val="auto"/>
              </w:rPr>
            </w:pPr>
            <w:r>
              <w:rPr>
                <w:rFonts w:ascii="Arial" w:cs="Arial" w:eastAsia="Arial" w:hAnsi="Arial"/>
                <w:sz w:val="11"/>
                <w:szCs w:val="11"/>
                <w:color w:val="auto"/>
              </w:rPr>
              <w:t>2/26/2028</w:t>
            </w:r>
          </w:p>
        </w:tc>
        <w:tc>
          <w:tcPr>
            <w:tcW w:w="220" w:type="dxa"/>
            <w:vAlign w:val="bottom"/>
          </w:tcPr>
          <w:p>
            <w:pPr>
              <w:spacing w:after="0"/>
              <w:rPr>
                <w:sz w:val="12"/>
                <w:szCs w:val="12"/>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8,168</w:t>
            </w:r>
          </w:p>
        </w:tc>
        <w:tc>
          <w:tcPr>
            <w:tcW w:w="380" w:type="dxa"/>
            <w:vAlign w:val="bottom"/>
          </w:tcPr>
          <w:p>
            <w:pPr>
              <w:spacing w:after="0"/>
              <w:rPr>
                <w:sz w:val="12"/>
                <w:szCs w:val="12"/>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1,712,911</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2017</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225,598</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119.69</w:t>
            </w:r>
          </w:p>
        </w:tc>
        <w:tc>
          <w:tcPr>
            <w:tcW w:w="680" w:type="dxa"/>
            <w:vAlign w:val="bottom"/>
          </w:tcPr>
          <w:p>
            <w:pPr>
              <w:jc w:val="right"/>
              <w:spacing w:after="0"/>
              <w:rPr>
                <w:sz w:val="20"/>
                <w:szCs w:val="20"/>
                <w:color w:val="auto"/>
              </w:rPr>
            </w:pPr>
            <w:r>
              <w:rPr>
                <w:rFonts w:ascii="Arial" w:cs="Arial" w:eastAsia="Arial" w:hAnsi="Arial"/>
                <w:sz w:val="11"/>
                <w:szCs w:val="11"/>
                <w:color w:val="auto"/>
              </w:rPr>
              <w:t>2/27/2027</w:t>
            </w:r>
          </w:p>
        </w:tc>
        <w:tc>
          <w:tcPr>
            <w:tcW w:w="22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2016</w:t>
            </w:r>
          </w:p>
        </w:tc>
        <w:tc>
          <w:tcPr>
            <w:tcW w:w="1160" w:type="dxa"/>
            <w:vAlign w:val="bottom"/>
          </w:tcPr>
          <w:p>
            <w:pPr>
              <w:jc w:val="right"/>
              <w:ind w:right="146"/>
              <w:spacing w:after="0"/>
              <w:rPr>
                <w:sz w:val="20"/>
                <w:szCs w:val="20"/>
                <w:color w:val="auto"/>
              </w:rPr>
            </w:pPr>
            <w:r>
              <w:rPr>
                <w:rFonts w:ascii="Arial" w:cs="Arial" w:eastAsia="Arial" w:hAnsi="Arial"/>
                <w:sz w:val="11"/>
                <w:szCs w:val="11"/>
                <w:color w:val="auto"/>
              </w:rPr>
              <w:t>105,040</w:t>
            </w:r>
          </w:p>
        </w:tc>
        <w:tc>
          <w:tcPr>
            <w:tcW w:w="10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620" w:type="dxa"/>
            <w:vAlign w:val="bottom"/>
          </w:tcPr>
          <w:p>
            <w:pPr>
              <w:jc w:val="right"/>
              <w:ind w:right="106"/>
              <w:spacing w:after="0"/>
              <w:rPr>
                <w:sz w:val="20"/>
                <w:szCs w:val="20"/>
                <w:color w:val="auto"/>
              </w:rPr>
            </w:pPr>
            <w:r>
              <w:rPr>
                <w:rFonts w:ascii="Arial" w:cs="Arial" w:eastAsia="Arial" w:hAnsi="Arial"/>
                <w:sz w:val="11"/>
                <w:szCs w:val="11"/>
                <w:color w:val="auto"/>
              </w:rPr>
              <w:t>107.42</w:t>
            </w:r>
          </w:p>
        </w:tc>
        <w:tc>
          <w:tcPr>
            <w:tcW w:w="680" w:type="dxa"/>
            <w:vAlign w:val="bottom"/>
          </w:tcPr>
          <w:p>
            <w:pPr>
              <w:jc w:val="right"/>
              <w:spacing w:after="0"/>
              <w:rPr>
                <w:sz w:val="20"/>
                <w:szCs w:val="20"/>
                <w:color w:val="auto"/>
              </w:rPr>
            </w:pPr>
            <w:r>
              <w:rPr>
                <w:rFonts w:ascii="Arial" w:cs="Arial" w:eastAsia="Arial" w:hAnsi="Arial"/>
                <w:sz w:val="11"/>
                <w:szCs w:val="11"/>
                <w:color w:val="auto"/>
              </w:rPr>
              <w:t>4/3/2026</w:t>
            </w:r>
          </w:p>
        </w:tc>
        <w:tc>
          <w:tcPr>
            <w:tcW w:w="22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500" w:type="dxa"/>
            <w:vAlign w:val="bottom"/>
            <w:tcBorders>
              <w:bottom w:val="single" w:sz="8" w:color="939598"/>
            </w:tcBorders>
          </w:tcPr>
          <w:p>
            <w:pPr>
              <w:spacing w:after="0"/>
              <w:rPr>
                <w:sz w:val="2"/>
                <w:szCs w:val="2"/>
                <w:color w:val="auto"/>
              </w:rPr>
            </w:pPr>
          </w:p>
        </w:tc>
        <w:tc>
          <w:tcPr>
            <w:tcW w:w="116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62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1280" w:type="dxa"/>
            <w:vAlign w:val="bottom"/>
            <w:tcBorders>
              <w:bottom w:val="single" w:sz="8" w:color="939598"/>
            </w:tcBorders>
          </w:tcPr>
          <w:p>
            <w:pPr>
              <w:spacing w:after="0"/>
              <w:rPr>
                <w:sz w:val="2"/>
                <w:szCs w:val="2"/>
                <w:color w:val="auto"/>
              </w:rPr>
            </w:pPr>
          </w:p>
        </w:tc>
        <w:tc>
          <w:tcPr>
            <w:tcW w:w="380" w:type="dxa"/>
            <w:vAlign w:val="bottom"/>
            <w:tcBorders>
              <w:bottom w:val="single" w:sz="8" w:color="939598"/>
            </w:tcBorders>
          </w:tcPr>
          <w:p>
            <w:pPr>
              <w:spacing w:after="0"/>
              <w:rPr>
                <w:sz w:val="2"/>
                <w:szCs w:val="2"/>
                <w:color w:val="auto"/>
              </w:rPr>
            </w:pPr>
          </w:p>
        </w:tc>
        <w:tc>
          <w:tcPr>
            <w:tcW w:w="1300" w:type="dxa"/>
            <w:vAlign w:val="bottom"/>
            <w:tcBorders>
              <w:bottom w:val="single" w:sz="8" w:color="939598"/>
            </w:tcBorders>
          </w:tcPr>
          <w:p>
            <w:pPr>
              <w:spacing w:after="0"/>
              <w:rPr>
                <w:sz w:val="2"/>
                <w:szCs w:val="2"/>
                <w:color w:val="auto"/>
              </w:rPr>
            </w:pPr>
          </w:p>
        </w:tc>
        <w:tc>
          <w:tcPr>
            <w:tcW w:w="68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74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jc w:val="right"/>
              <w:ind w:right="146"/>
              <w:spacing w:after="0"/>
              <w:rPr>
                <w:sz w:val="20"/>
                <w:szCs w:val="20"/>
                <w:color w:val="auto"/>
              </w:rPr>
            </w:pPr>
            <w:r>
              <w:rPr>
                <w:rFonts w:ascii="Arial" w:cs="Arial" w:eastAsia="Arial" w:hAnsi="Arial"/>
                <w:sz w:val="11"/>
                <w:szCs w:val="11"/>
                <w:b w:val="1"/>
                <w:bCs w:val="1"/>
                <w:color w:val="auto"/>
              </w:rPr>
              <w:t>985,348</w:t>
            </w:r>
          </w:p>
        </w:tc>
        <w:tc>
          <w:tcPr>
            <w:tcW w:w="1000" w:type="dxa"/>
            <w:vAlign w:val="bottom"/>
          </w:tcPr>
          <w:p>
            <w:pPr>
              <w:jc w:val="right"/>
              <w:ind w:right="86"/>
              <w:spacing w:after="0"/>
              <w:rPr>
                <w:sz w:val="20"/>
                <w:szCs w:val="20"/>
                <w:color w:val="auto"/>
              </w:rPr>
            </w:pPr>
            <w:r>
              <w:rPr>
                <w:rFonts w:ascii="Arial" w:cs="Arial" w:eastAsia="Arial" w:hAnsi="Arial"/>
                <w:sz w:val="11"/>
                <w:szCs w:val="11"/>
                <w:b w:val="1"/>
                <w:bCs w:val="1"/>
                <w:color w:val="auto"/>
              </w:rPr>
              <w:t>387,830</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1"/>
                <w:szCs w:val="11"/>
                <w:b w:val="1"/>
                <w:bCs w:val="1"/>
                <w:color w:val="auto"/>
              </w:rPr>
              <w:t>119,401</w:t>
            </w:r>
          </w:p>
        </w:tc>
        <w:tc>
          <w:tcPr>
            <w:tcW w:w="380" w:type="dxa"/>
            <w:vAlign w:val="bottom"/>
          </w:tcPr>
          <w:p>
            <w:pPr>
              <w:spacing w:after="0"/>
              <w:rPr>
                <w:sz w:val="21"/>
                <w:szCs w:val="21"/>
                <w:color w:val="auto"/>
              </w:rPr>
            </w:pPr>
          </w:p>
        </w:tc>
        <w:tc>
          <w:tcPr>
            <w:tcW w:w="1300" w:type="dxa"/>
            <w:vAlign w:val="bottom"/>
          </w:tcPr>
          <w:p>
            <w:pPr>
              <w:jc w:val="right"/>
              <w:ind w:right="466"/>
              <w:spacing w:after="0"/>
              <w:rPr>
                <w:sz w:val="20"/>
                <w:szCs w:val="20"/>
                <w:color w:val="auto"/>
              </w:rPr>
            </w:pPr>
            <w:r>
              <w:rPr>
                <w:rFonts w:ascii="Arial" w:cs="Arial" w:eastAsia="Arial" w:hAnsi="Arial"/>
                <w:sz w:val="11"/>
                <w:szCs w:val="11"/>
                <w:b w:val="1"/>
                <w:bCs w:val="1"/>
                <w:color w:val="auto"/>
              </w:rPr>
              <w:t>25,039,584</w:t>
            </w:r>
          </w:p>
        </w:tc>
        <w:tc>
          <w:tcPr>
            <w:tcW w:w="680" w:type="dxa"/>
            <w:vAlign w:val="bottom"/>
          </w:tcPr>
          <w:p>
            <w:pPr>
              <w:jc w:val="right"/>
              <w:ind w:right="6"/>
              <w:spacing w:after="0"/>
              <w:rPr>
                <w:sz w:val="20"/>
                <w:szCs w:val="20"/>
                <w:color w:val="auto"/>
              </w:rPr>
            </w:pPr>
            <w:r>
              <w:rPr>
                <w:rFonts w:ascii="Arial" w:cs="Arial" w:eastAsia="Arial" w:hAnsi="Arial"/>
                <w:sz w:val="11"/>
                <w:szCs w:val="11"/>
                <w:b w:val="1"/>
                <w:bCs w:val="1"/>
                <w:color w:val="auto"/>
              </w:rPr>
              <w:t>89,167</w:t>
            </w: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b w:val="1"/>
                <w:bCs w:val="1"/>
                <w:color w:val="auto"/>
              </w:rPr>
              <w:t>18,699,212</w:t>
            </w:r>
          </w:p>
        </w:tc>
        <w:tc>
          <w:tcPr>
            <w:tcW w:w="0" w:type="dxa"/>
            <w:vAlign w:val="bottom"/>
          </w:tcPr>
          <w:p>
            <w:pPr>
              <w:spacing w:after="0"/>
              <w:rPr>
                <w:sz w:val="1"/>
                <w:szCs w:val="1"/>
                <w:color w:val="auto"/>
              </w:rPr>
            </w:pPr>
          </w:p>
        </w:tc>
      </w:tr>
      <w:tr>
        <w:trPr>
          <w:trHeight w:val="28"/>
        </w:trPr>
        <w:tc>
          <w:tcPr>
            <w:tcW w:w="1840" w:type="dxa"/>
            <w:vAlign w:val="bottom"/>
            <w:tcBorders>
              <w:bottom w:val="single" w:sz="8" w:color="D7282F"/>
            </w:tcBorders>
          </w:tcPr>
          <w:p>
            <w:pPr>
              <w:spacing w:after="0"/>
              <w:rPr>
                <w:sz w:val="2"/>
                <w:szCs w:val="2"/>
                <w:color w:val="auto"/>
              </w:rPr>
            </w:pPr>
          </w:p>
        </w:tc>
        <w:tc>
          <w:tcPr>
            <w:tcW w:w="500" w:type="dxa"/>
            <w:vAlign w:val="bottom"/>
            <w:tcBorders>
              <w:bottom w:val="single" w:sz="8" w:color="D7282F"/>
            </w:tcBorders>
          </w:tcPr>
          <w:p>
            <w:pPr>
              <w:spacing w:after="0"/>
              <w:rPr>
                <w:sz w:val="2"/>
                <w:szCs w:val="2"/>
                <w:color w:val="auto"/>
              </w:rPr>
            </w:pPr>
          </w:p>
        </w:tc>
        <w:tc>
          <w:tcPr>
            <w:tcW w:w="1160" w:type="dxa"/>
            <w:vAlign w:val="bottom"/>
            <w:tcBorders>
              <w:bottom w:val="single" w:sz="8" w:color="D7282F"/>
            </w:tcBorders>
          </w:tcPr>
          <w:p>
            <w:pPr>
              <w:spacing w:after="0"/>
              <w:rPr>
                <w:sz w:val="2"/>
                <w:szCs w:val="2"/>
                <w:color w:val="auto"/>
              </w:rPr>
            </w:pPr>
          </w:p>
        </w:tc>
        <w:tc>
          <w:tcPr>
            <w:tcW w:w="100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620" w:type="dxa"/>
            <w:vAlign w:val="bottom"/>
            <w:tcBorders>
              <w:bottom w:val="single" w:sz="8" w:color="D7282F"/>
            </w:tcBorders>
          </w:tcPr>
          <w:p>
            <w:pPr>
              <w:spacing w:after="0"/>
              <w:rPr>
                <w:sz w:val="2"/>
                <w:szCs w:val="2"/>
                <w:color w:val="auto"/>
              </w:rPr>
            </w:pPr>
          </w:p>
        </w:tc>
        <w:tc>
          <w:tcPr>
            <w:tcW w:w="68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1280" w:type="dxa"/>
            <w:vAlign w:val="bottom"/>
            <w:tcBorders>
              <w:bottom w:val="single" w:sz="8" w:color="D7282F"/>
            </w:tcBorders>
          </w:tcPr>
          <w:p>
            <w:pPr>
              <w:spacing w:after="0"/>
              <w:rPr>
                <w:sz w:val="2"/>
                <w:szCs w:val="2"/>
                <w:color w:val="auto"/>
              </w:rPr>
            </w:pPr>
          </w:p>
        </w:tc>
        <w:tc>
          <w:tcPr>
            <w:tcW w:w="380" w:type="dxa"/>
            <w:vAlign w:val="bottom"/>
            <w:tcBorders>
              <w:bottom w:val="single" w:sz="8" w:color="D7282F"/>
            </w:tcBorders>
          </w:tcPr>
          <w:p>
            <w:pPr>
              <w:spacing w:after="0"/>
              <w:rPr>
                <w:sz w:val="2"/>
                <w:szCs w:val="2"/>
                <w:color w:val="auto"/>
              </w:rPr>
            </w:pPr>
          </w:p>
        </w:tc>
        <w:tc>
          <w:tcPr>
            <w:tcW w:w="1300" w:type="dxa"/>
            <w:vAlign w:val="bottom"/>
            <w:tcBorders>
              <w:bottom w:val="single" w:sz="8" w:color="D7282F"/>
            </w:tcBorders>
          </w:tcPr>
          <w:p>
            <w:pPr>
              <w:spacing w:after="0"/>
              <w:rPr>
                <w:sz w:val="2"/>
                <w:szCs w:val="2"/>
                <w:color w:val="auto"/>
              </w:rPr>
            </w:pPr>
          </w:p>
        </w:tc>
        <w:tc>
          <w:tcPr>
            <w:tcW w:w="680" w:type="dxa"/>
            <w:vAlign w:val="bottom"/>
            <w:tcBorders>
              <w:bottom w:val="single" w:sz="8" w:color="D7282F"/>
            </w:tcBorders>
          </w:tcPr>
          <w:p>
            <w:pPr>
              <w:spacing w:after="0"/>
              <w:rPr>
                <w:sz w:val="2"/>
                <w:szCs w:val="2"/>
                <w:color w:val="auto"/>
              </w:rPr>
            </w:pPr>
          </w:p>
        </w:tc>
        <w:tc>
          <w:tcPr>
            <w:tcW w:w="300" w:type="dxa"/>
            <w:vAlign w:val="bottom"/>
            <w:tcBorders>
              <w:bottom w:val="single" w:sz="8" w:color="D7282F"/>
            </w:tcBorders>
          </w:tcPr>
          <w:p>
            <w:pPr>
              <w:spacing w:after="0"/>
              <w:rPr>
                <w:sz w:val="2"/>
                <w:szCs w:val="2"/>
                <w:color w:val="auto"/>
              </w:rPr>
            </w:pPr>
          </w:p>
        </w:tc>
        <w:tc>
          <w:tcPr>
            <w:tcW w:w="30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179"/>
        </w:numPr>
        <w:rPr>
          <w:rFonts w:ascii="Arial" w:cs="Arial" w:eastAsia="Arial" w:hAnsi="Arial"/>
          <w:sz w:val="16"/>
          <w:szCs w:val="16"/>
          <w:color w:val="auto"/>
          <w:vertAlign w:val="superscript"/>
        </w:rPr>
      </w:pPr>
      <w:r>
        <w:rPr>
          <w:rFonts w:ascii="Arial" w:cs="Arial" w:eastAsia="Arial" w:hAnsi="Arial"/>
          <w:sz w:val="13"/>
          <w:szCs w:val="13"/>
          <w:color w:val="auto"/>
        </w:rPr>
        <w:t>Stock option grants vest in four installments at the rate of 25% per year beginning on the first anniversary of the date of grant.</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79"/>
        </w:numPr>
        <w:rPr>
          <w:rFonts w:ascii="Arial" w:cs="Arial" w:eastAsia="Arial" w:hAnsi="Arial"/>
          <w:sz w:val="16"/>
          <w:szCs w:val="16"/>
          <w:color w:val="auto"/>
          <w:vertAlign w:val="superscript"/>
        </w:rPr>
      </w:pPr>
      <w:r>
        <w:rPr>
          <w:rFonts w:ascii="Arial" w:cs="Arial" w:eastAsia="Arial" w:hAnsi="Arial"/>
          <w:sz w:val="13"/>
          <w:szCs w:val="13"/>
          <w:color w:val="auto"/>
        </w:rPr>
        <w:t>Market value determined using the closing market price of $209.71 per share of common stock on December 29, 2023.</w:t>
      </w:r>
    </w:p>
    <w:p>
      <w:pPr>
        <w:spacing w:after="0" w:line="50" w:lineRule="exact"/>
        <w:rPr>
          <w:rFonts w:ascii="Arial" w:cs="Arial" w:eastAsia="Arial" w:hAnsi="Arial"/>
          <w:sz w:val="16"/>
          <w:szCs w:val="16"/>
          <w:color w:val="auto"/>
          <w:vertAlign w:val="superscript"/>
        </w:rPr>
      </w:pPr>
    </w:p>
    <w:p>
      <w:pPr>
        <w:ind w:left="200" w:right="20" w:hanging="192"/>
        <w:spacing w:after="0" w:line="226" w:lineRule="auto"/>
        <w:tabs>
          <w:tab w:leader="none" w:pos="200" w:val="left"/>
        </w:tabs>
        <w:numPr>
          <w:ilvl w:val="0"/>
          <w:numId w:val="179"/>
        </w:numPr>
        <w:rPr>
          <w:rFonts w:ascii="Arial" w:cs="Arial" w:eastAsia="Arial" w:hAnsi="Arial"/>
          <w:sz w:val="16"/>
          <w:szCs w:val="16"/>
          <w:color w:val="auto"/>
          <w:vertAlign w:val="superscript"/>
        </w:rPr>
      </w:pPr>
      <w:r>
        <w:rPr>
          <w:rFonts w:ascii="Arial" w:cs="Arial" w:eastAsia="Arial" w:hAnsi="Arial"/>
          <w:sz w:val="13"/>
          <w:szCs w:val="13"/>
          <w:color w:val="auto"/>
        </w:rPr>
        <w:t>2023 RSU grant will vest 33% on each of June 1, 2025 and June 1, 2026, with the remaining RSUs vesting on June 1, 2027. The number of RSUs reflected on the table includes dividend equivalents applied through December 31, 2023, which were reinvested as additional unvested RSUs that will vest based on the same vesting schedule as the RSUs to which they relate.</w:t>
      </w:r>
    </w:p>
    <w:p>
      <w:pPr>
        <w:spacing w:after="0" w:line="63" w:lineRule="exact"/>
        <w:rPr>
          <w:rFonts w:ascii="Arial" w:cs="Arial" w:eastAsia="Arial" w:hAnsi="Arial"/>
          <w:sz w:val="16"/>
          <w:szCs w:val="16"/>
          <w:color w:val="auto"/>
          <w:vertAlign w:val="superscript"/>
        </w:rPr>
      </w:pPr>
    </w:p>
    <w:p>
      <w:pPr>
        <w:jc w:val="both"/>
        <w:ind w:left="200" w:right="160" w:hanging="192"/>
        <w:spacing w:after="0" w:line="230" w:lineRule="auto"/>
        <w:tabs>
          <w:tab w:leader="none" w:pos="200" w:val="left"/>
        </w:tabs>
        <w:numPr>
          <w:ilvl w:val="0"/>
          <w:numId w:val="179"/>
        </w:numPr>
        <w:rPr>
          <w:rFonts w:ascii="Arial" w:cs="Arial" w:eastAsia="Arial" w:hAnsi="Arial"/>
          <w:sz w:val="16"/>
          <w:szCs w:val="16"/>
          <w:color w:val="auto"/>
          <w:vertAlign w:val="superscript"/>
        </w:rPr>
      </w:pPr>
      <w:r>
        <w:rPr>
          <w:rFonts w:ascii="Arial" w:cs="Arial" w:eastAsia="Arial" w:hAnsi="Arial"/>
          <w:sz w:val="13"/>
          <w:szCs w:val="13"/>
          <w:color w:val="auto"/>
        </w:rPr>
        <w:t>Represents PSUs issued under the 2023-2025 Performance Plan. Actual payout will be based on final performance against plan metrics for the full three-year cycle. The number of PSUs reflected on the table includes dividend equivalents applied on the target number of shares through December 31, 2023, which were reinvested as additional unvested PSUs that will vest on the same basis as the underlying PSUs to which they relate.</w:t>
      </w:r>
    </w:p>
    <w:p>
      <w:pPr>
        <w:spacing w:after="0" w:line="63" w:lineRule="exact"/>
        <w:rPr>
          <w:rFonts w:ascii="Arial" w:cs="Arial" w:eastAsia="Arial" w:hAnsi="Arial"/>
          <w:sz w:val="16"/>
          <w:szCs w:val="16"/>
          <w:color w:val="auto"/>
          <w:vertAlign w:val="superscript"/>
        </w:rPr>
      </w:pPr>
    </w:p>
    <w:p>
      <w:pPr>
        <w:jc w:val="both"/>
        <w:ind w:left="200" w:right="180" w:hanging="192"/>
        <w:spacing w:after="0" w:line="246" w:lineRule="auto"/>
        <w:tabs>
          <w:tab w:leader="none" w:pos="200"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2023 RSU grants will vest 33% on each of February 10, 2025 and February 10, 2026, with the remaining RSUs vesting on February 10, 2027. The number of RSUs reflected on the table includes dividend equivalents applied through December 31, 2023, which were reinvested as additional unvested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jc w:val="both"/>
        <w:ind w:left="200" w:right="660" w:hanging="192"/>
        <w:spacing w:after="0" w:line="270" w:lineRule="auto"/>
        <w:tabs>
          <w:tab w:leader="none" w:pos="200"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2022 RSU grant will vest 33% on each of July 28, 2024 and July 28 2026, with the remaining RSUs vesting on July 28, 2028. The number of RSUs reflected on the table includes dividend equivalents applied through December 31, 2023, which were reinvested as additional unvested RSUs that will vest based on the same vesting schedule as the RSUs to which they relate.</w:t>
      </w:r>
    </w:p>
    <w:p>
      <w:pPr>
        <w:spacing w:after="0" w:line="28" w:lineRule="exact"/>
        <w:rPr>
          <w:rFonts w:ascii="Arial" w:cs="Arial" w:eastAsia="Arial" w:hAnsi="Arial"/>
          <w:sz w:val="15"/>
          <w:szCs w:val="15"/>
          <w:color w:val="auto"/>
          <w:vertAlign w:val="superscript"/>
        </w:rPr>
      </w:pPr>
    </w:p>
    <w:p>
      <w:pPr>
        <w:ind w:left="200" w:right="180" w:hanging="192"/>
        <w:spacing w:after="0" w:line="246" w:lineRule="auto"/>
        <w:tabs>
          <w:tab w:leader="none" w:pos="200"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2022 RSU grants will vest 33% on each of February 11, 2024 and February 11, 2026, with the remaining RSUs vesting on February 11, 2028. The number of RSUs reflected on the table includes dividend equivalents applied through December 31, 2023,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jc w:val="both"/>
        <w:ind w:left="200" w:right="160" w:hanging="192"/>
        <w:spacing w:after="0" w:line="230" w:lineRule="auto"/>
        <w:tabs>
          <w:tab w:leader="none" w:pos="200" w:val="left"/>
        </w:tabs>
        <w:numPr>
          <w:ilvl w:val="0"/>
          <w:numId w:val="179"/>
        </w:numPr>
        <w:rPr>
          <w:rFonts w:ascii="Arial" w:cs="Arial" w:eastAsia="Arial" w:hAnsi="Arial"/>
          <w:sz w:val="16"/>
          <w:szCs w:val="16"/>
          <w:color w:val="auto"/>
          <w:vertAlign w:val="superscript"/>
        </w:rPr>
      </w:pPr>
      <w:r>
        <w:rPr>
          <w:rFonts w:ascii="Arial" w:cs="Arial" w:eastAsia="Arial" w:hAnsi="Arial"/>
          <w:sz w:val="13"/>
          <w:szCs w:val="13"/>
          <w:color w:val="auto"/>
        </w:rPr>
        <w:t>Represents PSUs issued under the 2022-2024 Performance Plan. Actual payout will be based on final performance against plan metrics for the full three-year cycle. The number of PSUs reflected on the table includes dividend equivalents applied on the target number of shares through December 31, 2023, which were reinvested as additional unvested PSUs that will vest on the same basis as the underlying PSUs to which they relate.</w:t>
      </w:r>
    </w:p>
    <w:p>
      <w:pPr>
        <w:spacing w:after="0" w:line="63" w:lineRule="exact"/>
        <w:rPr>
          <w:rFonts w:ascii="Arial" w:cs="Arial" w:eastAsia="Arial" w:hAnsi="Arial"/>
          <w:sz w:val="16"/>
          <w:szCs w:val="16"/>
          <w:color w:val="auto"/>
          <w:vertAlign w:val="superscript"/>
        </w:rPr>
      </w:pPr>
    </w:p>
    <w:p>
      <w:pPr>
        <w:ind w:left="200" w:right="40" w:hanging="192"/>
        <w:spacing w:after="0" w:line="230" w:lineRule="auto"/>
        <w:tabs>
          <w:tab w:leader="none" w:pos="200" w:val="left"/>
        </w:tabs>
        <w:numPr>
          <w:ilvl w:val="0"/>
          <w:numId w:val="179"/>
        </w:numPr>
        <w:rPr>
          <w:rFonts w:ascii="Arial" w:cs="Arial" w:eastAsia="Arial" w:hAnsi="Arial"/>
          <w:sz w:val="16"/>
          <w:szCs w:val="16"/>
          <w:color w:val="auto"/>
          <w:vertAlign w:val="superscript"/>
        </w:rPr>
      </w:pPr>
      <w:r>
        <w:rPr>
          <w:rFonts w:ascii="Arial" w:cs="Arial" w:eastAsia="Arial" w:hAnsi="Arial"/>
          <w:sz w:val="13"/>
          <w:szCs w:val="13"/>
          <w:color w:val="auto"/>
        </w:rPr>
        <w:t>A portion of these 2021 RSU grants vested on February 12, 2023. The remaining RSUs will vest 49% on February 12, 2025 and 51% on February 12, 2027. The number of RSUs reflected on the table includes dividend equivalents applied through December 31, 2023, which were reinvested as additional unvested RSUs that will vest based on the same vesting schedule as the RSUs to which they relate.</w:t>
      </w:r>
    </w:p>
    <w:p>
      <w:pPr>
        <w:spacing w:after="0" w:line="63" w:lineRule="exact"/>
        <w:rPr>
          <w:rFonts w:ascii="Arial" w:cs="Arial" w:eastAsia="Arial" w:hAnsi="Arial"/>
          <w:sz w:val="16"/>
          <w:szCs w:val="16"/>
          <w:color w:val="auto"/>
          <w:vertAlign w:val="superscript"/>
        </w:rPr>
      </w:pPr>
    </w:p>
    <w:p>
      <w:pPr>
        <w:ind w:left="200" w:right="20" w:hanging="192"/>
        <w:spacing w:after="0"/>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Represents PSUs issued under the 2021-2023 Performance Plan based on final MDCC approved payout for the full three-year cycle. The number of PSUs reflected on the table includes dividend equivalents applied on the target number of shares through December 31, 2023, which were reinvested as additional unvested PSUs that will vest on the same basis as the underlying PSUs to which they relate.</w:t>
      </w:r>
    </w:p>
    <w:p>
      <w:pPr>
        <w:spacing w:after="0" w:line="202" w:lineRule="exact"/>
        <w:rPr>
          <w:rFonts w:ascii="Arial" w:cs="Arial" w:eastAsia="Arial" w:hAnsi="Arial"/>
          <w:sz w:val="15"/>
          <w:szCs w:val="15"/>
          <w:color w:val="auto"/>
          <w:vertAlign w:val="superscript"/>
        </w:rPr>
      </w:pPr>
    </w:p>
    <w:p>
      <w:pPr>
        <w:ind w:left="200" w:right="20" w:hanging="192"/>
        <w:spacing w:after="0" w:line="439" w:lineRule="auto"/>
        <w:tabs>
          <w:tab w:leader="none" w:pos="185" w:val="left"/>
        </w:tabs>
        <w:numPr>
          <w:ilvl w:val="0"/>
          <w:numId w:val="179"/>
        </w:numPr>
        <w:rPr>
          <w:rFonts w:ascii="Arial" w:cs="Arial" w:eastAsia="Arial" w:hAnsi="Arial"/>
          <w:sz w:val="14"/>
          <w:szCs w:val="14"/>
          <w:color w:val="auto"/>
          <w:vertAlign w:val="superscript"/>
        </w:rPr>
      </w:pPr>
      <w:r>
        <w:rPr>
          <w:rFonts w:ascii="Arial" w:cs="Arial" w:eastAsia="Arial" w:hAnsi="Arial"/>
          <w:sz w:val="11"/>
          <w:szCs w:val="11"/>
          <w:color w:val="auto"/>
        </w:rPr>
        <w:t>A portion of these 2020 RSU grants vested on February 14, 2022. The remaining RSUs will vest 49% on February 14, 2024 and 51% vesting on February 14, 2026. The number of RSUs reflected on the table includes dividend equivalents applied through December 31, 2023, which were reinvested as additional unvested RSUs that will vest based on the same vesting schedule as the RSUs to which they relate.</w:t>
      </w:r>
    </w:p>
    <w:p>
      <w:pPr>
        <w:ind w:left="200" w:right="180" w:hanging="192"/>
        <w:spacing w:after="0" w:line="246" w:lineRule="auto"/>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A portion of these 2019 RSU grants vested on February 26, 2021 and February 26, 2023. The remaining RSUs will vest on February 26, 2025. The number of RSUs reflected on the table includes dividend equivalents applied through December 31, 2023, which were reinvested as additional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160" w:hanging="192"/>
        <w:spacing w:after="0" w:line="246" w:lineRule="auto"/>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A portion of these 2018 RSU grants vested on February 27, 2020 and February 27, 2022. The remaining RSUs will vest on February 27, 2024. The number of RSUs reflected here include dividend equivalents applied through December 31, 2023, which were reinvested as additional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20" w:hanging="192"/>
        <w:spacing w:after="0" w:line="253" w:lineRule="auto"/>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Mr. Boldea received two RSU grants on October 3, 2022. The first award (3,048 RSUs as of 12/31/2023) will vest 33% on each of October 3, 2024 and October 3, 2026, with the remaining RSUs vesting on October 3, 2028. A portion of the second award vested on October 3, 2023 with the remaining 14,668 RSUs vesting 67% on October 3, 2024 and 33% on October 3, 2025. The number of RSUs reflected on the table includes dividend equivalents applied through December 31, 2023, which were reinvested as additional unvested RSUs that will vest based on the same vesting schedule as the RSUs to which they relate.</w:t>
      </w:r>
    </w:p>
    <w:p>
      <w:pPr>
        <w:spacing w:after="0" w:line="56" w:lineRule="exact"/>
        <w:rPr>
          <w:rFonts w:ascii="Arial" w:cs="Arial" w:eastAsia="Arial" w:hAnsi="Arial"/>
          <w:sz w:val="15"/>
          <w:szCs w:val="15"/>
          <w:color w:val="auto"/>
          <w:vertAlign w:val="superscript"/>
        </w:rPr>
      </w:pPr>
    </w:p>
    <w:p>
      <w:pPr>
        <w:ind w:left="200" w:right="340" w:hanging="192"/>
        <w:spacing w:after="0" w:line="246" w:lineRule="auto"/>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2023 RSU grant will vest 33% on each of August 1, 2025 and August 1, 2026, with the remaining RSUs vesting on August 1, 2027. The number of RSUs reflected on the table includes dividend equivalents applied through December 31, 2023, which were reinvested as additional unvested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ind w:left="200" w:right="400" w:hanging="192"/>
        <w:spacing w:after="0" w:line="270" w:lineRule="auto"/>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2023 RSU grant will vest 100% on February 26, 2026. The number of RSUs reflected on the table includes dividend equivalents applied through December 31, 2023, which were reinvested as additional unvested RSUs that will vest based on the same vesting schedule as the RSUs to which they relate.</w:t>
      </w:r>
    </w:p>
    <w:p>
      <w:pPr>
        <w:spacing w:after="0" w:line="28" w:lineRule="exact"/>
        <w:rPr>
          <w:rFonts w:ascii="Arial" w:cs="Arial" w:eastAsia="Arial" w:hAnsi="Arial"/>
          <w:sz w:val="15"/>
          <w:szCs w:val="15"/>
          <w:color w:val="auto"/>
          <w:vertAlign w:val="superscript"/>
        </w:rPr>
      </w:pPr>
    </w:p>
    <w:p>
      <w:pPr>
        <w:ind w:left="200" w:right="420" w:hanging="192"/>
        <w:spacing w:after="0" w:line="246" w:lineRule="auto"/>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2022 RSU grant will vest 100% on February 11, 2025. The number of RSUs reflected on the table includes dividend equivalents applied through December 31, 2023,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80" w:hanging="192"/>
        <w:spacing w:after="0"/>
        <w:tabs>
          <w:tab w:leader="none" w:pos="191" w:val="left"/>
        </w:tabs>
        <w:numPr>
          <w:ilvl w:val="0"/>
          <w:numId w:val="179"/>
        </w:numPr>
        <w:rPr>
          <w:rFonts w:ascii="Arial" w:cs="Arial" w:eastAsia="Arial" w:hAnsi="Arial"/>
          <w:sz w:val="15"/>
          <w:szCs w:val="15"/>
          <w:color w:val="auto"/>
          <w:vertAlign w:val="superscript"/>
        </w:rPr>
      </w:pPr>
      <w:r>
        <w:rPr>
          <w:rFonts w:ascii="Arial" w:cs="Arial" w:eastAsia="Arial" w:hAnsi="Arial"/>
          <w:sz w:val="12"/>
          <w:szCs w:val="12"/>
          <w:color w:val="auto"/>
        </w:rPr>
        <w:t>A portion of these RSUs vested on February 11, 2023. The remaining RSUs will vest 49% on February 11, 2025 and 51% vesting on February 11, 2027. The number of RSUs reflected on the table includes dividend equivalents applied through December 31, 2023, which were reinvested as additional unvested RSUs that will vest based on the same vesting schedule as the RSUs to which they relate.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85</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right="380" w:hanging="192"/>
        <w:spacing w:after="0" w:line="246" w:lineRule="auto"/>
        <w:tabs>
          <w:tab w:leader="none" w:pos="191" w:val="left"/>
        </w:tabs>
        <w:numPr>
          <w:ilvl w:val="0"/>
          <w:numId w:val="180"/>
        </w:numPr>
        <w:rPr>
          <w:rFonts w:ascii="Arial" w:cs="Arial" w:eastAsia="Arial" w:hAnsi="Arial"/>
          <w:sz w:val="15"/>
          <w:szCs w:val="15"/>
          <w:color w:val="auto"/>
          <w:vertAlign w:val="superscript"/>
        </w:rPr>
      </w:pPr>
      <w:r>
        <w:rPr>
          <w:rFonts w:ascii="Arial" w:cs="Arial" w:eastAsia="Arial" w:hAnsi="Arial"/>
          <w:sz w:val="12"/>
          <w:szCs w:val="12"/>
          <w:color w:val="auto"/>
        </w:rPr>
        <w:t>2021 RSU grant will vest 100% on February 12, 2024. The number of RSUs reflected on the table includes dividend equivalents applied through December 31, 2023, which were reinvested as additional unvested RSUs that will vest based on the same vesting schedule as the RSUs to which they relate.</w:t>
      </w:r>
    </w:p>
    <w:p>
      <w:pPr>
        <w:spacing w:after="0" w:line="59" w:lineRule="exact"/>
        <w:rPr>
          <w:rFonts w:ascii="Arial" w:cs="Arial" w:eastAsia="Arial" w:hAnsi="Arial"/>
          <w:sz w:val="15"/>
          <w:szCs w:val="15"/>
          <w:color w:val="auto"/>
          <w:vertAlign w:val="superscript"/>
        </w:rPr>
      </w:pPr>
    </w:p>
    <w:p>
      <w:pPr>
        <w:ind w:left="200" w:right="160" w:hanging="192"/>
        <w:spacing w:after="0" w:line="246" w:lineRule="auto"/>
        <w:tabs>
          <w:tab w:leader="none" w:pos="191" w:val="left"/>
        </w:tabs>
        <w:numPr>
          <w:ilvl w:val="0"/>
          <w:numId w:val="180"/>
        </w:numPr>
        <w:rPr>
          <w:rFonts w:ascii="Arial" w:cs="Arial" w:eastAsia="Arial" w:hAnsi="Arial"/>
          <w:sz w:val="15"/>
          <w:szCs w:val="15"/>
          <w:color w:val="auto"/>
          <w:vertAlign w:val="superscript"/>
        </w:rPr>
      </w:pPr>
      <w:r>
        <w:rPr>
          <w:rFonts w:ascii="Arial" w:cs="Arial" w:eastAsia="Arial" w:hAnsi="Arial"/>
          <w:sz w:val="12"/>
          <w:szCs w:val="12"/>
          <w:color w:val="auto"/>
        </w:rPr>
        <w:t>A portion of these RSUs vested on July 30, 2022. The remaining RSUs will vest 49% on July 30, 2024 and 51% vesting on July 30, 2026. The number of RSUs reflected on the table includes dividend equivalents applied through December 31, 2023, which were reinvested as additional unvested RSUs that will vest based on the same vesting schedule as the RSUs to which they relate.</w:t>
      </w:r>
    </w:p>
    <w:p>
      <w:pPr>
        <w:spacing w:after="0" w:line="46" w:lineRule="exact"/>
        <w:rPr>
          <w:rFonts w:ascii="Arial" w:cs="Arial" w:eastAsia="Arial" w:hAnsi="Arial"/>
          <w:sz w:val="15"/>
          <w:szCs w:val="15"/>
          <w:color w:val="auto"/>
          <w:vertAlign w:val="superscript"/>
        </w:rPr>
      </w:pPr>
    </w:p>
    <w:p>
      <w:pPr>
        <w:ind w:left="200" w:right="300" w:hanging="192"/>
        <w:spacing w:after="0" w:line="270" w:lineRule="auto"/>
        <w:tabs>
          <w:tab w:leader="none" w:pos="191" w:val="left"/>
        </w:tabs>
        <w:numPr>
          <w:ilvl w:val="0"/>
          <w:numId w:val="180"/>
        </w:numPr>
        <w:rPr>
          <w:rFonts w:ascii="Arial" w:cs="Arial" w:eastAsia="Arial" w:hAnsi="Arial"/>
          <w:sz w:val="15"/>
          <w:szCs w:val="15"/>
          <w:color w:val="auto"/>
          <w:vertAlign w:val="superscript"/>
        </w:rPr>
      </w:pPr>
      <w:r>
        <w:rPr>
          <w:rFonts w:ascii="Arial" w:cs="Arial" w:eastAsia="Arial" w:hAnsi="Arial"/>
          <w:sz w:val="12"/>
          <w:szCs w:val="12"/>
          <w:color w:val="auto"/>
        </w:rPr>
        <w:t>A portion of these RSUs vested on July 25, 2021 and on July 25, 2023. The remaining RSUs will vest on July 25, 2025. The number of RSUs reflected on the table includes dividend equivalents applied through December 31, 2023, which were reinvested as additional unvested RSUs that will vest based on the same vesting schedule as the RSUs to which they relate.</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OPTION EXERCISES AND STOCK VESTED — FISCAL YEAR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40" w:type="dxa"/>
            <w:vAlign w:val="bottom"/>
          </w:tcPr>
          <w:p>
            <w:pPr>
              <w:spacing w:after="0"/>
              <w:rPr>
                <w:sz w:val="17"/>
                <w:szCs w:val="17"/>
                <w:color w:val="auto"/>
              </w:rPr>
            </w:pPr>
          </w:p>
        </w:tc>
        <w:tc>
          <w:tcPr>
            <w:tcW w:w="21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1020" w:type="dxa"/>
            <w:vAlign w:val="bottom"/>
            <w:tcBorders>
              <w:bottom w:val="single" w:sz="8" w:color="D7282F"/>
            </w:tcBorders>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10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4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9"/>
              </w:rPr>
              <w:t>Value Realized</w:t>
            </w:r>
          </w:p>
        </w:tc>
        <w:tc>
          <w:tcPr>
            <w:tcW w:w="2120" w:type="dxa"/>
            <w:vAlign w:val="bottom"/>
            <w:gridSpan w:val="2"/>
          </w:tcPr>
          <w:p>
            <w:pPr>
              <w:jc w:val="right"/>
              <w:ind w:right="373"/>
              <w:spacing w:after="0"/>
              <w:rPr>
                <w:sz w:val="20"/>
                <w:szCs w:val="20"/>
                <w:color w:val="auto"/>
              </w:rPr>
            </w:pPr>
            <w:r>
              <w:rPr>
                <w:rFonts w:ascii="Arial" w:cs="Arial" w:eastAsia="Arial" w:hAnsi="Arial"/>
                <w:sz w:val="14"/>
                <w:szCs w:val="14"/>
                <w:b w:val="1"/>
                <w:bCs w:val="1"/>
                <w:color w:val="auto"/>
              </w:rPr>
              <w:t>Number of Shares</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68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Acquired on</w:t>
            </w:r>
          </w:p>
        </w:tc>
        <w:tc>
          <w:tcPr>
            <w:tcW w:w="4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120" w:type="dxa"/>
            <w:vAlign w:val="bottom"/>
            <w:gridSpan w:val="2"/>
          </w:tcPr>
          <w:p>
            <w:pPr>
              <w:jc w:val="right"/>
              <w:ind w:right="373"/>
              <w:spacing w:after="0" w:line="159" w:lineRule="exact"/>
              <w:rPr>
                <w:sz w:val="20"/>
                <w:szCs w:val="20"/>
                <w:color w:val="auto"/>
              </w:rPr>
            </w:pPr>
            <w:r>
              <w:rPr>
                <w:rFonts w:ascii="Arial" w:cs="Arial" w:eastAsia="Arial" w:hAnsi="Arial"/>
                <w:sz w:val="14"/>
                <w:szCs w:val="14"/>
                <w:b w:val="1"/>
                <w:bCs w:val="1"/>
                <w:color w:val="auto"/>
              </w:rPr>
              <w:t>Acquired on</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64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6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Exercise</w:t>
            </w:r>
            <w:r>
              <w:rPr>
                <w:rFonts w:ascii="Arial" w:cs="Arial" w:eastAsia="Arial" w:hAnsi="Arial"/>
                <w:sz w:val="9"/>
                <w:szCs w:val="9"/>
                <w:b w:val="1"/>
                <w:bCs w:val="1"/>
                <w:color w:val="auto"/>
              </w:rPr>
              <w:t>(1)</w:t>
            </w:r>
          </w:p>
        </w:tc>
        <w:tc>
          <w:tcPr>
            <w:tcW w:w="480" w:type="dxa"/>
            <w:vAlign w:val="bottom"/>
            <w:tcBorders>
              <w:bottom w:val="single" w:sz="8" w:color="D7282F"/>
            </w:tcBorders>
          </w:tcPr>
          <w:p>
            <w:pPr>
              <w:spacing w:after="0"/>
              <w:rPr>
                <w:sz w:val="18"/>
                <w:szCs w:val="18"/>
                <w:color w:val="auto"/>
              </w:rPr>
            </w:pPr>
          </w:p>
        </w:tc>
        <w:tc>
          <w:tcPr>
            <w:tcW w:w="1220" w:type="dxa"/>
            <w:vAlign w:val="bottom"/>
            <w:tcBorders>
              <w:bottom w:val="single" w:sz="8" w:color="D7282F"/>
            </w:tcBorders>
            <w:gridSpan w:val="2"/>
          </w:tcPr>
          <w:p>
            <w:pPr>
              <w:jc w:val="right"/>
              <w:ind w:right="220"/>
              <w:spacing w:after="0"/>
              <w:rPr>
                <w:sz w:val="20"/>
                <w:szCs w:val="20"/>
                <w:color w:val="auto"/>
              </w:rPr>
            </w:pPr>
            <w:r>
              <w:rPr>
                <w:rFonts w:ascii="Arial" w:cs="Arial" w:eastAsia="Arial" w:hAnsi="Arial"/>
                <w:sz w:val="14"/>
                <w:szCs w:val="14"/>
                <w:b w:val="1"/>
                <w:bCs w:val="1"/>
                <w:color w:val="auto"/>
              </w:rPr>
              <w:t>on Exercise</w:t>
            </w:r>
            <w:r>
              <w:rPr>
                <w:rFonts w:ascii="Arial" w:cs="Arial" w:eastAsia="Arial" w:hAnsi="Arial"/>
                <w:sz w:val="18"/>
                <w:szCs w:val="18"/>
                <w:b w:val="1"/>
                <w:bCs w:val="1"/>
                <w:color w:val="auto"/>
                <w:vertAlign w:val="superscript"/>
              </w:rPr>
              <w:t>(2)</w:t>
            </w:r>
          </w:p>
        </w:tc>
        <w:tc>
          <w:tcPr>
            <w:tcW w:w="2120" w:type="dxa"/>
            <w:vAlign w:val="bottom"/>
            <w:tcBorders>
              <w:bottom w:val="single" w:sz="8" w:color="D7282F"/>
            </w:tcBorders>
            <w:gridSpan w:val="2"/>
          </w:tcPr>
          <w:p>
            <w:pPr>
              <w:jc w:val="right"/>
              <w:ind w:right="373"/>
              <w:spacing w:after="0"/>
              <w:rPr>
                <w:sz w:val="20"/>
                <w:szCs w:val="20"/>
                <w:color w:val="auto"/>
              </w:rPr>
            </w:pPr>
            <w:r>
              <w:rPr>
                <w:rFonts w:ascii="Arial" w:cs="Arial" w:eastAsia="Arial" w:hAnsi="Arial"/>
                <w:sz w:val="14"/>
                <w:szCs w:val="14"/>
                <w:b w:val="1"/>
                <w:bCs w:val="1"/>
                <w:color w:val="auto"/>
              </w:rPr>
              <w:t>Vesting</w:t>
            </w:r>
            <w:r>
              <w:rPr>
                <w:rFonts w:ascii="Arial" w:cs="Arial" w:eastAsia="Arial" w:hAnsi="Arial"/>
                <w:sz w:val="9"/>
                <w:szCs w:val="9"/>
                <w:b w:val="1"/>
                <w:bCs w:val="1"/>
                <w:color w:val="auto"/>
              </w:rPr>
              <w:t>(3)</w:t>
            </w:r>
          </w:p>
        </w:tc>
        <w:tc>
          <w:tcPr>
            <w:tcW w:w="1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on Vesting</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248"/>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Mr. Kapur</w:t>
            </w:r>
          </w:p>
        </w:tc>
        <w:tc>
          <w:tcPr>
            <w:tcW w:w="1320" w:type="dxa"/>
            <w:vAlign w:val="bottom"/>
          </w:tcPr>
          <w:p>
            <w:pPr>
              <w:jc w:val="right"/>
              <w:spacing w:after="0"/>
              <w:rPr>
                <w:sz w:val="20"/>
                <w:szCs w:val="20"/>
                <w:color w:val="auto"/>
              </w:rPr>
            </w:pPr>
            <w:r>
              <w:rPr>
                <w:rFonts w:ascii="Arial" w:cs="Arial" w:eastAsia="Arial" w:hAnsi="Arial"/>
                <w:sz w:val="14"/>
                <w:szCs w:val="14"/>
                <w:color w:val="auto"/>
              </w:rPr>
              <w:t>31,246</w:t>
            </w:r>
          </w:p>
        </w:tc>
        <w:tc>
          <w:tcPr>
            <w:tcW w:w="360" w:type="dxa"/>
            <w:vAlign w:val="bottom"/>
          </w:tcPr>
          <w:p>
            <w:pPr>
              <w:ind w:left="20"/>
              <w:spacing w:after="0"/>
              <w:rPr>
                <w:sz w:val="20"/>
                <w:szCs w:val="20"/>
                <w:color w:val="auto"/>
              </w:rPr>
            </w:pPr>
            <w:r>
              <w:rPr>
                <w:rFonts w:ascii="Arial" w:cs="Arial" w:eastAsia="Arial" w:hAnsi="Arial"/>
                <w:sz w:val="9"/>
                <w:szCs w:val="9"/>
                <w:color w:val="auto"/>
              </w:rPr>
              <w:t>(5)</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3,112,053</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12,754</w:t>
            </w:r>
          </w:p>
        </w:tc>
        <w:tc>
          <w:tcPr>
            <w:tcW w:w="800" w:type="dxa"/>
            <w:vAlign w:val="bottom"/>
          </w:tcPr>
          <w:p>
            <w:pPr>
              <w:ind w:left="40"/>
              <w:spacing w:after="0"/>
              <w:rPr>
                <w:sz w:val="20"/>
                <w:szCs w:val="20"/>
                <w:color w:val="auto"/>
              </w:rPr>
            </w:pPr>
            <w:r>
              <w:rPr>
                <w:rFonts w:ascii="Arial" w:cs="Arial" w:eastAsia="Arial" w:hAnsi="Arial"/>
                <w:sz w:val="9"/>
                <w:szCs w:val="9"/>
                <w:color w:val="auto"/>
              </w:rPr>
              <w:t>(6)</w:t>
            </w:r>
          </w:p>
        </w:tc>
        <w:tc>
          <w:tcPr>
            <w:tcW w:w="1080" w:type="dxa"/>
            <w:vAlign w:val="bottom"/>
          </w:tcPr>
          <w:p>
            <w:pPr>
              <w:jc w:val="right"/>
              <w:spacing w:after="0"/>
              <w:rPr>
                <w:sz w:val="20"/>
                <w:szCs w:val="20"/>
                <w:color w:val="auto"/>
              </w:rPr>
            </w:pPr>
            <w:r>
              <w:rPr>
                <w:rFonts w:ascii="Arial" w:cs="Arial" w:eastAsia="Arial" w:hAnsi="Arial"/>
                <w:sz w:val="14"/>
                <w:szCs w:val="14"/>
                <w:color w:val="auto"/>
              </w:rPr>
              <w:t>$    2,617,849</w:t>
            </w:r>
          </w:p>
        </w:tc>
        <w:tc>
          <w:tcPr>
            <w:tcW w:w="0" w:type="dxa"/>
            <w:vAlign w:val="bottom"/>
          </w:tcPr>
          <w:p>
            <w:pPr>
              <w:spacing w:after="0"/>
              <w:rPr>
                <w:sz w:val="1"/>
                <w:szCs w:val="1"/>
                <w:color w:val="auto"/>
              </w:rPr>
            </w:pPr>
          </w:p>
        </w:tc>
      </w:tr>
      <w:tr>
        <w:trPr>
          <w:trHeight w:val="56"/>
        </w:trPr>
        <w:tc>
          <w:tcPr>
            <w:tcW w:w="4640" w:type="dxa"/>
            <w:vAlign w:val="bottom"/>
            <w:tcBorders>
              <w:bottom w:val="single" w:sz="8" w:color="939598"/>
            </w:tcBorders>
          </w:tcPr>
          <w:p>
            <w:pPr>
              <w:spacing w:after="0"/>
              <w:rPr>
                <w:sz w:val="4"/>
                <w:szCs w:val="4"/>
                <w:color w:val="auto"/>
              </w:rPr>
            </w:pPr>
          </w:p>
        </w:tc>
        <w:tc>
          <w:tcPr>
            <w:tcW w:w="1320" w:type="dxa"/>
            <w:vAlign w:val="bottom"/>
            <w:tcBorders>
              <w:bottom w:val="single" w:sz="8" w:color="939598"/>
            </w:tcBorders>
          </w:tcPr>
          <w:p>
            <w:pPr>
              <w:spacing w:after="0"/>
              <w:rPr>
                <w:sz w:val="4"/>
                <w:szCs w:val="4"/>
                <w:color w:val="auto"/>
              </w:rPr>
            </w:pPr>
          </w:p>
        </w:tc>
        <w:tc>
          <w:tcPr>
            <w:tcW w:w="360" w:type="dxa"/>
            <w:vAlign w:val="bottom"/>
            <w:tcBorders>
              <w:bottom w:val="single" w:sz="8" w:color="939598"/>
            </w:tcBorders>
          </w:tcPr>
          <w:p>
            <w:pPr>
              <w:spacing w:after="0"/>
              <w:rPr>
                <w:sz w:val="4"/>
                <w:szCs w:val="4"/>
                <w:color w:val="auto"/>
              </w:rPr>
            </w:pPr>
          </w:p>
        </w:tc>
        <w:tc>
          <w:tcPr>
            <w:tcW w:w="480" w:type="dxa"/>
            <w:vAlign w:val="bottom"/>
            <w:tcBorders>
              <w:bottom w:val="single" w:sz="8" w:color="939598"/>
            </w:tcBorders>
          </w:tcPr>
          <w:p>
            <w:pPr>
              <w:spacing w:after="0"/>
              <w:rPr>
                <w:sz w:val="4"/>
                <w:szCs w:val="4"/>
                <w:color w:val="auto"/>
              </w:rPr>
            </w:pPr>
          </w:p>
        </w:tc>
        <w:tc>
          <w:tcPr>
            <w:tcW w:w="1020" w:type="dxa"/>
            <w:vAlign w:val="bottom"/>
            <w:tcBorders>
              <w:bottom w:val="single" w:sz="8" w:color="939598"/>
            </w:tcBorders>
          </w:tcPr>
          <w:p>
            <w:pPr>
              <w:spacing w:after="0"/>
              <w:rPr>
                <w:sz w:val="4"/>
                <w:szCs w:val="4"/>
                <w:color w:val="auto"/>
              </w:rPr>
            </w:pPr>
          </w:p>
        </w:tc>
        <w:tc>
          <w:tcPr>
            <w:tcW w:w="200" w:type="dxa"/>
            <w:vAlign w:val="bottom"/>
            <w:tcBorders>
              <w:bottom w:val="single" w:sz="8" w:color="939598"/>
            </w:tcBorders>
          </w:tcPr>
          <w:p>
            <w:pPr>
              <w:spacing w:after="0"/>
              <w:rPr>
                <w:sz w:val="4"/>
                <w:szCs w:val="4"/>
                <w:color w:val="auto"/>
              </w:rPr>
            </w:pPr>
          </w:p>
        </w:tc>
        <w:tc>
          <w:tcPr>
            <w:tcW w:w="1320" w:type="dxa"/>
            <w:vAlign w:val="bottom"/>
            <w:tcBorders>
              <w:bottom w:val="single" w:sz="8" w:color="939598"/>
            </w:tcBorders>
          </w:tcPr>
          <w:p>
            <w:pPr>
              <w:spacing w:after="0"/>
              <w:rPr>
                <w:sz w:val="4"/>
                <w:szCs w:val="4"/>
                <w:color w:val="auto"/>
              </w:rPr>
            </w:pPr>
          </w:p>
        </w:tc>
        <w:tc>
          <w:tcPr>
            <w:tcW w:w="800" w:type="dxa"/>
            <w:vAlign w:val="bottom"/>
            <w:tcBorders>
              <w:bottom w:val="single" w:sz="8" w:color="939598"/>
            </w:tcBorders>
          </w:tcPr>
          <w:p>
            <w:pPr>
              <w:spacing w:after="0"/>
              <w:rPr>
                <w:sz w:val="4"/>
                <w:szCs w:val="4"/>
                <w:color w:val="auto"/>
              </w:rPr>
            </w:pPr>
          </w:p>
        </w:tc>
        <w:tc>
          <w:tcPr>
            <w:tcW w:w="108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Mr. Lewis</w:t>
            </w:r>
          </w:p>
        </w:tc>
        <w:tc>
          <w:tcPr>
            <w:tcW w:w="1320" w:type="dxa"/>
            <w:vAlign w:val="bottom"/>
          </w:tcPr>
          <w:p>
            <w:pPr>
              <w:jc w:val="right"/>
              <w:spacing w:after="0"/>
              <w:rPr>
                <w:sz w:val="20"/>
                <w:szCs w:val="20"/>
                <w:color w:val="auto"/>
              </w:rPr>
            </w:pPr>
            <w:r>
              <w:rPr>
                <w:rFonts w:ascii="Arial" w:cs="Arial" w:eastAsia="Arial" w:hAnsi="Arial"/>
                <w:sz w:val="14"/>
                <w:szCs w:val="14"/>
                <w:color w:val="auto"/>
              </w:rPr>
              <w:t>23,107</w:t>
            </w:r>
          </w:p>
        </w:tc>
        <w:tc>
          <w:tcPr>
            <w:tcW w:w="360" w:type="dxa"/>
            <w:vAlign w:val="bottom"/>
          </w:tcPr>
          <w:p>
            <w:pPr>
              <w:ind w:left="20"/>
              <w:spacing w:after="0"/>
              <w:rPr>
                <w:sz w:val="20"/>
                <w:szCs w:val="20"/>
                <w:color w:val="auto"/>
              </w:rPr>
            </w:pPr>
            <w:r>
              <w:rPr>
                <w:rFonts w:ascii="Arial" w:cs="Arial" w:eastAsia="Arial" w:hAnsi="Arial"/>
                <w:sz w:val="9"/>
                <w:szCs w:val="9"/>
                <w:color w:val="auto"/>
              </w:rPr>
              <w:t>(7)</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2,312,657</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23,920</w:t>
            </w:r>
          </w:p>
        </w:tc>
        <w:tc>
          <w:tcPr>
            <w:tcW w:w="800" w:type="dxa"/>
            <w:vAlign w:val="bottom"/>
          </w:tcPr>
          <w:p>
            <w:pPr>
              <w:ind w:left="40"/>
              <w:spacing w:after="0"/>
              <w:rPr>
                <w:sz w:val="20"/>
                <w:szCs w:val="20"/>
                <w:color w:val="auto"/>
              </w:rPr>
            </w:pPr>
            <w:r>
              <w:rPr>
                <w:rFonts w:ascii="Arial" w:cs="Arial" w:eastAsia="Arial" w:hAnsi="Arial"/>
                <w:sz w:val="9"/>
                <w:szCs w:val="9"/>
                <w:color w:val="auto"/>
              </w:rPr>
              <w:t>(8)</w:t>
            </w:r>
          </w:p>
        </w:tc>
        <w:tc>
          <w:tcPr>
            <w:tcW w:w="1080" w:type="dxa"/>
            <w:vAlign w:val="bottom"/>
          </w:tcPr>
          <w:p>
            <w:pPr>
              <w:jc w:val="right"/>
              <w:spacing w:after="0"/>
              <w:rPr>
                <w:sz w:val="20"/>
                <w:szCs w:val="20"/>
                <w:color w:val="auto"/>
              </w:rPr>
            </w:pPr>
            <w:r>
              <w:rPr>
                <w:rFonts w:ascii="Arial" w:cs="Arial" w:eastAsia="Arial" w:hAnsi="Arial"/>
                <w:sz w:val="14"/>
                <w:szCs w:val="14"/>
                <w:color w:val="auto"/>
              </w:rPr>
              <w:t>4,884,644</w:t>
            </w:r>
          </w:p>
        </w:tc>
        <w:tc>
          <w:tcPr>
            <w:tcW w:w="0" w:type="dxa"/>
            <w:vAlign w:val="bottom"/>
          </w:tcPr>
          <w:p>
            <w:pPr>
              <w:spacing w:after="0"/>
              <w:rPr>
                <w:sz w:val="1"/>
                <w:szCs w:val="1"/>
                <w:color w:val="auto"/>
              </w:rPr>
            </w:pPr>
          </w:p>
        </w:tc>
      </w:tr>
      <w:tr>
        <w:trPr>
          <w:trHeight w:val="96"/>
        </w:trPr>
        <w:tc>
          <w:tcPr>
            <w:tcW w:w="4640" w:type="dxa"/>
            <w:vAlign w:val="bottom"/>
            <w:tcBorders>
              <w:bottom w:val="single" w:sz="8" w:color="939598"/>
            </w:tcBorders>
            <w:vMerge w:val="continue"/>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360" w:type="dxa"/>
            <w:vAlign w:val="bottom"/>
            <w:tcBorders>
              <w:bottom w:val="single" w:sz="8" w:color="939598"/>
            </w:tcBorders>
          </w:tcPr>
          <w:p>
            <w:pPr>
              <w:spacing w:after="0"/>
              <w:rPr>
                <w:sz w:val="8"/>
                <w:szCs w:val="8"/>
                <w:color w:val="auto"/>
              </w:rPr>
            </w:pPr>
          </w:p>
        </w:tc>
        <w:tc>
          <w:tcPr>
            <w:tcW w:w="480" w:type="dxa"/>
            <w:vAlign w:val="bottom"/>
            <w:tcBorders>
              <w:bottom w:val="single" w:sz="8" w:color="939598"/>
            </w:tcBorders>
          </w:tcPr>
          <w:p>
            <w:pPr>
              <w:spacing w:after="0"/>
              <w:rPr>
                <w:sz w:val="8"/>
                <w:szCs w:val="8"/>
                <w:color w:val="auto"/>
              </w:rPr>
            </w:pPr>
          </w:p>
        </w:tc>
        <w:tc>
          <w:tcPr>
            <w:tcW w:w="1020" w:type="dxa"/>
            <w:vAlign w:val="bottom"/>
            <w:tcBorders>
              <w:bottom w:val="single" w:sz="8" w:color="939598"/>
            </w:tcBorders>
          </w:tcPr>
          <w:p>
            <w:pPr>
              <w:spacing w:after="0"/>
              <w:rPr>
                <w:sz w:val="8"/>
                <w:szCs w:val="8"/>
                <w:color w:val="auto"/>
              </w:rPr>
            </w:pPr>
          </w:p>
        </w:tc>
        <w:tc>
          <w:tcPr>
            <w:tcW w:w="200" w:type="dxa"/>
            <w:vAlign w:val="bottom"/>
            <w:tcBorders>
              <w:bottom w:val="single" w:sz="8" w:color="939598"/>
            </w:tcBorders>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800" w:type="dxa"/>
            <w:vAlign w:val="bottom"/>
            <w:tcBorders>
              <w:bottom w:val="single" w:sz="8" w:color="939598"/>
            </w:tcBorders>
          </w:tcPr>
          <w:p>
            <w:pPr>
              <w:spacing w:after="0"/>
              <w:rPr>
                <w:sz w:val="8"/>
                <w:szCs w:val="8"/>
                <w:color w:val="auto"/>
              </w:rPr>
            </w:pPr>
          </w:p>
        </w:tc>
        <w:tc>
          <w:tcPr>
            <w:tcW w:w="108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Ms. Madden</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25,164</w:t>
            </w:r>
          </w:p>
        </w:tc>
        <w:tc>
          <w:tcPr>
            <w:tcW w:w="800" w:type="dxa"/>
            <w:vAlign w:val="bottom"/>
          </w:tcPr>
          <w:p>
            <w:pPr>
              <w:ind w:left="40"/>
              <w:spacing w:after="0"/>
              <w:rPr>
                <w:sz w:val="20"/>
                <w:szCs w:val="20"/>
                <w:color w:val="auto"/>
              </w:rPr>
            </w:pPr>
            <w:r>
              <w:rPr>
                <w:rFonts w:ascii="Arial" w:cs="Arial" w:eastAsia="Arial" w:hAnsi="Arial"/>
                <w:sz w:val="9"/>
                <w:szCs w:val="9"/>
                <w:color w:val="auto"/>
              </w:rPr>
              <w:t>(9)</w:t>
            </w:r>
          </w:p>
        </w:tc>
        <w:tc>
          <w:tcPr>
            <w:tcW w:w="1080" w:type="dxa"/>
            <w:vAlign w:val="bottom"/>
          </w:tcPr>
          <w:p>
            <w:pPr>
              <w:jc w:val="right"/>
              <w:spacing w:after="0"/>
              <w:rPr>
                <w:sz w:val="20"/>
                <w:szCs w:val="20"/>
                <w:color w:val="auto"/>
              </w:rPr>
            </w:pPr>
            <w:r>
              <w:rPr>
                <w:rFonts w:ascii="Arial" w:cs="Arial" w:eastAsia="Arial" w:hAnsi="Arial"/>
                <w:sz w:val="14"/>
                <w:szCs w:val="14"/>
                <w:color w:val="auto"/>
              </w:rPr>
              <w:t>5,160,154</w:t>
            </w:r>
          </w:p>
        </w:tc>
        <w:tc>
          <w:tcPr>
            <w:tcW w:w="0" w:type="dxa"/>
            <w:vAlign w:val="bottom"/>
          </w:tcPr>
          <w:p>
            <w:pPr>
              <w:spacing w:after="0"/>
              <w:rPr>
                <w:sz w:val="1"/>
                <w:szCs w:val="1"/>
                <w:color w:val="auto"/>
              </w:rPr>
            </w:pPr>
          </w:p>
        </w:tc>
      </w:tr>
      <w:tr>
        <w:trPr>
          <w:trHeight w:val="96"/>
        </w:trPr>
        <w:tc>
          <w:tcPr>
            <w:tcW w:w="4640" w:type="dxa"/>
            <w:vAlign w:val="bottom"/>
            <w:tcBorders>
              <w:bottom w:val="single" w:sz="8" w:color="939598"/>
            </w:tcBorders>
            <w:vMerge w:val="continue"/>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360" w:type="dxa"/>
            <w:vAlign w:val="bottom"/>
            <w:tcBorders>
              <w:bottom w:val="single" w:sz="8" w:color="939598"/>
            </w:tcBorders>
          </w:tcPr>
          <w:p>
            <w:pPr>
              <w:spacing w:after="0"/>
              <w:rPr>
                <w:sz w:val="8"/>
                <w:szCs w:val="8"/>
                <w:color w:val="auto"/>
              </w:rPr>
            </w:pPr>
          </w:p>
        </w:tc>
        <w:tc>
          <w:tcPr>
            <w:tcW w:w="480" w:type="dxa"/>
            <w:vAlign w:val="bottom"/>
            <w:tcBorders>
              <w:bottom w:val="single" w:sz="8" w:color="939598"/>
            </w:tcBorders>
          </w:tcPr>
          <w:p>
            <w:pPr>
              <w:spacing w:after="0"/>
              <w:rPr>
                <w:sz w:val="8"/>
                <w:szCs w:val="8"/>
                <w:color w:val="auto"/>
              </w:rPr>
            </w:pPr>
          </w:p>
        </w:tc>
        <w:tc>
          <w:tcPr>
            <w:tcW w:w="1020" w:type="dxa"/>
            <w:vAlign w:val="bottom"/>
            <w:tcBorders>
              <w:bottom w:val="single" w:sz="8" w:color="939598"/>
            </w:tcBorders>
          </w:tcPr>
          <w:p>
            <w:pPr>
              <w:spacing w:after="0"/>
              <w:rPr>
                <w:sz w:val="8"/>
                <w:szCs w:val="8"/>
                <w:color w:val="auto"/>
              </w:rPr>
            </w:pPr>
          </w:p>
        </w:tc>
        <w:tc>
          <w:tcPr>
            <w:tcW w:w="200" w:type="dxa"/>
            <w:vAlign w:val="bottom"/>
            <w:tcBorders>
              <w:bottom w:val="single" w:sz="8" w:color="939598"/>
            </w:tcBorders>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800" w:type="dxa"/>
            <w:vAlign w:val="bottom"/>
            <w:tcBorders>
              <w:bottom w:val="single" w:sz="8" w:color="939598"/>
            </w:tcBorders>
          </w:tcPr>
          <w:p>
            <w:pPr>
              <w:spacing w:after="0"/>
              <w:rPr>
                <w:sz w:val="8"/>
                <w:szCs w:val="8"/>
                <w:color w:val="auto"/>
              </w:rPr>
            </w:pPr>
          </w:p>
        </w:tc>
        <w:tc>
          <w:tcPr>
            <w:tcW w:w="108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Mr. Boldea</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9,726</w:t>
            </w:r>
          </w:p>
        </w:tc>
        <w:tc>
          <w:tcPr>
            <w:tcW w:w="800" w:type="dxa"/>
            <w:vAlign w:val="bottom"/>
          </w:tcPr>
          <w:p>
            <w:pPr>
              <w:ind w:left="40"/>
              <w:spacing w:after="0"/>
              <w:rPr>
                <w:sz w:val="20"/>
                <w:szCs w:val="20"/>
                <w:color w:val="auto"/>
              </w:rPr>
            </w:pPr>
            <w:r>
              <w:rPr>
                <w:rFonts w:ascii="Arial" w:cs="Arial" w:eastAsia="Arial" w:hAnsi="Arial"/>
                <w:sz w:val="9"/>
                <w:szCs w:val="9"/>
                <w:color w:val="auto"/>
              </w:rPr>
              <w:t>(10)</w:t>
            </w:r>
          </w:p>
        </w:tc>
        <w:tc>
          <w:tcPr>
            <w:tcW w:w="1080" w:type="dxa"/>
            <w:vAlign w:val="bottom"/>
          </w:tcPr>
          <w:p>
            <w:pPr>
              <w:jc w:val="right"/>
              <w:spacing w:after="0"/>
              <w:rPr>
                <w:sz w:val="20"/>
                <w:szCs w:val="20"/>
                <w:color w:val="auto"/>
              </w:rPr>
            </w:pPr>
            <w:r>
              <w:rPr>
                <w:rFonts w:ascii="Arial" w:cs="Arial" w:eastAsia="Arial" w:hAnsi="Arial"/>
                <w:sz w:val="14"/>
                <w:szCs w:val="14"/>
                <w:color w:val="auto"/>
              </w:rPr>
              <w:t>1,765,053</w:t>
            </w:r>
          </w:p>
        </w:tc>
        <w:tc>
          <w:tcPr>
            <w:tcW w:w="0" w:type="dxa"/>
            <w:vAlign w:val="bottom"/>
          </w:tcPr>
          <w:p>
            <w:pPr>
              <w:spacing w:after="0"/>
              <w:rPr>
                <w:sz w:val="1"/>
                <w:szCs w:val="1"/>
                <w:color w:val="auto"/>
              </w:rPr>
            </w:pPr>
          </w:p>
        </w:tc>
      </w:tr>
      <w:tr>
        <w:trPr>
          <w:trHeight w:val="96"/>
        </w:trPr>
        <w:tc>
          <w:tcPr>
            <w:tcW w:w="4640" w:type="dxa"/>
            <w:vAlign w:val="bottom"/>
            <w:tcBorders>
              <w:bottom w:val="single" w:sz="8" w:color="939598"/>
            </w:tcBorders>
            <w:vMerge w:val="continue"/>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360" w:type="dxa"/>
            <w:vAlign w:val="bottom"/>
            <w:tcBorders>
              <w:bottom w:val="single" w:sz="8" w:color="939598"/>
            </w:tcBorders>
          </w:tcPr>
          <w:p>
            <w:pPr>
              <w:spacing w:after="0"/>
              <w:rPr>
                <w:sz w:val="8"/>
                <w:szCs w:val="8"/>
                <w:color w:val="auto"/>
              </w:rPr>
            </w:pPr>
          </w:p>
        </w:tc>
        <w:tc>
          <w:tcPr>
            <w:tcW w:w="480" w:type="dxa"/>
            <w:vAlign w:val="bottom"/>
            <w:tcBorders>
              <w:bottom w:val="single" w:sz="8" w:color="939598"/>
            </w:tcBorders>
          </w:tcPr>
          <w:p>
            <w:pPr>
              <w:spacing w:after="0"/>
              <w:rPr>
                <w:sz w:val="8"/>
                <w:szCs w:val="8"/>
                <w:color w:val="auto"/>
              </w:rPr>
            </w:pPr>
          </w:p>
        </w:tc>
        <w:tc>
          <w:tcPr>
            <w:tcW w:w="1020" w:type="dxa"/>
            <w:vAlign w:val="bottom"/>
            <w:tcBorders>
              <w:bottom w:val="single" w:sz="8" w:color="939598"/>
            </w:tcBorders>
          </w:tcPr>
          <w:p>
            <w:pPr>
              <w:spacing w:after="0"/>
              <w:rPr>
                <w:sz w:val="8"/>
                <w:szCs w:val="8"/>
                <w:color w:val="auto"/>
              </w:rPr>
            </w:pPr>
          </w:p>
        </w:tc>
        <w:tc>
          <w:tcPr>
            <w:tcW w:w="200" w:type="dxa"/>
            <w:vAlign w:val="bottom"/>
            <w:tcBorders>
              <w:bottom w:val="single" w:sz="8" w:color="939598"/>
            </w:tcBorders>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800" w:type="dxa"/>
            <w:vAlign w:val="bottom"/>
            <w:tcBorders>
              <w:bottom w:val="single" w:sz="8" w:color="939598"/>
            </w:tcBorders>
          </w:tcPr>
          <w:p>
            <w:pPr>
              <w:spacing w:after="0"/>
              <w:rPr>
                <w:sz w:val="8"/>
                <w:szCs w:val="8"/>
                <w:color w:val="auto"/>
              </w:rPr>
            </w:pPr>
          </w:p>
        </w:tc>
        <w:tc>
          <w:tcPr>
            <w:tcW w:w="108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Mr. Currier</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2,827</w:t>
            </w:r>
          </w:p>
        </w:tc>
        <w:tc>
          <w:tcPr>
            <w:tcW w:w="800" w:type="dxa"/>
            <w:vAlign w:val="bottom"/>
          </w:tcPr>
          <w:p>
            <w:pPr>
              <w:ind w:left="40"/>
              <w:spacing w:after="0"/>
              <w:rPr>
                <w:sz w:val="20"/>
                <w:szCs w:val="20"/>
                <w:color w:val="auto"/>
              </w:rPr>
            </w:pPr>
            <w:r>
              <w:rPr>
                <w:rFonts w:ascii="Arial" w:cs="Arial" w:eastAsia="Arial" w:hAnsi="Arial"/>
                <w:sz w:val="9"/>
                <w:szCs w:val="9"/>
                <w:color w:val="auto"/>
              </w:rPr>
              <w:t>(11)</w:t>
            </w:r>
          </w:p>
        </w:tc>
        <w:tc>
          <w:tcPr>
            <w:tcW w:w="1080" w:type="dxa"/>
            <w:vAlign w:val="bottom"/>
          </w:tcPr>
          <w:p>
            <w:pPr>
              <w:jc w:val="right"/>
              <w:spacing w:after="0"/>
              <w:rPr>
                <w:sz w:val="20"/>
                <w:szCs w:val="20"/>
                <w:color w:val="auto"/>
              </w:rPr>
            </w:pPr>
            <w:r>
              <w:rPr>
                <w:rFonts w:ascii="Arial" w:cs="Arial" w:eastAsia="Arial" w:hAnsi="Arial"/>
                <w:sz w:val="14"/>
                <w:szCs w:val="14"/>
                <w:color w:val="auto"/>
              </w:rPr>
              <w:t>567,988</w:t>
            </w:r>
          </w:p>
        </w:tc>
        <w:tc>
          <w:tcPr>
            <w:tcW w:w="0" w:type="dxa"/>
            <w:vAlign w:val="bottom"/>
          </w:tcPr>
          <w:p>
            <w:pPr>
              <w:spacing w:after="0"/>
              <w:rPr>
                <w:sz w:val="1"/>
                <w:szCs w:val="1"/>
                <w:color w:val="auto"/>
              </w:rPr>
            </w:pPr>
          </w:p>
        </w:tc>
      </w:tr>
      <w:tr>
        <w:trPr>
          <w:trHeight w:val="96"/>
        </w:trPr>
        <w:tc>
          <w:tcPr>
            <w:tcW w:w="4640" w:type="dxa"/>
            <w:vAlign w:val="bottom"/>
            <w:tcBorders>
              <w:bottom w:val="single" w:sz="8" w:color="939598"/>
            </w:tcBorders>
            <w:vMerge w:val="continue"/>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360" w:type="dxa"/>
            <w:vAlign w:val="bottom"/>
            <w:tcBorders>
              <w:bottom w:val="single" w:sz="8" w:color="939598"/>
            </w:tcBorders>
          </w:tcPr>
          <w:p>
            <w:pPr>
              <w:spacing w:after="0"/>
              <w:rPr>
                <w:sz w:val="8"/>
                <w:szCs w:val="8"/>
                <w:color w:val="auto"/>
              </w:rPr>
            </w:pPr>
          </w:p>
        </w:tc>
        <w:tc>
          <w:tcPr>
            <w:tcW w:w="480" w:type="dxa"/>
            <w:vAlign w:val="bottom"/>
            <w:tcBorders>
              <w:bottom w:val="single" w:sz="8" w:color="939598"/>
            </w:tcBorders>
          </w:tcPr>
          <w:p>
            <w:pPr>
              <w:spacing w:after="0"/>
              <w:rPr>
                <w:sz w:val="8"/>
                <w:szCs w:val="8"/>
                <w:color w:val="auto"/>
              </w:rPr>
            </w:pPr>
          </w:p>
        </w:tc>
        <w:tc>
          <w:tcPr>
            <w:tcW w:w="1020" w:type="dxa"/>
            <w:vAlign w:val="bottom"/>
            <w:tcBorders>
              <w:bottom w:val="single" w:sz="8" w:color="939598"/>
            </w:tcBorders>
          </w:tcPr>
          <w:p>
            <w:pPr>
              <w:spacing w:after="0"/>
              <w:rPr>
                <w:sz w:val="8"/>
                <w:szCs w:val="8"/>
                <w:color w:val="auto"/>
              </w:rPr>
            </w:pPr>
          </w:p>
        </w:tc>
        <w:tc>
          <w:tcPr>
            <w:tcW w:w="200" w:type="dxa"/>
            <w:vAlign w:val="bottom"/>
            <w:tcBorders>
              <w:bottom w:val="single" w:sz="8" w:color="939598"/>
            </w:tcBorders>
          </w:tcPr>
          <w:p>
            <w:pPr>
              <w:spacing w:after="0"/>
              <w:rPr>
                <w:sz w:val="8"/>
                <w:szCs w:val="8"/>
                <w:color w:val="auto"/>
              </w:rPr>
            </w:pPr>
          </w:p>
        </w:tc>
        <w:tc>
          <w:tcPr>
            <w:tcW w:w="1320" w:type="dxa"/>
            <w:vAlign w:val="bottom"/>
            <w:tcBorders>
              <w:bottom w:val="single" w:sz="8" w:color="939598"/>
            </w:tcBorders>
          </w:tcPr>
          <w:p>
            <w:pPr>
              <w:spacing w:after="0"/>
              <w:rPr>
                <w:sz w:val="8"/>
                <w:szCs w:val="8"/>
                <w:color w:val="auto"/>
              </w:rPr>
            </w:pPr>
          </w:p>
        </w:tc>
        <w:tc>
          <w:tcPr>
            <w:tcW w:w="800" w:type="dxa"/>
            <w:vAlign w:val="bottom"/>
            <w:tcBorders>
              <w:bottom w:val="single" w:sz="8" w:color="939598"/>
            </w:tcBorders>
          </w:tcPr>
          <w:p>
            <w:pPr>
              <w:spacing w:after="0"/>
              <w:rPr>
                <w:sz w:val="8"/>
                <w:szCs w:val="8"/>
                <w:color w:val="auto"/>
              </w:rPr>
            </w:pPr>
          </w:p>
        </w:tc>
        <w:tc>
          <w:tcPr>
            <w:tcW w:w="1080" w:type="dxa"/>
            <w:vAlign w:val="bottom"/>
            <w:tcBorders>
              <w:bottom w:val="single" w:sz="8" w:color="939598"/>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Mr. Adamczyk</w:t>
            </w:r>
          </w:p>
        </w:tc>
        <w:tc>
          <w:tcPr>
            <w:tcW w:w="1320" w:type="dxa"/>
            <w:vAlign w:val="bottom"/>
          </w:tcPr>
          <w:p>
            <w:pPr>
              <w:jc w:val="right"/>
              <w:spacing w:after="0"/>
              <w:rPr>
                <w:sz w:val="20"/>
                <w:szCs w:val="20"/>
                <w:color w:val="auto"/>
              </w:rPr>
            </w:pPr>
            <w:r>
              <w:rPr>
                <w:rFonts w:ascii="Arial" w:cs="Arial" w:eastAsia="Arial" w:hAnsi="Arial"/>
                <w:sz w:val="14"/>
                <w:szCs w:val="14"/>
                <w:color w:val="auto"/>
              </w:rPr>
              <w:t>157,561</w:t>
            </w:r>
          </w:p>
        </w:tc>
        <w:tc>
          <w:tcPr>
            <w:tcW w:w="360" w:type="dxa"/>
            <w:vAlign w:val="bottom"/>
          </w:tcPr>
          <w:p>
            <w:pPr>
              <w:ind w:left="20"/>
              <w:spacing w:after="0"/>
              <w:rPr>
                <w:sz w:val="20"/>
                <w:szCs w:val="20"/>
                <w:color w:val="auto"/>
              </w:rPr>
            </w:pPr>
            <w:r>
              <w:rPr>
                <w:rFonts w:ascii="Arial" w:cs="Arial" w:eastAsia="Arial" w:hAnsi="Arial"/>
                <w:sz w:val="9"/>
                <w:szCs w:val="9"/>
                <w:color w:val="auto"/>
              </w:rPr>
              <w:t>(12)</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14,634,407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91,946</w:t>
            </w:r>
          </w:p>
        </w:tc>
        <w:tc>
          <w:tcPr>
            <w:tcW w:w="800" w:type="dxa"/>
            <w:vAlign w:val="bottom"/>
          </w:tcPr>
          <w:p>
            <w:pPr>
              <w:ind w:left="40"/>
              <w:spacing w:after="0"/>
              <w:rPr>
                <w:sz w:val="20"/>
                <w:szCs w:val="20"/>
                <w:color w:val="auto"/>
              </w:rPr>
            </w:pPr>
            <w:r>
              <w:rPr>
                <w:rFonts w:ascii="Arial" w:cs="Arial" w:eastAsia="Arial" w:hAnsi="Arial"/>
                <w:sz w:val="9"/>
                <w:szCs w:val="9"/>
                <w:color w:val="auto"/>
              </w:rPr>
              <w:t>(13)</w:t>
            </w:r>
          </w:p>
        </w:tc>
        <w:tc>
          <w:tcPr>
            <w:tcW w:w="1080" w:type="dxa"/>
            <w:vAlign w:val="bottom"/>
          </w:tcPr>
          <w:p>
            <w:pPr>
              <w:jc w:val="right"/>
              <w:spacing w:after="0"/>
              <w:rPr>
                <w:sz w:val="20"/>
                <w:szCs w:val="20"/>
                <w:color w:val="auto"/>
              </w:rPr>
            </w:pPr>
            <w:r>
              <w:rPr>
                <w:rFonts w:ascii="Arial" w:cs="Arial" w:eastAsia="Arial" w:hAnsi="Arial"/>
                <w:sz w:val="14"/>
                <w:szCs w:val="14"/>
                <w:color w:val="auto"/>
              </w:rPr>
              <w:t>18,718,414</w:t>
            </w:r>
          </w:p>
        </w:tc>
        <w:tc>
          <w:tcPr>
            <w:tcW w:w="0" w:type="dxa"/>
            <w:vAlign w:val="bottom"/>
          </w:tcPr>
          <w:p>
            <w:pPr>
              <w:spacing w:after="0"/>
              <w:rPr>
                <w:sz w:val="1"/>
                <w:szCs w:val="1"/>
                <w:color w:val="auto"/>
              </w:rPr>
            </w:pPr>
          </w:p>
        </w:tc>
      </w:tr>
      <w:tr>
        <w:trPr>
          <w:trHeight w:val="96"/>
        </w:trPr>
        <w:tc>
          <w:tcPr>
            <w:tcW w:w="4640" w:type="dxa"/>
            <w:vAlign w:val="bottom"/>
            <w:tcBorders>
              <w:bottom w:val="single" w:sz="8" w:color="D7282F"/>
            </w:tcBorders>
            <w:vMerge w:val="continue"/>
          </w:tcPr>
          <w:p>
            <w:pPr>
              <w:spacing w:after="0"/>
              <w:rPr>
                <w:sz w:val="8"/>
                <w:szCs w:val="8"/>
                <w:color w:val="auto"/>
              </w:rPr>
            </w:pPr>
          </w:p>
        </w:tc>
        <w:tc>
          <w:tcPr>
            <w:tcW w:w="1320" w:type="dxa"/>
            <w:vAlign w:val="bottom"/>
            <w:tcBorders>
              <w:bottom w:val="single" w:sz="8" w:color="D7282F"/>
            </w:tcBorders>
          </w:tcPr>
          <w:p>
            <w:pPr>
              <w:spacing w:after="0"/>
              <w:rPr>
                <w:sz w:val="8"/>
                <w:szCs w:val="8"/>
                <w:color w:val="auto"/>
              </w:rPr>
            </w:pPr>
          </w:p>
        </w:tc>
        <w:tc>
          <w:tcPr>
            <w:tcW w:w="360" w:type="dxa"/>
            <w:vAlign w:val="bottom"/>
            <w:tcBorders>
              <w:bottom w:val="single" w:sz="8" w:color="D9272E"/>
            </w:tcBorders>
          </w:tcPr>
          <w:p>
            <w:pPr>
              <w:spacing w:after="0"/>
              <w:rPr>
                <w:sz w:val="8"/>
                <w:szCs w:val="8"/>
                <w:color w:val="auto"/>
              </w:rPr>
            </w:pPr>
          </w:p>
        </w:tc>
        <w:tc>
          <w:tcPr>
            <w:tcW w:w="480" w:type="dxa"/>
            <w:vAlign w:val="bottom"/>
            <w:tcBorders>
              <w:bottom w:val="single" w:sz="8" w:color="D7282F"/>
            </w:tcBorders>
          </w:tcPr>
          <w:p>
            <w:pPr>
              <w:spacing w:after="0"/>
              <w:rPr>
                <w:sz w:val="8"/>
                <w:szCs w:val="8"/>
                <w:color w:val="auto"/>
              </w:rPr>
            </w:pPr>
          </w:p>
        </w:tc>
        <w:tc>
          <w:tcPr>
            <w:tcW w:w="1020" w:type="dxa"/>
            <w:vAlign w:val="bottom"/>
            <w:tcBorders>
              <w:bottom w:val="single" w:sz="8" w:color="D7282F"/>
            </w:tcBorders>
          </w:tcPr>
          <w:p>
            <w:pPr>
              <w:spacing w:after="0"/>
              <w:rPr>
                <w:sz w:val="8"/>
                <w:szCs w:val="8"/>
                <w:color w:val="auto"/>
              </w:rPr>
            </w:pPr>
          </w:p>
        </w:tc>
        <w:tc>
          <w:tcPr>
            <w:tcW w:w="200" w:type="dxa"/>
            <w:vAlign w:val="bottom"/>
            <w:tcBorders>
              <w:bottom w:val="single" w:sz="8" w:color="D7282F"/>
            </w:tcBorders>
          </w:tcPr>
          <w:p>
            <w:pPr>
              <w:spacing w:after="0"/>
              <w:rPr>
                <w:sz w:val="8"/>
                <w:szCs w:val="8"/>
                <w:color w:val="auto"/>
              </w:rPr>
            </w:pPr>
          </w:p>
        </w:tc>
        <w:tc>
          <w:tcPr>
            <w:tcW w:w="1320" w:type="dxa"/>
            <w:vAlign w:val="bottom"/>
            <w:tcBorders>
              <w:bottom w:val="single" w:sz="8" w:color="D7282F"/>
            </w:tcBorders>
          </w:tcPr>
          <w:p>
            <w:pPr>
              <w:spacing w:after="0"/>
              <w:rPr>
                <w:sz w:val="8"/>
                <w:szCs w:val="8"/>
                <w:color w:val="auto"/>
              </w:rPr>
            </w:pPr>
          </w:p>
        </w:tc>
        <w:tc>
          <w:tcPr>
            <w:tcW w:w="800" w:type="dxa"/>
            <w:vAlign w:val="bottom"/>
            <w:tcBorders>
              <w:bottom w:val="single" w:sz="8" w:color="D7282F"/>
            </w:tcBorders>
          </w:tcPr>
          <w:p>
            <w:pPr>
              <w:spacing w:after="0"/>
              <w:rPr>
                <w:sz w:val="8"/>
                <w:szCs w:val="8"/>
                <w:color w:val="auto"/>
              </w:rPr>
            </w:pPr>
          </w:p>
        </w:tc>
        <w:tc>
          <w:tcPr>
            <w:tcW w:w="1080" w:type="dxa"/>
            <w:vAlign w:val="bottom"/>
            <w:tcBorders>
              <w:bottom w:val="single" w:sz="8" w:color="D7282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Represents the total number of stock options exercised during 2023 before the sale of option shares to cover the option exercise price, transaction costs, and applicable taxes.</w:t>
      </w:r>
    </w:p>
    <w:p>
      <w:pPr>
        <w:spacing w:after="0" w:line="56" w:lineRule="exact"/>
        <w:rPr>
          <w:rFonts w:ascii="Arial" w:cs="Arial" w:eastAsia="Arial" w:hAnsi="Arial"/>
          <w:sz w:val="16"/>
          <w:szCs w:val="16"/>
          <w:color w:val="auto"/>
          <w:vertAlign w:val="superscript"/>
        </w:rPr>
      </w:pPr>
    </w:p>
    <w:p>
      <w:pPr>
        <w:ind w:left="200" w:right="280" w:hanging="192"/>
        <w:spacing w:after="0" w:line="233"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Represents “in the money” value of stock options at exercise calculated as: the difference between the market price at exercise and the exercise price, multiplied by the total number of options exercised. The individual totals may include multiple exercise transactions during the year. Under Honeywell’s Stock Ownership Guidelines, an officer must hold after-tax net gain shares from an options exercise for at least one year before they can be sold (waived upon retirement).</w:t>
      </w:r>
    </w:p>
    <w:p>
      <w:pPr>
        <w:spacing w:after="0" w:line="33"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Represents the total number of RSUs and PSUs that vested during 2023 before share withholding for taxes and transaction costs.</w:t>
      </w:r>
    </w:p>
    <w:p>
      <w:pPr>
        <w:spacing w:after="0" w:line="63" w:lineRule="exact"/>
        <w:rPr>
          <w:rFonts w:ascii="Arial" w:cs="Arial" w:eastAsia="Arial" w:hAnsi="Arial"/>
          <w:sz w:val="16"/>
          <w:szCs w:val="16"/>
          <w:color w:val="auto"/>
          <w:vertAlign w:val="superscript"/>
        </w:rPr>
      </w:pPr>
    </w:p>
    <w:p>
      <w:pPr>
        <w:ind w:left="200" w:right="140" w:hanging="192"/>
        <w:spacing w:after="0" w:line="232"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Represents the total value of RSUs and PSUs at the vesting. The individual totals may include multiple vesting transactions during the year. RSUs are calculated at the average of the high and low share price of one share of common stock on the day of vesting multiplied by the total number of units that vested. PSUs are paid 50% as cash and 50% as shares; Cash value is calculated using the closing price of 12/31/2022 and the value of shares is calculated at the average of the high and low share price upon payout on 2/14/2023. Under Honeywell's Stock Ownership Guidelines, an officer must hold after-tax net shares from an RSU or PSU vesting for at least one year before they can be sold (waived upon retirement).</w:t>
      </w:r>
    </w:p>
    <w:p>
      <w:pPr>
        <w:spacing w:after="0" w:line="63" w:lineRule="exact"/>
        <w:rPr>
          <w:rFonts w:ascii="Arial" w:cs="Arial" w:eastAsia="Arial" w:hAnsi="Arial"/>
          <w:sz w:val="16"/>
          <w:szCs w:val="16"/>
          <w:color w:val="auto"/>
          <w:vertAlign w:val="superscript"/>
        </w:rPr>
      </w:pPr>
    </w:p>
    <w:p>
      <w:pPr>
        <w:ind w:left="200" w:right="100" w:hanging="192"/>
        <w:spacing w:after="0" w:line="230"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Relates to stock options originally granted in February 2014, 2015, and 2016 with a ten-year term that would have expired in 2024, 2025, and 2026 if not exercised. In connection with the stock option exercise, shares were withheld to cover the exercise price and the applicable taxes due upon exercise with Mr. Kapur receiving a total of 8,706 net gain shares. Net gain shares must be held at least one year before they can be sold.</w:t>
      </w:r>
    </w:p>
    <w:p>
      <w:pPr>
        <w:spacing w:after="0" w:line="63" w:lineRule="exact"/>
        <w:rPr>
          <w:rFonts w:ascii="Arial" w:cs="Arial" w:eastAsia="Arial" w:hAnsi="Arial"/>
          <w:sz w:val="16"/>
          <w:szCs w:val="16"/>
          <w:color w:val="auto"/>
          <w:vertAlign w:val="superscript"/>
        </w:rPr>
      </w:pPr>
    </w:p>
    <w:p>
      <w:pPr>
        <w:ind w:left="200" w:right="120" w:hanging="192"/>
        <w:spacing w:after="0" w:line="226"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1,826 net shares were retained. Upon the vesting of PSUs, 4,749 shares were settled in cash, and 2,592 net shares were retained after withholding shares to cover applicable taxes. Net shares must be held for at least one year before they can be sold.</w:t>
      </w:r>
    </w:p>
    <w:p>
      <w:pPr>
        <w:spacing w:after="0" w:line="50" w:lineRule="exact"/>
        <w:rPr>
          <w:rFonts w:ascii="Arial" w:cs="Arial" w:eastAsia="Arial" w:hAnsi="Arial"/>
          <w:sz w:val="16"/>
          <w:szCs w:val="16"/>
          <w:color w:val="auto"/>
          <w:vertAlign w:val="superscript"/>
        </w:rPr>
      </w:pPr>
    </w:p>
    <w:p>
      <w:pPr>
        <w:ind w:left="200" w:right="100" w:hanging="192"/>
        <w:spacing w:after="0" w:line="236"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Relates to stock options originally granted in February 2015 with a ten-year term that would have expired in 2025 if not exercised. In connection with the stock option exercise, shares were withheld to cover the exercise price and the applicable taxes due upon exercise with Mr. Lewis receiving a total of 6,447 net gain shares. Net gain shares must be held at least one year before they can be sold.</w:t>
      </w:r>
    </w:p>
    <w:p>
      <w:pPr>
        <w:spacing w:after="0" w:line="51" w:lineRule="exact"/>
        <w:rPr>
          <w:rFonts w:ascii="Arial" w:cs="Arial" w:eastAsia="Arial" w:hAnsi="Arial"/>
          <w:sz w:val="16"/>
          <w:szCs w:val="16"/>
          <w:color w:val="auto"/>
          <w:vertAlign w:val="superscript"/>
        </w:rPr>
      </w:pPr>
    </w:p>
    <w:p>
      <w:pPr>
        <w:ind w:left="200" w:right="120" w:hanging="192"/>
        <w:spacing w:after="0" w:line="226"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2,436 net shares were retained. Upon the vesting of PSUs, 9,752 shares were settled in cash, and 5,399 net shares were retained after withholding shares to cover applicable taxes. Net shares must be held for at least one year before they can be sold.</w:t>
      </w:r>
    </w:p>
    <w:p>
      <w:pPr>
        <w:spacing w:after="0" w:line="63" w:lineRule="exact"/>
        <w:rPr>
          <w:rFonts w:ascii="Arial" w:cs="Arial" w:eastAsia="Arial" w:hAnsi="Arial"/>
          <w:sz w:val="16"/>
          <w:szCs w:val="16"/>
          <w:color w:val="auto"/>
          <w:vertAlign w:val="superscript"/>
        </w:rPr>
      </w:pPr>
    </w:p>
    <w:p>
      <w:pPr>
        <w:ind w:left="200" w:right="120" w:hanging="192"/>
        <w:spacing w:after="0" w:line="226" w:lineRule="auto"/>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3,127 net shares were retained. Upon the vesting of PSUs, 9,752 shares were settled in cash, and 5,399 net shares were retained after withholding shares to cover applicable taxes. Net shares must be held for at least one year before they can be sold.</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81"/>
        </w:numPr>
        <w:rPr>
          <w:rFonts w:ascii="Arial" w:cs="Arial" w:eastAsia="Arial" w:hAnsi="Arial"/>
          <w:sz w:val="16"/>
          <w:szCs w:val="16"/>
          <w:color w:val="auto"/>
          <w:vertAlign w:val="superscript"/>
        </w:rPr>
      </w:pPr>
      <w:r>
        <w:rPr>
          <w:rFonts w:ascii="Arial" w:cs="Arial" w:eastAsia="Arial" w:hAnsi="Arial"/>
          <w:sz w:val="13"/>
          <w:szCs w:val="13"/>
          <w:color w:val="auto"/>
        </w:rPr>
        <w:t>Upon the vesting of RSUs, after withholding shares to cover applicable taxes, a total of 5,897 net shares were retained. Net shares must be held for at least one year before they can be sold.</w:t>
      </w:r>
    </w:p>
    <w:p>
      <w:pPr>
        <w:spacing w:after="0" w:line="50" w:lineRule="exact"/>
        <w:rPr>
          <w:rFonts w:ascii="Arial" w:cs="Arial" w:eastAsia="Arial" w:hAnsi="Arial"/>
          <w:sz w:val="16"/>
          <w:szCs w:val="16"/>
          <w:color w:val="auto"/>
          <w:vertAlign w:val="superscript"/>
        </w:rPr>
      </w:pPr>
    </w:p>
    <w:p>
      <w:pPr>
        <w:ind w:left="180" w:hanging="172"/>
        <w:spacing w:after="0"/>
        <w:tabs>
          <w:tab w:leader="none" w:pos="180" w:val="left"/>
        </w:tabs>
        <w:numPr>
          <w:ilvl w:val="0"/>
          <w:numId w:val="181"/>
        </w:numPr>
        <w:rPr>
          <w:rFonts w:ascii="Arial" w:cs="Arial" w:eastAsia="Arial" w:hAnsi="Arial"/>
          <w:sz w:val="14"/>
          <w:szCs w:val="14"/>
          <w:color w:val="auto"/>
          <w:vertAlign w:val="superscript"/>
        </w:rPr>
      </w:pPr>
      <w:r>
        <w:rPr>
          <w:rFonts w:ascii="Arial" w:cs="Arial" w:eastAsia="Arial" w:hAnsi="Arial"/>
          <w:sz w:val="11"/>
          <w:szCs w:val="11"/>
          <w:color w:val="auto"/>
        </w:rPr>
        <w:t>Upon the vesting of RSUs, after withholding shares to cover applicable taxes, a total of 1,632 net shares were retained. Net shares must be held for at least one year before they can be sold.</w:t>
      </w:r>
    </w:p>
    <w:p>
      <w:pPr>
        <w:spacing w:after="0" w:line="68" w:lineRule="exact"/>
        <w:rPr>
          <w:rFonts w:ascii="Arial" w:cs="Arial" w:eastAsia="Arial" w:hAnsi="Arial"/>
          <w:sz w:val="14"/>
          <w:szCs w:val="14"/>
          <w:color w:val="auto"/>
          <w:vertAlign w:val="superscript"/>
        </w:rPr>
      </w:pPr>
    </w:p>
    <w:p>
      <w:pPr>
        <w:ind w:left="200" w:right="60" w:hanging="192"/>
        <w:spacing w:after="0"/>
        <w:tabs>
          <w:tab w:leader="none" w:pos="191" w:val="left"/>
        </w:tabs>
        <w:numPr>
          <w:ilvl w:val="0"/>
          <w:numId w:val="181"/>
        </w:numPr>
        <w:rPr>
          <w:rFonts w:ascii="Arial" w:cs="Arial" w:eastAsia="Arial" w:hAnsi="Arial"/>
          <w:sz w:val="15"/>
          <w:szCs w:val="15"/>
          <w:color w:val="auto"/>
          <w:vertAlign w:val="superscript"/>
        </w:rPr>
      </w:pPr>
      <w:r>
        <w:rPr>
          <w:rFonts w:ascii="Arial" w:cs="Arial" w:eastAsia="Arial" w:hAnsi="Arial"/>
          <w:sz w:val="12"/>
          <w:szCs w:val="12"/>
          <w:color w:val="auto"/>
        </w:rPr>
        <w:t>Relates to stock options originally granted in February 2016 with a ten-year term that would have expired in 2026 if not exercised. In connection with the stock option exercise, shares were withheld to cover the exercise price and the applicable taxes due upon exercise with Mr. Adamczyk receiving a total of 42,283 net gain shares. Net gain shares must be held at least one year before they can be sold.</w:t>
      </w:r>
    </w:p>
    <w:p>
      <w:pPr>
        <w:spacing w:after="0" w:line="216" w:lineRule="exact"/>
        <w:rPr>
          <w:rFonts w:ascii="Arial" w:cs="Arial" w:eastAsia="Arial" w:hAnsi="Arial"/>
          <w:sz w:val="15"/>
          <w:szCs w:val="15"/>
          <w:color w:val="auto"/>
          <w:vertAlign w:val="superscript"/>
        </w:rPr>
      </w:pPr>
    </w:p>
    <w:p>
      <w:pPr>
        <w:ind w:left="200" w:right="140" w:hanging="192"/>
        <w:spacing w:after="0" w:line="246" w:lineRule="auto"/>
        <w:tabs>
          <w:tab w:leader="none" w:pos="191" w:val="left"/>
        </w:tabs>
        <w:numPr>
          <w:ilvl w:val="0"/>
          <w:numId w:val="181"/>
        </w:numPr>
        <w:rPr>
          <w:rFonts w:ascii="Arial" w:cs="Arial" w:eastAsia="Arial" w:hAnsi="Arial"/>
          <w:sz w:val="15"/>
          <w:szCs w:val="15"/>
          <w:color w:val="auto"/>
          <w:vertAlign w:val="superscript"/>
        </w:rPr>
      </w:pPr>
      <w:r>
        <w:rPr>
          <w:rFonts w:ascii="Arial" w:cs="Arial" w:eastAsia="Arial" w:hAnsi="Arial"/>
          <w:sz w:val="12"/>
          <w:szCs w:val="12"/>
          <w:color w:val="auto"/>
        </w:rPr>
        <w:t>Upon the vesting of RSUs, after withholding shares to cover applicable taxes, a total of 16,029 net shares were retained. Upon the vesting of PSUs, 31,545 shares were settled in cash, and 17,526 net shares were retained after withholding shares to cover applicable taxes. Net shares must be held for at least one year before they can be sold.</w:t>
      </w:r>
    </w:p>
    <w:p>
      <w:pPr>
        <w:spacing w:after="0" w:line="204"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sz w:val="1"/>
          <w:szCs w:val="1"/>
          <w:color w:val="auto"/>
        </w:rPr>
        <w:drawing>
          <wp:inline distT="0" distB="0" distL="0" distR="0">
            <wp:extent cx="548640" cy="10287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93" w:name="page94"/>
    <w:bookmarkEnd w:id="93"/>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12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following table provides summary information about the pension benefits that have been earned by the Company’s Named Executive Officers (NEOs) under two pension plans, the Honeywell International Inc. Supplemental Executive Retirement Plan (SERP) and the Honeywell International Inc. Retirement Earnings Plan (REP):</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Benefits — Fiscal Year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Present</w:t>
            </w:r>
          </w:p>
        </w:tc>
      </w:tr>
      <w:tr>
        <w:trPr>
          <w:trHeight w:val="175"/>
        </w:trPr>
        <w:tc>
          <w:tcPr>
            <w:tcW w:w="75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b w:val="1"/>
                <w:bCs w:val="1"/>
                <w:color w:val="auto"/>
              </w:rPr>
              <w:t>Years of</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r>
      <w:tr>
        <w:trPr>
          <w:trHeight w:val="162"/>
        </w:trPr>
        <w:tc>
          <w:tcPr>
            <w:tcW w:w="7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jc w:val="right"/>
              <w:ind w:right="148"/>
              <w:spacing w:after="0"/>
              <w:rPr>
                <w:sz w:val="20"/>
                <w:szCs w:val="20"/>
                <w:color w:val="auto"/>
              </w:rPr>
            </w:pPr>
            <w:r>
              <w:rPr>
                <w:rFonts w:ascii="Arial" w:cs="Arial" w:eastAsia="Arial" w:hAnsi="Arial"/>
                <w:sz w:val="14"/>
                <w:szCs w:val="14"/>
                <w:b w:val="1"/>
                <w:bCs w:val="1"/>
                <w:color w:val="auto"/>
              </w:rPr>
              <w:t>Credited</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Accumulated</w:t>
            </w:r>
          </w:p>
        </w:tc>
      </w:tr>
      <w:tr>
        <w:trPr>
          <w:trHeight w:val="205"/>
        </w:trPr>
        <w:tc>
          <w:tcPr>
            <w:tcW w:w="75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1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Plan Name</w:t>
            </w:r>
          </w:p>
        </w:tc>
        <w:tc>
          <w:tcPr>
            <w:tcW w:w="1320" w:type="dxa"/>
            <w:vAlign w:val="bottom"/>
            <w:tcBorders>
              <w:bottom w:val="single" w:sz="8" w:color="EE2724"/>
            </w:tcBorders>
          </w:tcPr>
          <w:p>
            <w:pPr>
              <w:jc w:val="right"/>
              <w:ind w:right="148"/>
              <w:spacing w:after="0"/>
              <w:rPr>
                <w:sz w:val="20"/>
                <w:szCs w:val="20"/>
                <w:color w:val="auto"/>
              </w:rPr>
            </w:pPr>
            <w:r>
              <w:rPr>
                <w:rFonts w:ascii="Arial" w:cs="Arial" w:eastAsia="Arial" w:hAnsi="Arial"/>
                <w:sz w:val="14"/>
                <w:szCs w:val="14"/>
                <w:b w:val="1"/>
                <w:bCs w:val="1"/>
                <w:color w:val="auto"/>
              </w:rPr>
              <w:t>Service</w:t>
            </w:r>
          </w:p>
        </w:tc>
        <w:tc>
          <w:tcPr>
            <w:tcW w:w="320" w:type="dxa"/>
            <w:vAlign w:val="bottom"/>
            <w:tcBorders>
              <w:bottom w:val="single" w:sz="8" w:color="EE2724"/>
            </w:tcBorders>
          </w:tcPr>
          <w:p>
            <w:pPr>
              <w:spacing w:after="0"/>
              <w:rPr>
                <w:sz w:val="17"/>
                <w:szCs w:val="17"/>
                <w:color w:val="auto"/>
              </w:rPr>
            </w:pPr>
          </w:p>
        </w:tc>
        <w:tc>
          <w:tcPr>
            <w:tcW w:w="940" w:type="dxa"/>
            <w:vAlign w:val="bottom"/>
            <w:tcBorders>
              <w:bottom w:val="single" w:sz="8" w:color="EE2724"/>
            </w:tcBorders>
          </w:tcPr>
          <w:p>
            <w:pPr>
              <w:jc w:val="right"/>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9"/>
                <w:szCs w:val="9"/>
                <w:b w:val="1"/>
                <w:bCs w:val="1"/>
                <w:color w:val="auto"/>
              </w:rPr>
              <w:t>(1)</w:t>
            </w: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Vimal Kapur</w:t>
            </w: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9.5</w:t>
            </w:r>
          </w:p>
        </w:tc>
        <w:tc>
          <w:tcPr>
            <w:tcW w:w="3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169,933</w:t>
            </w:r>
          </w:p>
        </w:tc>
      </w:tr>
      <w:tr>
        <w:trPr>
          <w:trHeight w:val="194"/>
        </w:trPr>
        <w:tc>
          <w:tcPr>
            <w:tcW w:w="75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9.5</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822,827</w:t>
            </w:r>
          </w:p>
        </w:tc>
      </w:tr>
      <w:tr>
        <w:trPr>
          <w:trHeight w:val="22"/>
        </w:trPr>
        <w:tc>
          <w:tcPr>
            <w:tcW w:w="7520" w:type="dxa"/>
            <w:vAlign w:val="bottom"/>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3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r>
      <w:tr>
        <w:trPr>
          <w:trHeight w:val="203"/>
        </w:trPr>
        <w:tc>
          <w:tcPr>
            <w:tcW w:w="75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939598"/>
            </w:tcBorders>
          </w:tcPr>
          <w:p>
            <w:pPr>
              <w:spacing w:after="0"/>
              <w:rPr>
                <w:sz w:val="17"/>
                <w:szCs w:val="17"/>
                <w:color w:val="auto"/>
              </w:rPr>
            </w:pPr>
          </w:p>
        </w:tc>
        <w:tc>
          <w:tcPr>
            <w:tcW w:w="32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992,760</w:t>
            </w:r>
          </w:p>
        </w:tc>
      </w:tr>
      <w:tr>
        <w:trPr>
          <w:trHeight w:val="209"/>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Gregory P. Lewis</w:t>
            </w: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17.0</w:t>
            </w:r>
          </w:p>
        </w:tc>
        <w:tc>
          <w:tcPr>
            <w:tcW w:w="3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304,841</w:t>
            </w:r>
          </w:p>
        </w:tc>
      </w:tr>
      <w:tr>
        <w:trPr>
          <w:trHeight w:val="194"/>
        </w:trPr>
        <w:tc>
          <w:tcPr>
            <w:tcW w:w="75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17.0</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1,501,186</w:t>
            </w:r>
          </w:p>
        </w:tc>
      </w:tr>
      <w:tr>
        <w:trPr>
          <w:trHeight w:val="22"/>
        </w:trPr>
        <w:tc>
          <w:tcPr>
            <w:tcW w:w="7520" w:type="dxa"/>
            <w:vAlign w:val="bottom"/>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3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r>
      <w:tr>
        <w:trPr>
          <w:trHeight w:val="203"/>
        </w:trPr>
        <w:tc>
          <w:tcPr>
            <w:tcW w:w="75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939598"/>
            </w:tcBorders>
          </w:tcPr>
          <w:p>
            <w:pPr>
              <w:spacing w:after="0"/>
              <w:rPr>
                <w:sz w:val="17"/>
                <w:szCs w:val="17"/>
                <w:color w:val="auto"/>
              </w:rPr>
            </w:pPr>
          </w:p>
        </w:tc>
        <w:tc>
          <w:tcPr>
            <w:tcW w:w="32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1,806,027</w:t>
            </w:r>
          </w:p>
        </w:tc>
      </w:tr>
      <w:tr>
        <w:trPr>
          <w:trHeight w:val="209"/>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Anne T. Madden</w:t>
            </w: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27.5</w:t>
            </w:r>
          </w:p>
        </w:tc>
        <w:tc>
          <w:tcPr>
            <w:tcW w:w="3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492,460</w:t>
            </w:r>
          </w:p>
        </w:tc>
      </w:tr>
      <w:tr>
        <w:trPr>
          <w:trHeight w:val="194"/>
        </w:trPr>
        <w:tc>
          <w:tcPr>
            <w:tcW w:w="75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27.5</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2,664,194</w:t>
            </w:r>
          </w:p>
        </w:tc>
      </w:tr>
      <w:tr>
        <w:trPr>
          <w:trHeight w:val="22"/>
        </w:trPr>
        <w:tc>
          <w:tcPr>
            <w:tcW w:w="7520" w:type="dxa"/>
            <w:vAlign w:val="bottom"/>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3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r>
      <w:tr>
        <w:trPr>
          <w:trHeight w:val="203"/>
        </w:trPr>
        <w:tc>
          <w:tcPr>
            <w:tcW w:w="75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939598"/>
            </w:tcBorders>
          </w:tcPr>
          <w:p>
            <w:pPr>
              <w:spacing w:after="0"/>
              <w:rPr>
                <w:sz w:val="17"/>
                <w:szCs w:val="17"/>
                <w:color w:val="auto"/>
              </w:rPr>
            </w:pPr>
          </w:p>
        </w:tc>
        <w:tc>
          <w:tcPr>
            <w:tcW w:w="32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3,156,654</w:t>
            </w:r>
          </w:p>
        </w:tc>
      </w:tr>
      <w:tr>
        <w:trPr>
          <w:trHeight w:val="209"/>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Lucian Boldea</w:t>
            </w: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75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3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r>
      <w:tr>
        <w:trPr>
          <w:trHeight w:val="203"/>
        </w:trPr>
        <w:tc>
          <w:tcPr>
            <w:tcW w:w="75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939598"/>
            </w:tcBorders>
          </w:tcPr>
          <w:p>
            <w:pPr>
              <w:spacing w:after="0"/>
              <w:rPr>
                <w:sz w:val="17"/>
                <w:szCs w:val="17"/>
                <w:color w:val="auto"/>
              </w:rPr>
            </w:pPr>
          </w:p>
        </w:tc>
        <w:tc>
          <w:tcPr>
            <w:tcW w:w="32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09"/>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17.3</w:t>
            </w:r>
          </w:p>
        </w:tc>
        <w:tc>
          <w:tcPr>
            <w:tcW w:w="3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310,132</w:t>
            </w:r>
          </w:p>
        </w:tc>
      </w:tr>
      <w:tr>
        <w:trPr>
          <w:trHeight w:val="195"/>
        </w:trPr>
        <w:tc>
          <w:tcPr>
            <w:tcW w:w="75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17.3</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222,572</w:t>
            </w:r>
          </w:p>
        </w:tc>
      </w:tr>
      <w:tr>
        <w:trPr>
          <w:trHeight w:val="22"/>
        </w:trPr>
        <w:tc>
          <w:tcPr>
            <w:tcW w:w="7520" w:type="dxa"/>
            <w:vAlign w:val="bottom"/>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3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r>
      <w:tr>
        <w:trPr>
          <w:trHeight w:val="203"/>
        </w:trPr>
        <w:tc>
          <w:tcPr>
            <w:tcW w:w="7520" w:type="dxa"/>
            <w:vAlign w:val="bottom"/>
            <w:tcBorders>
              <w:bottom w:val="single" w:sz="8" w:color="939598"/>
            </w:tcBorders>
          </w:tcPr>
          <w:p>
            <w:pPr>
              <w:spacing w:after="0"/>
              <w:rPr>
                <w:sz w:val="17"/>
                <w:szCs w:val="17"/>
                <w:color w:val="auto"/>
              </w:rPr>
            </w:pP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939598"/>
            </w:tcBorders>
          </w:tcPr>
          <w:p>
            <w:pPr>
              <w:spacing w:after="0"/>
              <w:rPr>
                <w:sz w:val="17"/>
                <w:szCs w:val="17"/>
                <w:color w:val="auto"/>
              </w:rPr>
            </w:pPr>
          </w:p>
        </w:tc>
        <w:tc>
          <w:tcPr>
            <w:tcW w:w="320" w:type="dxa"/>
            <w:vAlign w:val="bottom"/>
            <w:tcBorders>
              <w:bottom w:val="single" w:sz="8" w:color="939598"/>
            </w:tcBorders>
          </w:tcPr>
          <w:p>
            <w:pPr>
              <w:spacing w:after="0"/>
              <w:rPr>
                <w:sz w:val="17"/>
                <w:szCs w:val="17"/>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532,704</w:t>
            </w:r>
          </w:p>
        </w:tc>
      </w:tr>
      <w:tr>
        <w:trPr>
          <w:trHeight w:val="210"/>
        </w:trPr>
        <w:tc>
          <w:tcPr>
            <w:tcW w:w="7520" w:type="dxa"/>
            <w:vAlign w:val="bottom"/>
          </w:tcPr>
          <w:p>
            <w:pPr>
              <w:ind w:left="20"/>
              <w:spacing w:after="0"/>
              <w:rPr>
                <w:sz w:val="20"/>
                <w:szCs w:val="20"/>
                <w:color w:val="auto"/>
              </w:rPr>
            </w:pPr>
            <w:r>
              <w:rPr>
                <w:rFonts w:ascii="Arial" w:cs="Arial" w:eastAsia="Arial" w:hAnsi="Arial"/>
                <w:sz w:val="14"/>
                <w:szCs w:val="14"/>
                <w:b w:val="1"/>
                <w:bCs w:val="1"/>
                <w:color w:val="auto"/>
              </w:rPr>
              <w:t>Darius Adamczyk</w:t>
            </w:r>
          </w:p>
        </w:tc>
        <w:tc>
          <w:tcPr>
            <w:tcW w:w="11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w:t>
            </w:r>
          </w:p>
        </w:tc>
        <w:tc>
          <w:tcPr>
            <w:tcW w:w="1320" w:type="dxa"/>
            <w:vAlign w:val="bottom"/>
            <w:tcBorders>
              <w:bottom w:val="single" w:sz="8" w:color="939598"/>
            </w:tcBorders>
          </w:tcPr>
          <w:p>
            <w:pPr>
              <w:jc w:val="right"/>
              <w:ind w:right="208"/>
              <w:spacing w:after="0"/>
              <w:rPr>
                <w:sz w:val="20"/>
                <w:szCs w:val="20"/>
                <w:color w:val="auto"/>
              </w:rPr>
            </w:pPr>
            <w:r>
              <w:rPr>
                <w:rFonts w:ascii="Arial" w:cs="Arial" w:eastAsia="Arial" w:hAnsi="Arial"/>
                <w:sz w:val="14"/>
                <w:szCs w:val="14"/>
                <w:color w:val="auto"/>
              </w:rPr>
              <w:t>11.7</w:t>
            </w:r>
          </w:p>
        </w:tc>
        <w:tc>
          <w:tcPr>
            <w:tcW w:w="3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209,074</w:t>
            </w:r>
          </w:p>
        </w:tc>
      </w:tr>
      <w:tr>
        <w:trPr>
          <w:trHeight w:val="194"/>
        </w:trPr>
        <w:tc>
          <w:tcPr>
            <w:tcW w:w="75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4"/>
                <w:szCs w:val="14"/>
                <w:color w:val="auto"/>
              </w:rPr>
              <w:t>SERP</w:t>
            </w:r>
          </w:p>
        </w:tc>
        <w:tc>
          <w:tcPr>
            <w:tcW w:w="1320" w:type="dxa"/>
            <w:vAlign w:val="bottom"/>
          </w:tcPr>
          <w:p>
            <w:pPr>
              <w:jc w:val="right"/>
              <w:ind w:right="208"/>
              <w:spacing w:after="0"/>
              <w:rPr>
                <w:sz w:val="20"/>
                <w:szCs w:val="20"/>
                <w:color w:val="auto"/>
              </w:rPr>
            </w:pPr>
            <w:r>
              <w:rPr>
                <w:rFonts w:ascii="Arial" w:cs="Arial" w:eastAsia="Arial" w:hAnsi="Arial"/>
                <w:sz w:val="14"/>
                <w:szCs w:val="14"/>
                <w:color w:val="auto"/>
              </w:rPr>
              <w:t>15.5</w:t>
            </w:r>
          </w:p>
        </w:tc>
        <w:tc>
          <w:tcPr>
            <w:tcW w:w="3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4,828,076</w:t>
            </w:r>
          </w:p>
        </w:tc>
      </w:tr>
      <w:tr>
        <w:trPr>
          <w:trHeight w:val="22"/>
        </w:trPr>
        <w:tc>
          <w:tcPr>
            <w:tcW w:w="7520" w:type="dxa"/>
            <w:vAlign w:val="bottom"/>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3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40" w:type="dxa"/>
            <w:vAlign w:val="bottom"/>
            <w:tcBorders>
              <w:bottom w:val="single" w:sz="8" w:color="939598"/>
            </w:tcBorders>
          </w:tcPr>
          <w:p>
            <w:pPr>
              <w:spacing w:after="0" w:line="20" w:lineRule="exact"/>
              <w:rPr>
                <w:sz w:val="1"/>
                <w:szCs w:val="1"/>
                <w:color w:val="auto"/>
              </w:rPr>
            </w:pPr>
          </w:p>
        </w:tc>
      </w:tr>
      <w:tr>
        <w:trPr>
          <w:trHeight w:val="203"/>
        </w:trPr>
        <w:tc>
          <w:tcPr>
            <w:tcW w:w="75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5,037,150</w:t>
            </w:r>
          </w:p>
        </w:tc>
      </w:tr>
    </w:tbl>
    <w:p>
      <w:pPr>
        <w:spacing w:after="0" w:line="144" w:lineRule="exact"/>
        <w:rPr>
          <w:sz w:val="20"/>
          <w:szCs w:val="20"/>
          <w:color w:val="auto"/>
        </w:rPr>
      </w:pPr>
    </w:p>
    <w:p>
      <w:pPr>
        <w:ind w:left="200" w:right="100" w:hanging="192"/>
        <w:spacing w:after="0" w:line="226" w:lineRule="auto"/>
        <w:tabs>
          <w:tab w:leader="none" w:pos="200" w:val="left"/>
        </w:tabs>
        <w:numPr>
          <w:ilvl w:val="0"/>
          <w:numId w:val="182"/>
        </w:numPr>
        <w:rPr>
          <w:rFonts w:ascii="Arial" w:cs="Arial" w:eastAsia="Arial" w:hAnsi="Arial"/>
          <w:sz w:val="16"/>
          <w:szCs w:val="16"/>
          <w:color w:val="auto"/>
          <w:vertAlign w:val="superscript"/>
        </w:rPr>
      </w:pPr>
      <w:r>
        <w:rPr>
          <w:rFonts w:ascii="Arial" w:cs="Arial" w:eastAsia="Arial" w:hAnsi="Arial"/>
          <w:sz w:val="13"/>
          <w:szCs w:val="13"/>
          <w:color w:val="auto"/>
        </w:rPr>
        <w:t>The present value of the accumulated retirement benefit for each Named Executive Officer is calculated as the lump sum available from the retirement earnings formula at December 31, 2023 using a 4.97% discount rate and projected PRI-2012 mortality.</w:t>
      </w:r>
    </w:p>
    <w:p>
      <w:pPr>
        <w:spacing w:after="0" w:line="9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The SERP and REP benefits depend on the length of each Named Executive Officer’s employment with Honeywell (and companies that have been acquired by Honeywell). This information is provided in the table above under the column titled “Number of Years of Credited Service.” The column in the table above titled “Present Value of Accumulated Benefits” represents a financial calculation that estimates the cash value today of the full pension benefit that has been earned by each Named Executive Officer. It is based on various assumptions, including assumptions about how long each Named Executive Officer will live and future interest rates. Additional details about the pension benefits for each Named Executive Officer include:</w:t>
      </w:r>
    </w:p>
    <w:p>
      <w:pPr>
        <w:spacing w:after="0" w:line="64" w:lineRule="exact"/>
        <w:rPr>
          <w:sz w:val="20"/>
          <w:szCs w:val="20"/>
          <w:color w:val="auto"/>
        </w:rPr>
      </w:pPr>
    </w:p>
    <w:p>
      <w:pPr>
        <w:ind w:left="200" w:hanging="192"/>
        <w:spacing w:after="0"/>
        <w:tabs>
          <w:tab w:leader="none" w:pos="200" w:val="left"/>
        </w:tabs>
        <w:numPr>
          <w:ilvl w:val="0"/>
          <w:numId w:val="183"/>
        </w:numPr>
        <w:rPr>
          <w:rFonts w:ascii="Arial" w:cs="Arial" w:eastAsia="Arial" w:hAnsi="Arial"/>
          <w:sz w:val="16"/>
          <w:szCs w:val="16"/>
          <w:b w:val="1"/>
          <w:bCs w:val="1"/>
          <w:color w:val="D7282F"/>
        </w:rPr>
      </w:pPr>
      <w:r>
        <w:rPr>
          <w:rFonts w:ascii="Arial" w:cs="Arial" w:eastAsia="Arial" w:hAnsi="Arial"/>
          <w:sz w:val="16"/>
          <w:szCs w:val="16"/>
          <w:color w:val="auto"/>
        </w:rPr>
        <w:t>The REP is a tax-qualified pension plan in which a large portion of Honeywell’s U.S. employees participate.</w:t>
      </w:r>
    </w:p>
    <w:p>
      <w:pPr>
        <w:spacing w:after="0" w:line="86" w:lineRule="exact"/>
        <w:rPr>
          <w:rFonts w:ascii="Arial" w:cs="Arial" w:eastAsia="Arial" w:hAnsi="Arial"/>
          <w:sz w:val="16"/>
          <w:szCs w:val="16"/>
          <w:b w:val="1"/>
          <w:bCs w:val="1"/>
          <w:color w:val="D7282F"/>
        </w:rPr>
      </w:pPr>
    </w:p>
    <w:p>
      <w:pPr>
        <w:ind w:left="200" w:right="220" w:hanging="192"/>
        <w:spacing w:after="0" w:line="265" w:lineRule="auto"/>
        <w:tabs>
          <w:tab w:leader="none" w:pos="197" w:val="left"/>
        </w:tabs>
        <w:numPr>
          <w:ilvl w:val="0"/>
          <w:numId w:val="183"/>
        </w:numPr>
        <w:rPr>
          <w:rFonts w:ascii="Arial" w:cs="Arial" w:eastAsia="Arial" w:hAnsi="Arial"/>
          <w:sz w:val="16"/>
          <w:szCs w:val="16"/>
          <w:b w:val="1"/>
          <w:bCs w:val="1"/>
          <w:color w:val="D7282F"/>
        </w:rPr>
      </w:pPr>
      <w:r>
        <w:rPr>
          <w:rFonts w:ascii="Arial" w:cs="Arial" w:eastAsia="Arial" w:hAnsi="Arial"/>
          <w:sz w:val="16"/>
          <w:szCs w:val="16"/>
          <w:color w:val="auto"/>
        </w:rPr>
        <w:t>The REP complies with tax requirements applicable to broad-based pension plans, which impose dollar limits on the amount of benefits that can be provided. As a result, the pensions that can be paid under the REP for higher-paid employees represent a much smaller fraction of current income than the pensions that can be paid to less highly paid employees. We make up for this difference, in part, by providing supplemental pensions through the SERP.</w:t>
      </w:r>
    </w:p>
    <w:p>
      <w:pPr>
        <w:spacing w:after="0" w:line="37" w:lineRule="exact"/>
        <w:rPr>
          <w:rFonts w:ascii="Arial" w:cs="Arial" w:eastAsia="Arial" w:hAnsi="Arial"/>
          <w:sz w:val="16"/>
          <w:szCs w:val="16"/>
          <w:b w:val="1"/>
          <w:bCs w:val="1"/>
          <w:color w:val="D7282F"/>
        </w:rPr>
      </w:pPr>
    </w:p>
    <w:p>
      <w:pPr>
        <w:ind w:left="200" w:right="240" w:hanging="192"/>
        <w:spacing w:after="0" w:line="286" w:lineRule="auto"/>
        <w:tabs>
          <w:tab w:leader="none" w:pos="197" w:val="left"/>
        </w:tabs>
        <w:numPr>
          <w:ilvl w:val="0"/>
          <w:numId w:val="183"/>
        </w:numPr>
        <w:rPr>
          <w:rFonts w:ascii="Arial" w:cs="Arial" w:eastAsia="Arial" w:hAnsi="Arial"/>
          <w:sz w:val="16"/>
          <w:szCs w:val="16"/>
          <w:b w:val="1"/>
          <w:bCs w:val="1"/>
          <w:color w:val="D7282F"/>
        </w:rPr>
      </w:pPr>
      <w:r>
        <w:rPr>
          <w:rFonts w:ascii="Arial" w:cs="Arial" w:eastAsia="Arial" w:hAnsi="Arial"/>
          <w:sz w:val="16"/>
          <w:szCs w:val="16"/>
          <w:color w:val="auto"/>
        </w:rPr>
        <w:t>All SERP benefits will be paid on the first day of the first month that begins following the 105th day after the later of the officer’s separation from service (as that term is defined in Internal Revenue Code Section 409A) or his or her earliest retirement date.</w:t>
      </w:r>
    </w:p>
    <w:p>
      <w:pPr>
        <w:spacing w:after="0" w:line="20" w:lineRule="exact"/>
        <w:rPr>
          <w:rFonts w:ascii="Arial" w:cs="Arial" w:eastAsia="Arial" w:hAnsi="Arial"/>
          <w:sz w:val="16"/>
          <w:szCs w:val="16"/>
          <w:b w:val="1"/>
          <w:bCs w:val="1"/>
          <w:color w:val="D7282F"/>
        </w:rPr>
      </w:pPr>
    </w:p>
    <w:p>
      <w:pPr>
        <w:ind w:left="200" w:right="400" w:hanging="192"/>
        <w:spacing w:after="0" w:line="286" w:lineRule="auto"/>
        <w:tabs>
          <w:tab w:leader="none" w:pos="197" w:val="left"/>
        </w:tabs>
        <w:numPr>
          <w:ilvl w:val="0"/>
          <w:numId w:val="183"/>
        </w:numPr>
        <w:rPr>
          <w:rFonts w:ascii="Arial" w:cs="Arial" w:eastAsia="Arial" w:hAnsi="Arial"/>
          <w:sz w:val="16"/>
          <w:szCs w:val="16"/>
          <w:b w:val="1"/>
          <w:bCs w:val="1"/>
          <w:color w:val="D7282F"/>
        </w:rPr>
      </w:pPr>
      <w:r>
        <w:rPr>
          <w:rFonts w:ascii="Arial" w:cs="Arial" w:eastAsia="Arial" w:hAnsi="Arial"/>
          <w:sz w:val="16"/>
          <w:szCs w:val="16"/>
          <w:color w:val="auto"/>
        </w:rPr>
        <w:t>Mr. Boldea is not eligible to receive a pension benefit from Honeywell based on his hire date and, therefore, he does not participate in the REP or the SERP.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PENSION BENEFIT CALCULATION FORMULAS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Within the REP and the SERP, a variety of formulas are used to determine pension benefits. Different benefit formulas apply for different groups of Company employees for historical reasons. The explanation below describes the formulas that are used to determine the amount of pension benefits for each of the Company’s participating Named Executive Officers (NEOs) under the REP and the SERP.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Name of Formula</w:t>
            </w:r>
          </w:p>
        </w:tc>
        <w:tc>
          <w:tcPr>
            <w:tcW w:w="9580" w:type="dxa"/>
            <w:vAlign w:val="bottom"/>
            <w:tcBorders>
              <w:bottom w:val="single" w:sz="8" w:color="D7282F"/>
            </w:tcBorders>
          </w:tcPr>
          <w:p>
            <w:pPr>
              <w:ind w:left="440"/>
              <w:spacing w:after="0"/>
              <w:rPr>
                <w:sz w:val="20"/>
                <w:szCs w:val="20"/>
                <w:color w:val="auto"/>
              </w:rPr>
            </w:pPr>
            <w:r>
              <w:rPr>
                <w:rFonts w:ascii="Arial" w:cs="Arial" w:eastAsia="Arial" w:hAnsi="Arial"/>
                <w:sz w:val="14"/>
                <w:szCs w:val="14"/>
                <w:b w:val="1"/>
                <w:bCs w:val="1"/>
                <w:color w:val="auto"/>
              </w:rPr>
              <w:t>Benefit Calculation</w:t>
            </w:r>
          </w:p>
        </w:tc>
      </w:tr>
      <w:tr>
        <w:trPr>
          <w:trHeight w:val="215"/>
        </w:trPr>
        <w:tc>
          <w:tcPr>
            <w:tcW w:w="1640" w:type="dxa"/>
            <w:vAlign w:val="bottom"/>
          </w:tcPr>
          <w:p>
            <w:pPr>
              <w:ind w:left="20"/>
              <w:spacing w:after="0"/>
              <w:rPr>
                <w:sz w:val="20"/>
                <w:szCs w:val="20"/>
                <w:color w:val="auto"/>
              </w:rPr>
            </w:pPr>
            <w:r>
              <w:rPr>
                <w:rFonts w:ascii="Arial" w:cs="Arial" w:eastAsia="Arial" w:hAnsi="Arial"/>
                <w:sz w:val="16"/>
                <w:szCs w:val="16"/>
                <w:b w:val="1"/>
                <w:bCs w:val="1"/>
                <w:color w:val="auto"/>
              </w:rPr>
              <w:t>REP</w:t>
            </w:r>
          </w:p>
        </w:tc>
        <w:tc>
          <w:tcPr>
            <w:tcW w:w="9580" w:type="dxa"/>
            <w:vAlign w:val="bottom"/>
          </w:tcPr>
          <w:p>
            <w:pPr>
              <w:ind w:left="4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Lump sum equal to (1) 6% of final average compensation (annual average compensation for the five calendar years out of</w:t>
            </w:r>
          </w:p>
        </w:tc>
      </w:tr>
      <w:tr>
        <w:trPr>
          <w:trHeight w:val="224"/>
        </w:trPr>
        <w:tc>
          <w:tcPr>
            <w:tcW w:w="1640" w:type="dxa"/>
            <w:vAlign w:val="bottom"/>
            <w:tcBorders>
              <w:bottom w:val="single" w:sz="8" w:color="D7282F"/>
            </w:tcBorders>
          </w:tcPr>
          <w:p>
            <w:pPr>
              <w:spacing w:after="0"/>
              <w:rPr>
                <w:sz w:val="19"/>
                <w:szCs w:val="19"/>
                <w:color w:val="auto"/>
              </w:rPr>
            </w:pPr>
          </w:p>
        </w:tc>
        <w:tc>
          <w:tcPr>
            <w:tcW w:w="9580" w:type="dxa"/>
            <w:vAlign w:val="bottom"/>
            <w:tcBorders>
              <w:bottom w:val="single" w:sz="8" w:color="D7282F"/>
            </w:tcBorders>
          </w:tcPr>
          <w:p>
            <w:pPr>
              <w:ind w:left="640"/>
              <w:spacing w:after="0"/>
              <w:rPr>
                <w:sz w:val="20"/>
                <w:szCs w:val="20"/>
                <w:color w:val="auto"/>
              </w:rPr>
            </w:pPr>
            <w:r>
              <w:rPr>
                <w:rFonts w:ascii="Arial" w:cs="Arial" w:eastAsia="Arial" w:hAnsi="Arial"/>
                <w:sz w:val="16"/>
                <w:szCs w:val="16"/>
                <w:color w:val="auto"/>
              </w:rPr>
              <w:t>the previous 10 calendar years that produces highest average) times (2) credited service.</w:t>
            </w:r>
          </w:p>
        </w:tc>
      </w:tr>
    </w:tbl>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the REP formula, compensation includes base pay, short-term incentive compensation, payroll-based rewards and recognition, and lump sum incentives. Annual incentive compensation is included in the year paid. The amount of compensation taken into account under the REP is limited by tax rules, but the amount of compensation taken into account under the SERP is not.</w:t>
      </w:r>
    </w:p>
    <w:p>
      <w:pPr>
        <w:spacing w:after="0" w:line="56"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REP formula describes the pension benefits in terms of a lump sum cash payment. Participants are entitled to receive their benefits in other payment forms, including, for example, joint and survivor annuities. However, the value of each available payment form is the same.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describes which formulas are applicable to each of our NEOs.</w:t>
      </w:r>
    </w:p>
    <w:p>
      <w:pPr>
        <w:spacing w:after="0" w:line="172"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4"/>
          <w:szCs w:val="14"/>
          <w:b w:val="1"/>
          <w:bCs w:val="1"/>
          <w:color w:val="auto"/>
        </w:rPr>
        <w:t>Name/Formula</w:t>
      </w:r>
      <w:r>
        <w:rPr>
          <w:sz w:val="20"/>
          <w:szCs w:val="20"/>
          <w:color w:val="auto"/>
        </w:rPr>
        <w:tab/>
      </w:r>
      <w:r>
        <w:rPr>
          <w:rFonts w:ascii="Arial" w:cs="Arial" w:eastAsia="Arial" w:hAnsi="Arial"/>
          <w:sz w:val="14"/>
          <w:szCs w:val="14"/>
          <w:b w:val="1"/>
          <w:bCs w:val="1"/>
          <w:color w:val="auto"/>
        </w:rPr>
        <w:t>Description of Total 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Vimal Kapur</w:t>
      </w:r>
    </w:p>
    <w:p>
      <w:pPr>
        <w:spacing w:after="0" w:line="2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color w:val="auto"/>
        </w:rPr>
        <w:t>Total pension benefit = REP formula benefits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99" w:hanging="199"/>
        <w:spacing w:after="0"/>
        <w:tabs>
          <w:tab w:leader="none" w:pos="199" w:val="left"/>
        </w:tabs>
        <w:numPr>
          <w:ilvl w:val="0"/>
          <w:numId w:val="184"/>
        </w:numPr>
        <w:rPr>
          <w:rFonts w:ascii="Arial" w:cs="Arial" w:eastAsia="Arial" w:hAnsi="Arial"/>
          <w:sz w:val="16"/>
          <w:szCs w:val="16"/>
          <w:b w:val="1"/>
          <w:bCs w:val="1"/>
          <w:color w:val="D7282F"/>
        </w:rPr>
      </w:pPr>
      <w:r>
        <w:rPr>
          <w:rFonts w:ascii="Arial" w:cs="Arial" w:eastAsia="Arial" w:hAnsi="Arial"/>
          <w:sz w:val="16"/>
          <w:szCs w:val="16"/>
          <w:color w:val="auto"/>
        </w:rPr>
        <w:t>Mr. Kapur's pension benefits under the REP and the SERP are determined under the REP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286385</wp:posOffset>
            </wp:positionV>
            <wp:extent cx="712343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04" w:lineRule="exact"/>
        <w:rPr>
          <w:sz w:val="20"/>
          <w:szCs w:val="20"/>
          <w:color w:val="auto"/>
        </w:rPr>
      </w:pPr>
    </w:p>
    <w:p>
      <w:pPr>
        <w:sectPr>
          <w:pgSz w:w="11900" w:h="16838" w:orient="portrait"/>
          <w:cols w:equalWidth="0" w:num="2">
            <w:col w:w="2620" w:space="521"/>
            <w:col w:w="8099"/>
          </w:cols>
          <w:pgMar w:left="320" w:top="23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Gregory P. Lewis</w:t>
            </w:r>
          </w:p>
        </w:tc>
        <w:tc>
          <w:tcPr>
            <w:tcW w:w="8340" w:type="dxa"/>
            <w:vAlign w:val="bottom"/>
          </w:tcPr>
          <w:p>
            <w:pPr>
              <w:ind w:left="2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Mr. Lewis’ pension benefits under the REP and the SERP are determined under the REP formula.</w:t>
            </w: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color w:val="auto"/>
              </w:rPr>
              <w:t>Total pension benefit = REP formula</w:t>
            </w:r>
          </w:p>
        </w:tc>
        <w:tc>
          <w:tcPr>
            <w:tcW w:w="8340" w:type="dxa"/>
            <w:vAlign w:val="bottom"/>
          </w:tcPr>
          <w:p>
            <w:pPr>
              <w:spacing w:after="0"/>
              <w:rPr>
                <w:sz w:val="16"/>
                <w:szCs w:val="16"/>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benefits</w:t>
            </w:r>
          </w:p>
        </w:tc>
        <w:tc>
          <w:tcPr>
            <w:tcW w:w="8340" w:type="dxa"/>
            <w:vAlign w:val="bottom"/>
          </w:tcPr>
          <w:p>
            <w:pPr>
              <w:spacing w:after="0"/>
              <w:rPr>
                <w:sz w:val="18"/>
                <w:szCs w:val="18"/>
                <w:color w:val="auto"/>
              </w:rPr>
            </w:pPr>
          </w:p>
        </w:tc>
      </w:tr>
      <w:tr>
        <w:trPr>
          <w:trHeight w:val="43"/>
        </w:trPr>
        <w:tc>
          <w:tcPr>
            <w:tcW w:w="2880" w:type="dxa"/>
            <w:vAlign w:val="bottom"/>
            <w:tcBorders>
              <w:bottom w:val="single" w:sz="8" w:color="939598"/>
            </w:tcBorders>
          </w:tcPr>
          <w:p>
            <w:pPr>
              <w:spacing w:after="0"/>
              <w:rPr>
                <w:sz w:val="3"/>
                <w:szCs w:val="3"/>
                <w:color w:val="auto"/>
              </w:rPr>
            </w:pPr>
          </w:p>
        </w:tc>
        <w:tc>
          <w:tcPr>
            <w:tcW w:w="8340" w:type="dxa"/>
            <w:vAlign w:val="bottom"/>
            <w:tcBorders>
              <w:bottom w:val="single" w:sz="8" w:color="939598"/>
            </w:tcBorders>
          </w:tcPr>
          <w:p>
            <w:pPr>
              <w:spacing w:after="0"/>
              <w:rPr>
                <w:sz w:val="3"/>
                <w:szCs w:val="3"/>
                <w:color w:val="auto"/>
              </w:rPr>
            </w:pPr>
          </w:p>
        </w:tc>
      </w:tr>
      <w:tr>
        <w:trPr>
          <w:trHeight w:val="222"/>
        </w:trPr>
        <w:tc>
          <w:tcPr>
            <w:tcW w:w="2880" w:type="dxa"/>
            <w:vAlign w:val="bottom"/>
          </w:tcPr>
          <w:p>
            <w:pPr>
              <w:ind w:left="20"/>
              <w:spacing w:after="0"/>
              <w:rPr>
                <w:sz w:val="20"/>
                <w:szCs w:val="20"/>
                <w:color w:val="auto"/>
              </w:rPr>
            </w:pPr>
            <w:r>
              <w:rPr>
                <w:rFonts w:ascii="Arial" w:cs="Arial" w:eastAsia="Arial" w:hAnsi="Arial"/>
                <w:sz w:val="16"/>
                <w:szCs w:val="16"/>
                <w:b w:val="1"/>
                <w:bCs w:val="1"/>
                <w:color w:val="auto"/>
              </w:rPr>
              <w:t>Anne T. Madden</w:t>
            </w:r>
          </w:p>
        </w:tc>
        <w:tc>
          <w:tcPr>
            <w:tcW w:w="8340" w:type="dxa"/>
            <w:vAlign w:val="bottom"/>
          </w:tcPr>
          <w:p>
            <w:pPr>
              <w:ind w:left="2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Ms. Madden’s pension benefits under the REP and the SERP are determined under the REP formula.</w:t>
            </w:r>
          </w:p>
        </w:tc>
      </w:tr>
      <w:tr>
        <w:trPr>
          <w:trHeight w:val="189"/>
        </w:trPr>
        <w:tc>
          <w:tcPr>
            <w:tcW w:w="2880" w:type="dxa"/>
            <w:vAlign w:val="bottom"/>
          </w:tcPr>
          <w:p>
            <w:pPr>
              <w:ind w:left="20"/>
              <w:spacing w:after="0"/>
              <w:rPr>
                <w:sz w:val="20"/>
                <w:szCs w:val="20"/>
                <w:color w:val="auto"/>
              </w:rPr>
            </w:pPr>
            <w:r>
              <w:rPr>
                <w:rFonts w:ascii="Arial" w:cs="Arial" w:eastAsia="Arial" w:hAnsi="Arial"/>
                <w:sz w:val="16"/>
                <w:szCs w:val="16"/>
                <w:color w:val="auto"/>
              </w:rPr>
              <w:t>Total pension benefit = REP formula</w:t>
            </w:r>
          </w:p>
        </w:tc>
        <w:tc>
          <w:tcPr>
            <w:tcW w:w="8340" w:type="dxa"/>
            <w:vAlign w:val="bottom"/>
          </w:tcPr>
          <w:p>
            <w:pPr>
              <w:spacing w:after="0"/>
              <w:rPr>
                <w:sz w:val="16"/>
                <w:szCs w:val="16"/>
                <w:color w:val="auto"/>
              </w:rPr>
            </w:pPr>
          </w:p>
        </w:tc>
      </w:tr>
      <w:tr>
        <w:trPr>
          <w:trHeight w:val="215"/>
        </w:trPr>
        <w:tc>
          <w:tcPr>
            <w:tcW w:w="2880" w:type="dxa"/>
            <w:vAlign w:val="bottom"/>
          </w:tcPr>
          <w:p>
            <w:pPr>
              <w:ind w:left="20"/>
              <w:spacing w:after="0"/>
              <w:rPr>
                <w:sz w:val="20"/>
                <w:szCs w:val="20"/>
                <w:color w:val="auto"/>
              </w:rPr>
            </w:pPr>
            <w:r>
              <w:rPr>
                <w:rFonts w:ascii="Arial" w:cs="Arial" w:eastAsia="Arial" w:hAnsi="Arial"/>
                <w:sz w:val="16"/>
                <w:szCs w:val="16"/>
                <w:color w:val="auto"/>
              </w:rPr>
              <w:t>benefits</w:t>
            </w:r>
          </w:p>
        </w:tc>
        <w:tc>
          <w:tcPr>
            <w:tcW w:w="8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2343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James Currier</w:t>
      </w:r>
    </w:p>
    <w:p>
      <w:pPr>
        <w:spacing w:after="0" w:line="21" w:lineRule="exact"/>
        <w:rPr>
          <w:sz w:val="20"/>
          <w:szCs w:val="20"/>
          <w:color w:val="auto"/>
        </w:rPr>
      </w:pPr>
    </w:p>
    <w:p>
      <w:pPr>
        <w:ind w:left="20"/>
        <w:spacing w:after="0" w:line="265" w:lineRule="auto"/>
        <w:rPr>
          <w:sz w:val="20"/>
          <w:szCs w:val="20"/>
          <w:color w:val="auto"/>
        </w:rPr>
      </w:pPr>
      <w:r>
        <w:rPr>
          <w:rFonts w:ascii="Arial" w:cs="Arial" w:eastAsia="Arial" w:hAnsi="Arial"/>
          <w:sz w:val="16"/>
          <w:szCs w:val="16"/>
          <w:color w:val="auto"/>
        </w:rPr>
        <w:t>Total pension benefit = REP formula benefits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99" w:hanging="199"/>
        <w:spacing w:after="0"/>
        <w:tabs>
          <w:tab w:leader="none" w:pos="199" w:val="left"/>
        </w:tabs>
        <w:numPr>
          <w:ilvl w:val="0"/>
          <w:numId w:val="185"/>
        </w:numPr>
        <w:rPr>
          <w:rFonts w:ascii="Arial" w:cs="Arial" w:eastAsia="Arial" w:hAnsi="Arial"/>
          <w:sz w:val="16"/>
          <w:szCs w:val="16"/>
          <w:b w:val="1"/>
          <w:bCs w:val="1"/>
          <w:color w:val="D7282F"/>
        </w:rPr>
      </w:pPr>
      <w:r>
        <w:rPr>
          <w:rFonts w:ascii="Arial" w:cs="Arial" w:eastAsia="Arial" w:hAnsi="Arial"/>
          <w:sz w:val="16"/>
          <w:szCs w:val="16"/>
          <w:color w:val="auto"/>
        </w:rPr>
        <w:t>Mr. Currier’s pension benefits under the REP and the SERP are determined under the REP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286385</wp:posOffset>
            </wp:positionV>
            <wp:extent cx="712343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04" w:lineRule="exact"/>
        <w:rPr>
          <w:sz w:val="20"/>
          <w:szCs w:val="20"/>
          <w:color w:val="auto"/>
        </w:rPr>
      </w:pPr>
    </w:p>
    <w:p>
      <w:pPr>
        <w:sectPr>
          <w:pgSz w:w="11900" w:h="16838" w:orient="portrait"/>
          <w:cols w:equalWidth="0" w:num="2">
            <w:col w:w="2620" w:space="521"/>
            <w:col w:w="8099"/>
          </w:cols>
          <w:pgMar w:left="320" w:top="230"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520" w:type="dxa"/>
            <w:vAlign w:val="bottom"/>
          </w:tcPr>
          <w:p>
            <w:pPr>
              <w:ind w:left="20"/>
              <w:spacing w:after="0"/>
              <w:rPr>
                <w:sz w:val="20"/>
                <w:szCs w:val="20"/>
                <w:color w:val="auto"/>
              </w:rPr>
            </w:pPr>
            <w:r>
              <w:rPr>
                <w:rFonts w:ascii="Arial" w:cs="Arial" w:eastAsia="Arial" w:hAnsi="Arial"/>
                <w:sz w:val="16"/>
                <w:szCs w:val="16"/>
                <w:b w:val="1"/>
                <w:bCs w:val="1"/>
                <w:color w:val="auto"/>
              </w:rPr>
              <w:t>Darius Adamczyk</w:t>
            </w:r>
          </w:p>
        </w:tc>
        <w:tc>
          <w:tcPr>
            <w:tcW w:w="1360" w:type="dxa"/>
            <w:vAlign w:val="bottom"/>
          </w:tcPr>
          <w:p>
            <w:pPr>
              <w:spacing w:after="0"/>
              <w:rPr>
                <w:sz w:val="16"/>
                <w:szCs w:val="16"/>
                <w:color w:val="auto"/>
              </w:rPr>
            </w:pPr>
          </w:p>
        </w:tc>
        <w:tc>
          <w:tcPr>
            <w:tcW w:w="8360" w:type="dxa"/>
            <w:vAlign w:val="bottom"/>
            <w:gridSpan w:val="2"/>
          </w:tcPr>
          <w:p>
            <w:pPr>
              <w:ind w:left="26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Mr. Adamczyk’s pension benefits under the REP and the SERP are determined under the REP formula, with</w:t>
            </w: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Total pension benefit = REP formula</w:t>
            </w:r>
          </w:p>
        </w:tc>
        <w:tc>
          <w:tcPr>
            <w:tcW w:w="8360" w:type="dxa"/>
            <w:vAlign w:val="bottom"/>
            <w:gridSpan w:val="2"/>
          </w:tcPr>
          <w:p>
            <w:pPr>
              <w:ind w:left="460"/>
              <w:spacing w:after="0"/>
              <w:rPr>
                <w:sz w:val="20"/>
                <w:szCs w:val="20"/>
                <w:color w:val="auto"/>
              </w:rPr>
            </w:pPr>
            <w:r>
              <w:rPr>
                <w:rFonts w:ascii="Arial" w:cs="Arial" w:eastAsia="Arial" w:hAnsi="Arial"/>
                <w:sz w:val="16"/>
                <w:szCs w:val="16"/>
                <w:color w:val="auto"/>
              </w:rPr>
              <w:t>the SERP benefit calculated using all his Honeywell employment as credited service.</w:t>
            </w:r>
          </w:p>
        </w:tc>
      </w:tr>
      <w:tr>
        <w:trPr>
          <w:trHeight w:val="215"/>
        </w:trPr>
        <w:tc>
          <w:tcPr>
            <w:tcW w:w="1520" w:type="dxa"/>
            <w:vAlign w:val="bottom"/>
          </w:tcPr>
          <w:p>
            <w:pPr>
              <w:ind w:left="20"/>
              <w:spacing w:after="0"/>
              <w:rPr>
                <w:sz w:val="20"/>
                <w:szCs w:val="20"/>
                <w:color w:val="auto"/>
              </w:rPr>
            </w:pPr>
            <w:r>
              <w:rPr>
                <w:rFonts w:ascii="Arial" w:cs="Arial" w:eastAsia="Arial" w:hAnsi="Arial"/>
                <w:sz w:val="16"/>
                <w:szCs w:val="16"/>
                <w:color w:val="auto"/>
              </w:rPr>
              <w:t>benefits</w:t>
            </w:r>
          </w:p>
        </w:tc>
        <w:tc>
          <w:tcPr>
            <w:tcW w:w="13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
        </w:trPr>
        <w:tc>
          <w:tcPr>
            <w:tcW w:w="1520" w:type="dxa"/>
            <w:vAlign w:val="bottom"/>
            <w:tcBorders>
              <w:bottom w:val="single" w:sz="8" w:color="D7282F"/>
            </w:tcBorders>
          </w:tcPr>
          <w:p>
            <w:pPr>
              <w:spacing w:after="0"/>
              <w:rPr>
                <w:sz w:val="3"/>
                <w:szCs w:val="3"/>
                <w:color w:val="auto"/>
              </w:rPr>
            </w:pPr>
          </w:p>
        </w:tc>
        <w:tc>
          <w:tcPr>
            <w:tcW w:w="9700" w:type="dxa"/>
            <w:vAlign w:val="bottom"/>
            <w:tcBorders>
              <w:bottom w:val="single" w:sz="8" w:color="D7282F"/>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586"/>
        </w:trPr>
        <w:tc>
          <w:tcPr>
            <w:tcW w:w="1520" w:type="dxa"/>
            <w:vAlign w:val="bottom"/>
          </w:tcPr>
          <w:p>
            <w:pPr>
              <w:ind w:left="20"/>
              <w:spacing w:after="0"/>
              <w:rPr>
                <w:sz w:val="20"/>
                <w:szCs w:val="20"/>
                <w:color w:val="auto"/>
              </w:rPr>
            </w:pPr>
            <w:r>
              <w:rPr>
                <w:rFonts w:ascii="Arial" w:cs="Arial" w:eastAsia="Arial" w:hAnsi="Arial"/>
                <w:sz w:val="18"/>
                <w:szCs w:val="18"/>
                <w:b w:val="1"/>
                <w:bCs w:val="1"/>
                <w:color w:val="auto"/>
              </w:rPr>
              <w:t>88</w:t>
            </w:r>
          </w:p>
        </w:tc>
        <w:tc>
          <w:tcPr>
            <w:tcW w:w="9720" w:type="dxa"/>
            <w:vAlign w:val="bottom"/>
            <w:gridSpan w:val="3"/>
          </w:tcPr>
          <w:p>
            <w:pPr>
              <w:ind w:left="120"/>
              <w:spacing w:after="0"/>
              <w:rPr>
                <w:sz w:val="20"/>
                <w:szCs w:val="20"/>
                <w:color w:val="auto"/>
              </w:rPr>
            </w:pPr>
            <w:r>
              <w:rPr>
                <w:rFonts w:ascii="Arial" w:cs="Arial" w:eastAsia="Arial" w:hAnsi="Arial"/>
                <w:sz w:val="13"/>
                <w:szCs w:val="13"/>
                <w:b w:val="1"/>
                <w:bCs w:val="1"/>
                <w:color w:val="6D6E71"/>
              </w:rPr>
              <w:t>|   2024 NOTICE AND PROXY STATEMENT</w:t>
            </w:r>
          </w:p>
        </w:tc>
      </w:tr>
      <w:tr>
        <w:trPr>
          <w:trHeight w:val="373"/>
        </w:trPr>
        <w:tc>
          <w:tcPr>
            <w:tcW w:w="1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548640" cy="10287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 FISCAL YEAR 2023</w:t>
      </w:r>
    </w:p>
    <w:p>
      <w:pPr>
        <w:spacing w:after="0" w:line="114"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Honeywell limits deferred compensation amounts owed to executives by having the interest rate accruing on deferrals under the Honeywell Excess Benefit Plan, the Honeywell Supplemental Savings Plan (the SS Plan), and the Honeywell Deferred Incentive Plan (the DIC Plan) be a rate that changes annually based on the Company’s 15-year cost of borrowing, and requiring payment of the SS Plan or DIC Plan deferrals to begin shortly after termination of employment in a lump sum unless the participant leaves the Company after reaching retirement (age 55 with 10 years of service). In addition, cash dividend equivalents on vested deferred RSUs cannot be deferred and dividend equivalents on unvested RSUs are reinvested in additional RSUs and subject to the same vesting schedule as the underlying RSUs.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Named Executive</w:t>
            </w:r>
          </w:p>
        </w:tc>
        <w:tc>
          <w:tcPr>
            <w:tcW w:w="1600" w:type="dxa"/>
            <w:vAlign w:val="bottom"/>
          </w:tcPr>
          <w:p>
            <w:pPr>
              <w:spacing w:after="0"/>
              <w:rPr>
                <w:sz w:val="15"/>
                <w:szCs w:val="15"/>
                <w:color w:val="auto"/>
              </w:rPr>
            </w:pP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Executive</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Registrant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Aggregate</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74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700" w:type="dxa"/>
            <w:vAlign w:val="bottom"/>
          </w:tcPr>
          <w:p>
            <w:pPr>
              <w:jc w:val="right"/>
              <w:ind w:right="188"/>
              <w:spacing w:after="0"/>
              <w:rPr>
                <w:sz w:val="20"/>
                <w:szCs w:val="20"/>
                <w:color w:val="auto"/>
              </w:rPr>
            </w:pPr>
            <w:r>
              <w:rPr>
                <w:rFonts w:ascii="Arial" w:cs="Arial" w:eastAsia="Arial" w:hAnsi="Arial"/>
                <w:sz w:val="14"/>
                <w:szCs w:val="14"/>
                <w:b w:val="1"/>
                <w:bCs w:val="1"/>
                <w:color w:val="auto"/>
              </w:rPr>
              <w:t>Contributions</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Contributions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Earnings</w:t>
            </w: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Withdrawals/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Officer</w:t>
            </w:r>
          </w:p>
        </w:tc>
        <w:tc>
          <w:tcPr>
            <w:tcW w:w="1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Plan</w:t>
            </w:r>
          </w:p>
        </w:tc>
        <w:tc>
          <w:tcPr>
            <w:tcW w:w="17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(3)</w:t>
            </w:r>
          </w:p>
        </w:tc>
        <w:tc>
          <w:tcPr>
            <w:tcW w:w="13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in Last FY</w:t>
            </w:r>
            <w:r>
              <w:rPr>
                <w:rFonts w:ascii="Arial" w:cs="Arial" w:eastAsia="Arial" w:hAnsi="Arial"/>
                <w:sz w:val="18"/>
                <w:szCs w:val="18"/>
                <w:b w:val="1"/>
                <w:bCs w:val="1"/>
                <w:color w:val="auto"/>
                <w:vertAlign w:val="superscript"/>
              </w:rPr>
              <w:t>(1)(3)</w:t>
            </w:r>
          </w:p>
        </w:tc>
        <w:tc>
          <w:tcPr>
            <w:tcW w:w="26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in Last FY</w:t>
            </w:r>
            <w:r>
              <w:rPr>
                <w:rFonts w:ascii="Arial" w:cs="Arial" w:eastAsia="Arial" w:hAnsi="Arial"/>
                <w:sz w:val="18"/>
                <w:szCs w:val="18"/>
                <w:b w:val="1"/>
                <w:bCs w:val="1"/>
                <w:color w:val="auto"/>
                <w:w w:val="98"/>
                <w:vertAlign w:val="superscript"/>
              </w:rPr>
              <w:t>(3)</w:t>
            </w:r>
          </w:p>
        </w:tc>
        <w:tc>
          <w:tcPr>
            <w:tcW w:w="1780" w:type="dxa"/>
            <w:vAlign w:val="bottom"/>
            <w:tcBorders>
              <w:bottom w:val="single" w:sz="8" w:color="D7282F"/>
            </w:tcBorders>
            <w:gridSpan w:val="2"/>
          </w:tcPr>
          <w:p>
            <w:pPr>
              <w:jc w:val="right"/>
              <w:ind w:right="400"/>
              <w:spacing w:after="0"/>
              <w:rPr>
                <w:sz w:val="20"/>
                <w:szCs w:val="20"/>
                <w:color w:val="auto"/>
              </w:rPr>
            </w:pPr>
            <w:r>
              <w:rPr>
                <w:rFonts w:ascii="Arial" w:cs="Arial" w:eastAsia="Arial" w:hAnsi="Arial"/>
                <w:sz w:val="14"/>
                <w:szCs w:val="14"/>
                <w:b w:val="1"/>
                <w:bCs w:val="1"/>
                <w:color w:val="auto"/>
              </w:rPr>
              <w:t>Distributions</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Last FYE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Vimal Kapur</w:t>
            </w: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   374,058</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    62,650</w:t>
            </w:r>
          </w:p>
        </w:tc>
        <w:tc>
          <w:tcPr>
            <w:tcW w:w="2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67,289</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1,674,660</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DIC Plan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603,050</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137,407</w:t>
            </w:r>
          </w:p>
        </w:tc>
        <w:tc>
          <w:tcPr>
            <w:tcW w:w="178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2,852,045</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8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1780" w:type="dxa"/>
            <w:vAlign w:val="bottom"/>
            <w:tcBorders>
              <w:bottom w:val="single" w:sz="8" w:color="939598"/>
            </w:tcBorders>
            <w:gridSpan w:val="2"/>
          </w:tcPr>
          <w:p>
            <w:pPr>
              <w:spacing w:after="0" w:line="20" w:lineRule="exact"/>
              <w:rPr>
                <w:sz w:val="1"/>
                <w:szCs w:val="1"/>
                <w:color w:val="auto"/>
              </w:rPr>
            </w:pPr>
          </w:p>
        </w:tc>
        <w:tc>
          <w:tcPr>
            <w:tcW w:w="9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Deferred RSUs</w:t>
            </w:r>
            <w:r>
              <w:rPr>
                <w:rFonts w:ascii="Arial" w:cs="Arial" w:eastAsia="Arial" w:hAnsi="Arial"/>
                <w:sz w:val="18"/>
                <w:szCs w:val="18"/>
                <w:color w:val="auto"/>
                <w:vertAlign w:val="superscript"/>
              </w:rPr>
              <w:t>(2)</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spacing w:after="0"/>
              <w:rPr>
                <w:sz w:val="18"/>
                <w:szCs w:val="18"/>
                <w:color w:val="auto"/>
              </w:rPr>
            </w:pP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939598"/>
            </w:tcBorders>
          </w:tcPr>
          <w:p>
            <w:pPr>
              <w:spacing w:after="0"/>
              <w:rPr>
                <w:sz w:val="17"/>
                <w:szCs w:val="17"/>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b w:val="1"/>
                <w:bCs w:val="1"/>
                <w:color w:val="auto"/>
              </w:rPr>
              <w:t>977,108</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b w:val="1"/>
                <w:bCs w:val="1"/>
                <w:color w:val="auto"/>
              </w:rPr>
              <w:t>62,650</w:t>
            </w:r>
          </w:p>
        </w:tc>
        <w:tc>
          <w:tcPr>
            <w:tcW w:w="26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b w:val="1"/>
                <w:bCs w:val="1"/>
                <w:color w:val="auto"/>
              </w:rPr>
              <w:t>204,695</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4,526,705</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Gregory P. Lewis</w:t>
            </w: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140,680</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41,343</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43,999</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1,238,102</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DIC Plan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6,496</w:t>
            </w:r>
          </w:p>
        </w:tc>
        <w:tc>
          <w:tcPr>
            <w:tcW w:w="178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130,946</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8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1780" w:type="dxa"/>
            <w:vAlign w:val="bottom"/>
            <w:tcBorders>
              <w:bottom w:val="single" w:sz="8" w:color="939598"/>
            </w:tcBorders>
            <w:gridSpan w:val="2"/>
          </w:tcPr>
          <w:p>
            <w:pPr>
              <w:spacing w:after="0" w:line="20" w:lineRule="exact"/>
              <w:rPr>
                <w:sz w:val="1"/>
                <w:szCs w:val="1"/>
                <w:color w:val="auto"/>
              </w:rPr>
            </w:pPr>
          </w:p>
        </w:tc>
        <w:tc>
          <w:tcPr>
            <w:tcW w:w="9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Deferred RSUs</w:t>
            </w:r>
            <w:r>
              <w:rPr>
                <w:rFonts w:ascii="Arial" w:cs="Arial" w:eastAsia="Arial" w:hAnsi="Arial"/>
                <w:sz w:val="18"/>
                <w:szCs w:val="18"/>
                <w:color w:val="auto"/>
                <w:vertAlign w:val="superscript"/>
              </w:rPr>
              <w:t>(2)</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939598"/>
            </w:tcBorders>
          </w:tcPr>
          <w:p>
            <w:pPr>
              <w:spacing w:after="0"/>
              <w:rPr>
                <w:sz w:val="17"/>
                <w:szCs w:val="17"/>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b w:val="1"/>
                <w:bCs w:val="1"/>
                <w:color w:val="auto"/>
              </w:rPr>
              <w:t>140,680</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b w:val="1"/>
                <w:bCs w:val="1"/>
                <w:color w:val="auto"/>
              </w:rPr>
              <w:t>41,343</w:t>
            </w:r>
          </w:p>
        </w:tc>
        <w:tc>
          <w:tcPr>
            <w:tcW w:w="26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b w:val="1"/>
                <w:bCs w:val="1"/>
                <w:color w:val="auto"/>
              </w:rPr>
              <w:t>50,495</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1,369,048</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Anne T. Madden</w:t>
            </w: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263,639</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39,238</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204,345</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4,874,617</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DIC Plan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1,126,100</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466,756</w:t>
            </w:r>
          </w:p>
        </w:tc>
        <w:tc>
          <w:tcPr>
            <w:tcW w:w="178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9,562,386</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8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1780" w:type="dxa"/>
            <w:vAlign w:val="bottom"/>
            <w:tcBorders>
              <w:bottom w:val="single" w:sz="8" w:color="939598"/>
            </w:tcBorders>
            <w:gridSpan w:val="2"/>
          </w:tcPr>
          <w:p>
            <w:pPr>
              <w:spacing w:after="0" w:line="20" w:lineRule="exact"/>
              <w:rPr>
                <w:sz w:val="1"/>
                <w:szCs w:val="1"/>
                <w:color w:val="auto"/>
              </w:rPr>
            </w:pPr>
          </w:p>
        </w:tc>
        <w:tc>
          <w:tcPr>
            <w:tcW w:w="9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Deferred RSUs</w:t>
            </w:r>
            <w:r>
              <w:rPr>
                <w:rFonts w:ascii="Arial" w:cs="Arial" w:eastAsia="Arial" w:hAnsi="Arial"/>
                <w:sz w:val="18"/>
                <w:szCs w:val="18"/>
                <w:color w:val="auto"/>
                <w:vertAlign w:val="superscript"/>
              </w:rPr>
              <w:t>(2)</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(29,879)</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7,974,744</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939598"/>
            </w:tcBorders>
          </w:tcPr>
          <w:p>
            <w:pPr>
              <w:spacing w:after="0"/>
              <w:rPr>
                <w:sz w:val="17"/>
                <w:szCs w:val="17"/>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b w:val="1"/>
                <w:bCs w:val="1"/>
                <w:color w:val="auto"/>
              </w:rPr>
              <w:t>1,389,739</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b w:val="1"/>
                <w:bCs w:val="1"/>
                <w:color w:val="auto"/>
              </w:rPr>
              <w:t>39,238</w:t>
            </w:r>
          </w:p>
        </w:tc>
        <w:tc>
          <w:tcPr>
            <w:tcW w:w="26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b w:val="1"/>
                <w:bCs w:val="1"/>
                <w:color w:val="auto"/>
              </w:rPr>
              <w:t>641,222</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22,411,748</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Lucian Boldea</w:t>
            </w: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186,977</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34,159</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4,384</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191,361</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DIC Plan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8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1780" w:type="dxa"/>
            <w:vAlign w:val="bottom"/>
            <w:tcBorders>
              <w:bottom w:val="single" w:sz="8" w:color="939598"/>
            </w:tcBorders>
            <w:gridSpan w:val="2"/>
          </w:tcPr>
          <w:p>
            <w:pPr>
              <w:spacing w:after="0" w:line="20" w:lineRule="exact"/>
              <w:rPr>
                <w:sz w:val="1"/>
                <w:szCs w:val="1"/>
                <w:color w:val="auto"/>
              </w:rPr>
            </w:pPr>
          </w:p>
        </w:tc>
        <w:tc>
          <w:tcPr>
            <w:tcW w:w="9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Deferred RSUs</w:t>
            </w:r>
            <w:r>
              <w:rPr>
                <w:rFonts w:ascii="Arial" w:cs="Arial" w:eastAsia="Arial" w:hAnsi="Arial"/>
                <w:sz w:val="18"/>
                <w:szCs w:val="18"/>
                <w:color w:val="auto"/>
                <w:vertAlign w:val="superscript"/>
              </w:rPr>
              <w:t>(2)</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939598"/>
            </w:tcBorders>
          </w:tcPr>
          <w:p>
            <w:pPr>
              <w:spacing w:after="0"/>
              <w:rPr>
                <w:sz w:val="17"/>
                <w:szCs w:val="17"/>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b w:val="1"/>
                <w:bCs w:val="1"/>
                <w:color w:val="auto"/>
              </w:rPr>
              <w:t>186,977</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b w:val="1"/>
                <w:bCs w:val="1"/>
                <w:color w:val="auto"/>
              </w:rPr>
              <w:t>34,159</w:t>
            </w:r>
          </w:p>
        </w:tc>
        <w:tc>
          <w:tcPr>
            <w:tcW w:w="26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b w:val="1"/>
                <w:bCs w:val="1"/>
                <w:color w:val="auto"/>
              </w:rPr>
              <w:t>4,384</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191,361</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James Currier</w:t>
            </w: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20,025</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17,522</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2,465</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79,238</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600" w:type="dxa"/>
            <w:vAlign w:val="bottom"/>
          </w:tcPr>
          <w:p>
            <w:pPr>
              <w:ind w:left="20"/>
              <w:spacing w:after="0"/>
              <w:rPr>
                <w:sz w:val="20"/>
                <w:szCs w:val="20"/>
                <w:color w:val="auto"/>
              </w:rPr>
            </w:pPr>
            <w:r>
              <w:rPr>
                <w:rFonts w:ascii="Arial" w:cs="Arial" w:eastAsia="Arial" w:hAnsi="Arial"/>
                <w:sz w:val="14"/>
                <w:szCs w:val="14"/>
                <w:color w:val="auto"/>
              </w:rPr>
              <w:t>DIC Plan</w:t>
            </w:r>
          </w:p>
        </w:tc>
        <w:tc>
          <w:tcPr>
            <w:tcW w:w="17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600" w:type="dxa"/>
            <w:vAlign w:val="bottom"/>
            <w:tcBorders>
              <w:bottom w:val="single" w:sz="8" w:color="939598"/>
            </w:tcBorders>
          </w:tcPr>
          <w:p>
            <w:pPr>
              <w:spacing w:after="0" w:line="20" w:lineRule="exact"/>
              <w:rPr>
                <w:sz w:val="1"/>
                <w:szCs w:val="1"/>
                <w:color w:val="auto"/>
              </w:rPr>
            </w:pPr>
          </w:p>
        </w:tc>
        <w:tc>
          <w:tcPr>
            <w:tcW w:w="1700" w:type="dxa"/>
            <w:vAlign w:val="bottom"/>
            <w:tcBorders>
              <w:bottom w:val="single" w:sz="8" w:color="939598"/>
            </w:tcBorders>
          </w:tcPr>
          <w:p>
            <w:pPr>
              <w:spacing w:after="0" w:line="20" w:lineRule="exact"/>
              <w:rPr>
                <w:sz w:val="1"/>
                <w:szCs w:val="1"/>
                <w:color w:val="auto"/>
              </w:rPr>
            </w:pPr>
          </w:p>
        </w:tc>
        <w:tc>
          <w:tcPr>
            <w:tcW w:w="138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1780" w:type="dxa"/>
            <w:vAlign w:val="bottom"/>
            <w:tcBorders>
              <w:bottom w:val="single" w:sz="8" w:color="939598"/>
            </w:tcBorders>
            <w:gridSpan w:val="2"/>
          </w:tcPr>
          <w:p>
            <w:pPr>
              <w:spacing w:after="0" w:line="20" w:lineRule="exact"/>
              <w:rPr>
                <w:sz w:val="1"/>
                <w:szCs w:val="1"/>
                <w:color w:val="auto"/>
              </w:rPr>
            </w:pPr>
          </w:p>
        </w:tc>
        <w:tc>
          <w:tcPr>
            <w:tcW w:w="920" w:type="dxa"/>
            <w:vAlign w:val="bottom"/>
            <w:tcBorders>
              <w:bottom w:val="single" w:sz="8" w:color="93959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Deferred RSUs</w:t>
            </w:r>
            <w:r>
              <w:rPr>
                <w:rFonts w:ascii="Arial" w:cs="Arial" w:eastAsia="Arial" w:hAnsi="Arial"/>
                <w:sz w:val="18"/>
                <w:szCs w:val="18"/>
                <w:color w:val="auto"/>
                <w:vertAlign w:val="superscript"/>
              </w:rPr>
              <w:t>(2)</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939598"/>
            </w:tcBorders>
          </w:tcPr>
          <w:p>
            <w:pPr>
              <w:spacing w:after="0"/>
              <w:rPr>
                <w:sz w:val="17"/>
                <w:szCs w:val="17"/>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b w:val="1"/>
                <w:bCs w:val="1"/>
                <w:color w:val="auto"/>
              </w:rPr>
              <w:t>20,025</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b w:val="1"/>
                <w:bCs w:val="1"/>
                <w:color w:val="auto"/>
              </w:rPr>
              <w:t>17,522</w:t>
            </w:r>
          </w:p>
        </w:tc>
        <w:tc>
          <w:tcPr>
            <w:tcW w:w="26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b w:val="1"/>
                <w:bCs w:val="1"/>
                <w:color w:val="auto"/>
              </w:rPr>
              <w:t>2,465</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79,238</w:t>
            </w: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Darius Adamczyk</w:t>
            </w: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SS Plan</w:t>
            </w:r>
            <w:r>
              <w:rPr>
                <w:rFonts w:ascii="Arial" w:cs="Arial" w:eastAsia="Arial" w:hAnsi="Arial"/>
                <w:sz w:val="18"/>
                <w:szCs w:val="18"/>
                <w:color w:val="auto"/>
                <w:vertAlign w:val="superscript"/>
              </w:rPr>
              <w:t>(1)</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94,277</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82,492</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61,323</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2,287,412</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DIC Plan</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7"/>
                <w:szCs w:val="17"/>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69,011</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1,391,135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6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Deferred RSUs</w:t>
            </w:r>
            <w:r>
              <w:rPr>
                <w:rFonts w:ascii="Arial" w:cs="Arial" w:eastAsia="Arial" w:hAnsi="Arial"/>
                <w:sz w:val="18"/>
                <w:szCs w:val="18"/>
                <w:color w:val="auto"/>
                <w:vertAlign w:val="superscript"/>
              </w:rPr>
              <w:t>(2)</w:t>
            </w:r>
          </w:p>
        </w:tc>
        <w:tc>
          <w:tcPr>
            <w:tcW w:w="17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939598"/>
            </w:tcBorders>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939598"/>
            </w:tcBorders>
            <w:gridSpan w:val="2"/>
          </w:tcPr>
          <w:p>
            <w:pPr>
              <w:ind w:left="124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w:t>
            </w:r>
          </w:p>
        </w:tc>
        <w:tc>
          <w:tcPr>
            <w:tcW w:w="17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94,277</w:t>
            </w:r>
          </w:p>
        </w:tc>
        <w:tc>
          <w:tcPr>
            <w:tcW w:w="13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82,492</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130,334</w:t>
            </w:r>
          </w:p>
        </w:tc>
        <w:tc>
          <w:tcPr>
            <w:tcW w:w="1400" w:type="dxa"/>
            <w:vAlign w:val="bottom"/>
            <w:tcBorders>
              <w:bottom w:val="single" w:sz="8" w:color="EE2724"/>
            </w:tcBorders>
          </w:tcPr>
          <w:p>
            <w:pPr>
              <w:ind w:left="1240"/>
              <w:spacing w:after="0"/>
              <w:rPr>
                <w:sz w:val="20"/>
                <w:szCs w:val="20"/>
                <w:color w:val="auto"/>
              </w:rPr>
            </w:pPr>
            <w:r>
              <w:rPr>
                <w:rFonts w:ascii="Arial" w:cs="Arial" w:eastAsia="Arial" w:hAnsi="Arial"/>
                <w:sz w:val="14"/>
                <w:szCs w:val="14"/>
                <w:b w:val="1"/>
                <w:bCs w:val="1"/>
                <w:color w:val="auto"/>
                <w:w w:val="99"/>
              </w:rPr>
              <w:t>—</w:t>
            </w:r>
          </w:p>
        </w:tc>
        <w:tc>
          <w:tcPr>
            <w:tcW w:w="38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3,678,548</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All deferred compensation amounts, regardless of the plan, are unfunded and unsecured obligations of the Company and are subject to the same risks as any of the Company’s general obligations.</w:t>
      </w:r>
    </w:p>
    <w:p>
      <w:pPr>
        <w:spacing w:after="0" w:line="103" w:lineRule="exact"/>
        <w:rPr>
          <w:sz w:val="20"/>
          <w:szCs w:val="20"/>
          <w:color w:val="auto"/>
        </w:rPr>
      </w:pPr>
    </w:p>
    <w:p>
      <w:pPr>
        <w:ind w:left="200" w:right="140" w:hanging="192"/>
        <w:spacing w:after="0" w:line="223" w:lineRule="auto"/>
        <w:tabs>
          <w:tab w:leader="none" w:pos="200" w:val="left"/>
        </w:tabs>
        <w:numPr>
          <w:ilvl w:val="0"/>
          <w:numId w:val="186"/>
        </w:numPr>
        <w:rPr>
          <w:rFonts w:ascii="Arial" w:cs="Arial" w:eastAsia="Arial" w:hAnsi="Arial"/>
          <w:sz w:val="16"/>
          <w:szCs w:val="16"/>
          <w:color w:val="auto"/>
          <w:vertAlign w:val="superscript"/>
        </w:rPr>
      </w:pPr>
      <w:r>
        <w:rPr>
          <w:rFonts w:ascii="Arial" w:cs="Arial" w:eastAsia="Arial" w:hAnsi="Arial"/>
          <w:sz w:val="13"/>
          <w:szCs w:val="13"/>
          <w:color w:val="auto"/>
        </w:rPr>
        <w:t>For SS Plan deferrals, the Company's matching contributions are credited annually no later than the following January 31st if the Named Executive Officer was actively employed or on a disability leave of absence as of December 15th. The value of registrant contributions in the last fiscal year for the SS Plan includes annual matching contributions that were credited to the Named Executive Officers in January 2024 for the 2023 year.</w:t>
      </w:r>
    </w:p>
    <w:p>
      <w:pPr>
        <w:spacing w:after="0" w:line="50" w:lineRule="exact"/>
        <w:rPr>
          <w:rFonts w:ascii="Arial" w:cs="Arial" w:eastAsia="Arial" w:hAnsi="Arial"/>
          <w:sz w:val="16"/>
          <w:szCs w:val="16"/>
          <w:color w:val="auto"/>
          <w:vertAlign w:val="superscript"/>
        </w:rPr>
      </w:pPr>
    </w:p>
    <w:p>
      <w:pPr>
        <w:ind w:left="200" w:right="40" w:hanging="192"/>
        <w:spacing w:after="0" w:line="226" w:lineRule="auto"/>
        <w:tabs>
          <w:tab w:leader="none" w:pos="200" w:val="left"/>
        </w:tabs>
        <w:numPr>
          <w:ilvl w:val="0"/>
          <w:numId w:val="186"/>
        </w:numPr>
        <w:rPr>
          <w:rFonts w:ascii="Arial" w:cs="Arial" w:eastAsia="Arial" w:hAnsi="Arial"/>
          <w:sz w:val="16"/>
          <w:szCs w:val="16"/>
          <w:color w:val="auto"/>
          <w:vertAlign w:val="superscript"/>
        </w:rPr>
      </w:pPr>
      <w:r>
        <w:rPr>
          <w:rFonts w:ascii="Arial" w:cs="Arial" w:eastAsia="Arial" w:hAnsi="Arial"/>
          <w:sz w:val="13"/>
          <w:szCs w:val="13"/>
          <w:color w:val="auto"/>
        </w:rPr>
        <w:t>The value of executive contributions in the last fiscal year is calculated by multiplying the number of deferred RSUs that vested in 2023 by the closing price of a share of common stock on the vesting date (or the next business day following the vesting date). The value of the aggregate balance at the last fiscal year is calculated by multiplying the total number of vested, deferred RSUs on December 30, 2023, by the closing price of a share of common stock on December 29, 2023 ($209.71). This column reflects the following for Ms. Madden: 35,187 in deferred units including dividend reinvestment units and $595,730 in cash.</w:t>
      </w:r>
    </w:p>
    <w:p>
      <w:pPr>
        <w:spacing w:after="0" w:line="52" w:lineRule="exact"/>
        <w:rPr>
          <w:rFonts w:ascii="Arial" w:cs="Arial" w:eastAsia="Arial" w:hAnsi="Arial"/>
          <w:sz w:val="16"/>
          <w:szCs w:val="16"/>
          <w:color w:val="auto"/>
          <w:vertAlign w:val="superscript"/>
        </w:rPr>
      </w:pPr>
    </w:p>
    <w:p>
      <w:pPr>
        <w:ind w:left="200" w:right="80" w:hanging="192"/>
        <w:spacing w:after="0" w:line="229" w:lineRule="auto"/>
        <w:tabs>
          <w:tab w:leader="none" w:pos="200" w:val="left"/>
        </w:tabs>
        <w:numPr>
          <w:ilvl w:val="0"/>
          <w:numId w:val="186"/>
        </w:numPr>
        <w:rPr>
          <w:rFonts w:ascii="Arial" w:cs="Arial" w:eastAsia="Arial" w:hAnsi="Arial"/>
          <w:sz w:val="16"/>
          <w:szCs w:val="16"/>
          <w:color w:val="auto"/>
          <w:vertAlign w:val="superscript"/>
        </w:rPr>
      </w:pPr>
      <w:r>
        <w:rPr>
          <w:rFonts w:ascii="Arial" w:cs="Arial" w:eastAsia="Arial" w:hAnsi="Arial"/>
          <w:sz w:val="13"/>
          <w:szCs w:val="13"/>
          <w:color w:val="auto"/>
        </w:rPr>
        <w:t>The following table details the extent to which amounts reported in the contributions and earnings columns are reported in the Summary Compensation Table and amounts reported in the aggregate balance column were reported in the Summary Compensation Table for previous years. In the table above, for the SS Plan, the “Aggregate Earnings in Last FY” column includes interest credits and changes in the value of the Company Common Stock Fund. The value of the Company Common Stock Fund increases or decreases in accordance with the Company’s stock price and the reinvestment of dividends. In the table above, for the deferred RSUs, the “Aggregate Earnings in Last FY” column includes dividend equivalent credits and any increase (or decrease) in the Company’s stock price:</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326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Executive</w:t>
            </w:r>
          </w:p>
        </w:tc>
        <w:tc>
          <w:tcPr>
            <w:tcW w:w="170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Registrant</w:t>
            </w:r>
          </w:p>
        </w:tc>
        <w:tc>
          <w:tcPr>
            <w:tcW w:w="14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Portion of Aggregate</w:t>
            </w:r>
          </w:p>
        </w:tc>
        <w:tc>
          <w:tcPr>
            <w:tcW w:w="0" w:type="dxa"/>
            <w:vAlign w:val="bottom"/>
          </w:tcPr>
          <w:p>
            <w:pPr>
              <w:spacing w:after="0"/>
              <w:rPr>
                <w:sz w:val="1"/>
                <w:szCs w:val="1"/>
                <w:color w:val="auto"/>
              </w:rPr>
            </w:pPr>
          </w:p>
        </w:tc>
      </w:tr>
      <w:tr>
        <w:trPr>
          <w:trHeight w:val="135"/>
        </w:trPr>
        <w:tc>
          <w:tcPr>
            <w:tcW w:w="28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NEO</w:t>
            </w:r>
          </w:p>
        </w:tc>
        <w:tc>
          <w:tcPr>
            <w:tcW w:w="326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4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Earnings in SCT</w:t>
            </w:r>
          </w:p>
        </w:tc>
        <w:tc>
          <w:tcPr>
            <w:tcW w:w="15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Balance Included in</w:t>
            </w:r>
          </w:p>
        </w:tc>
        <w:tc>
          <w:tcPr>
            <w:tcW w:w="0" w:type="dxa"/>
            <w:vAlign w:val="bottom"/>
          </w:tcPr>
          <w:p>
            <w:pPr>
              <w:spacing w:after="0"/>
              <w:rPr>
                <w:sz w:val="1"/>
                <w:szCs w:val="1"/>
                <w:color w:val="auto"/>
              </w:rPr>
            </w:pPr>
          </w:p>
        </w:tc>
      </w:tr>
      <w:tr>
        <w:trPr>
          <w:trHeight w:val="176"/>
        </w:trPr>
        <w:tc>
          <w:tcPr>
            <w:tcW w:w="2840" w:type="dxa"/>
            <w:vAlign w:val="bottom"/>
            <w:tcBorders>
              <w:bottom w:val="single" w:sz="8" w:color="EE2724"/>
            </w:tcBorders>
            <w:vMerge w:val="continue"/>
          </w:tcPr>
          <w:p>
            <w:pPr>
              <w:spacing w:after="0"/>
              <w:rPr>
                <w:sz w:val="15"/>
                <w:szCs w:val="15"/>
                <w:color w:val="auto"/>
              </w:rPr>
            </w:pPr>
          </w:p>
        </w:tc>
        <w:tc>
          <w:tcPr>
            <w:tcW w:w="3260" w:type="dxa"/>
            <w:vAlign w:val="bottom"/>
            <w:tcBorders>
              <w:bottom w:val="single" w:sz="8" w:color="EE2724"/>
            </w:tcBorders>
          </w:tcPr>
          <w:p>
            <w:pPr>
              <w:jc w:val="right"/>
              <w:ind w:right="177"/>
              <w:spacing w:after="0"/>
              <w:rPr>
                <w:sz w:val="20"/>
                <w:szCs w:val="20"/>
                <w:color w:val="auto"/>
              </w:rPr>
            </w:pPr>
            <w:r>
              <w:rPr>
                <w:rFonts w:ascii="Arial" w:cs="Arial" w:eastAsia="Arial" w:hAnsi="Arial"/>
                <w:sz w:val="13"/>
                <w:szCs w:val="13"/>
                <w:b w:val="1"/>
                <w:bCs w:val="1"/>
                <w:color w:val="auto"/>
              </w:rPr>
              <w:t>Contributions in SCT</w:t>
            </w:r>
          </w:p>
        </w:tc>
        <w:tc>
          <w:tcPr>
            <w:tcW w:w="1700" w:type="dxa"/>
            <w:vAlign w:val="bottom"/>
            <w:tcBorders>
              <w:bottom w:val="single" w:sz="8" w:color="EE2724"/>
            </w:tcBorders>
          </w:tcPr>
          <w:p>
            <w:pPr>
              <w:jc w:val="right"/>
              <w:ind w:right="137"/>
              <w:spacing w:after="0"/>
              <w:rPr>
                <w:sz w:val="20"/>
                <w:szCs w:val="20"/>
                <w:color w:val="auto"/>
              </w:rPr>
            </w:pPr>
            <w:r>
              <w:rPr>
                <w:rFonts w:ascii="Arial" w:cs="Arial" w:eastAsia="Arial" w:hAnsi="Arial"/>
                <w:sz w:val="13"/>
                <w:szCs w:val="13"/>
                <w:b w:val="1"/>
                <w:bCs w:val="1"/>
                <w:color w:val="auto"/>
              </w:rPr>
              <w:t>Contributions in SCT</w:t>
            </w:r>
          </w:p>
        </w:tc>
        <w:tc>
          <w:tcPr>
            <w:tcW w:w="1440" w:type="dxa"/>
            <w:vAlign w:val="bottom"/>
            <w:tcBorders>
              <w:bottom w:val="single" w:sz="8" w:color="EE2724"/>
            </w:tcBorders>
            <w:vMerge w:val="continue"/>
          </w:tcPr>
          <w:p>
            <w:pPr>
              <w:spacing w:after="0"/>
              <w:rPr>
                <w:sz w:val="15"/>
                <w:szCs w:val="15"/>
                <w:color w:val="auto"/>
              </w:rPr>
            </w:pPr>
          </w:p>
        </w:tc>
        <w:tc>
          <w:tcPr>
            <w:tcW w:w="1520" w:type="dxa"/>
            <w:vAlign w:val="bottom"/>
            <w:tcBorders>
              <w:bottom w:val="single" w:sz="8" w:color="EE2724"/>
            </w:tcBorders>
          </w:tcPr>
          <w:p>
            <w:pPr>
              <w:jc w:val="right"/>
              <w:spacing w:after="0"/>
              <w:rPr>
                <w:sz w:val="20"/>
                <w:szCs w:val="20"/>
                <w:color w:val="auto"/>
              </w:rPr>
            </w:pPr>
            <w:r>
              <w:rPr>
                <w:rFonts w:ascii="Arial" w:cs="Arial" w:eastAsia="Arial" w:hAnsi="Arial"/>
                <w:sz w:val="13"/>
                <w:szCs w:val="13"/>
                <w:b w:val="1"/>
                <w:bCs w:val="1"/>
                <w:color w:val="auto"/>
              </w:rPr>
              <w:t>Prior SCTs</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939598"/>
            </w:tcBorders>
          </w:tcPr>
          <w:p>
            <w:pPr>
              <w:ind w:left="20"/>
              <w:spacing w:after="0"/>
              <w:rPr>
                <w:sz w:val="20"/>
                <w:szCs w:val="20"/>
                <w:color w:val="auto"/>
              </w:rPr>
            </w:pPr>
            <w:r>
              <w:rPr>
                <w:rFonts w:ascii="Arial" w:cs="Arial" w:eastAsia="Arial" w:hAnsi="Arial"/>
                <w:sz w:val="13"/>
                <w:szCs w:val="13"/>
                <w:b w:val="1"/>
                <w:bCs w:val="1"/>
                <w:color w:val="auto"/>
              </w:rPr>
              <w:t>Vimal Kapur</w:t>
            </w:r>
          </w:p>
        </w:tc>
        <w:tc>
          <w:tcPr>
            <w:tcW w:w="3260" w:type="dxa"/>
            <w:vAlign w:val="bottom"/>
            <w:tcBorders>
              <w:bottom w:val="single" w:sz="8" w:color="939598"/>
            </w:tcBorders>
          </w:tcPr>
          <w:p>
            <w:pPr>
              <w:jc w:val="right"/>
              <w:ind w:right="217"/>
              <w:spacing w:after="0"/>
              <w:rPr>
                <w:sz w:val="20"/>
                <w:szCs w:val="20"/>
                <w:color w:val="auto"/>
              </w:rPr>
            </w:pPr>
            <w:r>
              <w:rPr>
                <w:rFonts w:ascii="Arial" w:cs="Arial" w:eastAsia="Arial" w:hAnsi="Arial"/>
                <w:sz w:val="13"/>
                <w:szCs w:val="13"/>
                <w:color w:val="auto"/>
              </w:rPr>
              <w:t>$   374,058</w:t>
            </w:r>
          </w:p>
        </w:tc>
        <w:tc>
          <w:tcPr>
            <w:tcW w:w="1700" w:type="dxa"/>
            <w:vAlign w:val="bottom"/>
            <w:tcBorders>
              <w:bottom w:val="single" w:sz="8" w:color="939598"/>
            </w:tcBorders>
          </w:tcPr>
          <w:p>
            <w:pPr>
              <w:jc w:val="right"/>
              <w:ind w:right="177"/>
              <w:spacing w:after="0"/>
              <w:rPr>
                <w:sz w:val="20"/>
                <w:szCs w:val="20"/>
                <w:color w:val="auto"/>
              </w:rPr>
            </w:pPr>
            <w:r>
              <w:rPr>
                <w:rFonts w:ascii="Arial" w:cs="Arial" w:eastAsia="Arial" w:hAnsi="Arial"/>
                <w:sz w:val="13"/>
                <w:szCs w:val="13"/>
                <w:color w:val="auto"/>
              </w:rPr>
              <w:t>$  62,650</w:t>
            </w:r>
          </w:p>
        </w:tc>
        <w:tc>
          <w:tcPr>
            <w:tcW w:w="1440" w:type="dxa"/>
            <w:vAlign w:val="bottom"/>
            <w:tcBorders>
              <w:bottom w:val="single" w:sz="8" w:color="939598"/>
            </w:tcBorders>
          </w:tcPr>
          <w:p>
            <w:pPr>
              <w:jc w:val="right"/>
              <w:ind w:right="237"/>
              <w:spacing w:after="0"/>
              <w:rPr>
                <w:sz w:val="20"/>
                <w:szCs w:val="20"/>
                <w:color w:val="auto"/>
              </w:rPr>
            </w:pPr>
            <w:r>
              <w:rPr>
                <w:rFonts w:ascii="Arial" w:cs="Arial" w:eastAsia="Arial" w:hAnsi="Arial"/>
                <w:sz w:val="13"/>
                <w:szCs w:val="13"/>
                <w:color w:val="auto"/>
              </w:rPr>
              <w:t>$  23,072</w:t>
            </w: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$901,136</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939598"/>
            </w:tcBorders>
          </w:tcPr>
          <w:p>
            <w:pPr>
              <w:ind w:left="20"/>
              <w:spacing w:after="0"/>
              <w:rPr>
                <w:sz w:val="20"/>
                <w:szCs w:val="20"/>
                <w:color w:val="auto"/>
              </w:rPr>
            </w:pPr>
            <w:r>
              <w:rPr>
                <w:rFonts w:ascii="Arial" w:cs="Arial" w:eastAsia="Arial" w:hAnsi="Arial"/>
                <w:sz w:val="13"/>
                <w:szCs w:val="13"/>
                <w:b w:val="1"/>
                <w:bCs w:val="1"/>
                <w:color w:val="auto"/>
              </w:rPr>
              <w:t>Gregory P. Lewis</w:t>
            </w:r>
          </w:p>
        </w:tc>
        <w:tc>
          <w:tcPr>
            <w:tcW w:w="3260" w:type="dxa"/>
            <w:vAlign w:val="bottom"/>
            <w:tcBorders>
              <w:bottom w:val="single" w:sz="8" w:color="939598"/>
            </w:tcBorders>
          </w:tcPr>
          <w:p>
            <w:pPr>
              <w:jc w:val="right"/>
              <w:ind w:right="217"/>
              <w:spacing w:after="0"/>
              <w:rPr>
                <w:sz w:val="20"/>
                <w:szCs w:val="20"/>
                <w:color w:val="auto"/>
              </w:rPr>
            </w:pPr>
            <w:r>
              <w:rPr>
                <w:rFonts w:ascii="Arial" w:cs="Arial" w:eastAsia="Arial" w:hAnsi="Arial"/>
                <w:sz w:val="13"/>
                <w:szCs w:val="13"/>
                <w:color w:val="auto"/>
              </w:rPr>
              <w:t>140,680</w:t>
            </w:r>
          </w:p>
        </w:tc>
        <w:tc>
          <w:tcPr>
            <w:tcW w:w="1700" w:type="dxa"/>
            <w:vAlign w:val="bottom"/>
            <w:tcBorders>
              <w:bottom w:val="single" w:sz="8" w:color="939598"/>
            </w:tcBorders>
          </w:tcPr>
          <w:p>
            <w:pPr>
              <w:jc w:val="right"/>
              <w:ind w:right="177"/>
              <w:spacing w:after="0"/>
              <w:rPr>
                <w:sz w:val="20"/>
                <w:szCs w:val="20"/>
                <w:color w:val="auto"/>
              </w:rPr>
            </w:pPr>
            <w:r>
              <w:rPr>
                <w:rFonts w:ascii="Arial" w:cs="Arial" w:eastAsia="Arial" w:hAnsi="Arial"/>
                <w:sz w:val="13"/>
                <w:szCs w:val="13"/>
                <w:color w:val="auto"/>
              </w:rPr>
              <w:t>41,343</w:t>
            </w:r>
          </w:p>
        </w:tc>
        <w:tc>
          <w:tcPr>
            <w:tcW w:w="1440" w:type="dxa"/>
            <w:vAlign w:val="bottom"/>
            <w:tcBorders>
              <w:bottom w:val="single" w:sz="8" w:color="939598"/>
            </w:tcBorders>
          </w:tcPr>
          <w:p>
            <w:pPr>
              <w:jc w:val="right"/>
              <w:ind w:right="237"/>
              <w:spacing w:after="0"/>
              <w:rPr>
                <w:sz w:val="20"/>
                <w:szCs w:val="20"/>
                <w:color w:val="auto"/>
              </w:rPr>
            </w:pPr>
            <w:r>
              <w:rPr>
                <w:rFonts w:ascii="Arial" w:cs="Arial" w:eastAsia="Arial" w:hAnsi="Arial"/>
                <w:sz w:val="13"/>
                <w:szCs w:val="13"/>
                <w:color w:val="auto"/>
              </w:rPr>
              <w:t>5,446</w:t>
            </w: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680,385</w:t>
            </w:r>
          </w:p>
        </w:tc>
        <w:tc>
          <w:tcPr>
            <w:tcW w:w="0" w:type="dxa"/>
            <w:vAlign w:val="bottom"/>
          </w:tcPr>
          <w:p>
            <w:pPr>
              <w:spacing w:after="0"/>
              <w:rPr>
                <w:sz w:val="1"/>
                <w:szCs w:val="1"/>
                <w:color w:val="auto"/>
              </w:rPr>
            </w:pPr>
          </w:p>
        </w:tc>
      </w:tr>
      <w:tr>
        <w:trPr>
          <w:trHeight w:val="182"/>
        </w:trPr>
        <w:tc>
          <w:tcPr>
            <w:tcW w:w="2840" w:type="dxa"/>
            <w:vAlign w:val="bottom"/>
            <w:tcBorders>
              <w:bottom w:val="single" w:sz="8" w:color="939598"/>
            </w:tcBorders>
          </w:tcPr>
          <w:p>
            <w:pPr>
              <w:ind w:left="20"/>
              <w:spacing w:after="0"/>
              <w:rPr>
                <w:sz w:val="20"/>
                <w:szCs w:val="20"/>
                <w:color w:val="auto"/>
              </w:rPr>
            </w:pPr>
            <w:r>
              <w:rPr>
                <w:rFonts w:ascii="Arial" w:cs="Arial" w:eastAsia="Arial" w:hAnsi="Arial"/>
                <w:sz w:val="13"/>
                <w:szCs w:val="13"/>
                <w:b w:val="1"/>
                <w:bCs w:val="1"/>
                <w:color w:val="auto"/>
              </w:rPr>
              <w:t>Anne T. Madden</w:t>
            </w:r>
          </w:p>
        </w:tc>
        <w:tc>
          <w:tcPr>
            <w:tcW w:w="3260" w:type="dxa"/>
            <w:vAlign w:val="bottom"/>
            <w:tcBorders>
              <w:bottom w:val="single" w:sz="8" w:color="939598"/>
            </w:tcBorders>
          </w:tcPr>
          <w:p>
            <w:pPr>
              <w:jc w:val="right"/>
              <w:ind w:right="217"/>
              <w:spacing w:after="0"/>
              <w:rPr>
                <w:sz w:val="20"/>
                <w:szCs w:val="20"/>
                <w:color w:val="auto"/>
              </w:rPr>
            </w:pPr>
            <w:r>
              <w:rPr>
                <w:rFonts w:ascii="Arial" w:cs="Arial" w:eastAsia="Arial" w:hAnsi="Arial"/>
                <w:sz w:val="13"/>
                <w:szCs w:val="13"/>
                <w:color w:val="auto"/>
              </w:rPr>
              <w:t>263,639</w:t>
            </w:r>
          </w:p>
        </w:tc>
        <w:tc>
          <w:tcPr>
            <w:tcW w:w="1700" w:type="dxa"/>
            <w:vAlign w:val="bottom"/>
            <w:tcBorders>
              <w:bottom w:val="single" w:sz="8" w:color="939598"/>
            </w:tcBorders>
          </w:tcPr>
          <w:p>
            <w:pPr>
              <w:jc w:val="right"/>
              <w:ind w:right="177"/>
              <w:spacing w:after="0"/>
              <w:rPr>
                <w:sz w:val="20"/>
                <w:szCs w:val="20"/>
                <w:color w:val="auto"/>
              </w:rPr>
            </w:pPr>
            <w:r>
              <w:rPr>
                <w:rFonts w:ascii="Arial" w:cs="Arial" w:eastAsia="Arial" w:hAnsi="Arial"/>
                <w:sz w:val="13"/>
                <w:szCs w:val="13"/>
                <w:color w:val="auto"/>
              </w:rPr>
              <w:t>39,238</w:t>
            </w:r>
          </w:p>
        </w:tc>
        <w:tc>
          <w:tcPr>
            <w:tcW w:w="1440" w:type="dxa"/>
            <w:vAlign w:val="bottom"/>
            <w:tcBorders>
              <w:bottom w:val="single" w:sz="8" w:color="939598"/>
            </w:tcBorders>
          </w:tcPr>
          <w:p>
            <w:pPr>
              <w:jc w:val="right"/>
              <w:ind w:right="237"/>
              <w:spacing w:after="0"/>
              <w:rPr>
                <w:sz w:val="20"/>
                <w:szCs w:val="20"/>
                <w:color w:val="auto"/>
              </w:rPr>
            </w:pPr>
            <w:r>
              <w:rPr>
                <w:rFonts w:ascii="Arial" w:cs="Arial" w:eastAsia="Arial" w:hAnsi="Arial"/>
                <w:sz w:val="13"/>
                <w:szCs w:val="13"/>
                <w:color w:val="auto"/>
              </w:rPr>
              <w:t>81,143</w:t>
            </w: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5,472,090</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939598"/>
            </w:tcBorders>
          </w:tcPr>
          <w:p>
            <w:pPr>
              <w:ind w:left="20"/>
              <w:spacing w:after="0"/>
              <w:rPr>
                <w:sz w:val="20"/>
                <w:szCs w:val="20"/>
                <w:color w:val="auto"/>
              </w:rPr>
            </w:pPr>
            <w:r>
              <w:rPr>
                <w:rFonts w:ascii="Arial" w:cs="Arial" w:eastAsia="Arial" w:hAnsi="Arial"/>
                <w:sz w:val="13"/>
                <w:szCs w:val="13"/>
                <w:b w:val="1"/>
                <w:bCs w:val="1"/>
                <w:color w:val="auto"/>
              </w:rPr>
              <w:t>Lucian Boldea</w:t>
            </w:r>
          </w:p>
        </w:tc>
        <w:tc>
          <w:tcPr>
            <w:tcW w:w="3260" w:type="dxa"/>
            <w:vAlign w:val="bottom"/>
            <w:tcBorders>
              <w:bottom w:val="single" w:sz="8" w:color="939598"/>
            </w:tcBorders>
          </w:tcPr>
          <w:p>
            <w:pPr>
              <w:jc w:val="right"/>
              <w:ind w:right="217"/>
              <w:spacing w:after="0"/>
              <w:rPr>
                <w:sz w:val="20"/>
                <w:szCs w:val="20"/>
                <w:color w:val="auto"/>
              </w:rPr>
            </w:pPr>
            <w:r>
              <w:rPr>
                <w:rFonts w:ascii="Arial" w:cs="Arial" w:eastAsia="Arial" w:hAnsi="Arial"/>
                <w:sz w:val="13"/>
                <w:szCs w:val="13"/>
                <w:color w:val="auto"/>
              </w:rPr>
              <w:t>186,977</w:t>
            </w:r>
          </w:p>
        </w:tc>
        <w:tc>
          <w:tcPr>
            <w:tcW w:w="1700" w:type="dxa"/>
            <w:vAlign w:val="bottom"/>
            <w:tcBorders>
              <w:bottom w:val="single" w:sz="8" w:color="939598"/>
            </w:tcBorders>
          </w:tcPr>
          <w:p>
            <w:pPr>
              <w:jc w:val="right"/>
              <w:ind w:right="177"/>
              <w:spacing w:after="0"/>
              <w:rPr>
                <w:sz w:val="20"/>
                <w:szCs w:val="20"/>
                <w:color w:val="auto"/>
              </w:rPr>
            </w:pPr>
            <w:r>
              <w:rPr>
                <w:rFonts w:ascii="Arial" w:cs="Arial" w:eastAsia="Arial" w:hAnsi="Arial"/>
                <w:sz w:val="13"/>
                <w:szCs w:val="13"/>
                <w:color w:val="auto"/>
              </w:rPr>
              <w:t>34,159</w:t>
            </w:r>
          </w:p>
        </w:tc>
        <w:tc>
          <w:tcPr>
            <w:tcW w:w="1440" w:type="dxa"/>
            <w:vAlign w:val="bottom"/>
            <w:tcBorders>
              <w:bottom w:val="single" w:sz="8" w:color="939598"/>
            </w:tcBorders>
          </w:tcPr>
          <w:p>
            <w:pPr>
              <w:jc w:val="right"/>
              <w:ind w:right="237"/>
              <w:spacing w:after="0"/>
              <w:rPr>
                <w:sz w:val="20"/>
                <w:szCs w:val="20"/>
                <w:color w:val="auto"/>
              </w:rPr>
            </w:pPr>
            <w:r>
              <w:rPr>
                <w:rFonts w:ascii="Arial" w:cs="Arial" w:eastAsia="Arial" w:hAnsi="Arial"/>
                <w:sz w:val="13"/>
                <w:szCs w:val="13"/>
                <w:color w:val="auto"/>
              </w:rPr>
              <w:t>501</w:t>
            </w: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939598"/>
            </w:tcBorders>
          </w:tcPr>
          <w:p>
            <w:pPr>
              <w:ind w:left="20"/>
              <w:spacing w:after="0"/>
              <w:rPr>
                <w:sz w:val="20"/>
                <w:szCs w:val="20"/>
                <w:color w:val="auto"/>
              </w:rPr>
            </w:pPr>
            <w:r>
              <w:rPr>
                <w:rFonts w:ascii="Arial" w:cs="Arial" w:eastAsia="Arial" w:hAnsi="Arial"/>
                <w:sz w:val="13"/>
                <w:szCs w:val="13"/>
                <w:b w:val="1"/>
                <w:bCs w:val="1"/>
                <w:color w:val="auto"/>
              </w:rPr>
              <w:t>James Currier</w:t>
            </w:r>
          </w:p>
        </w:tc>
        <w:tc>
          <w:tcPr>
            <w:tcW w:w="3260" w:type="dxa"/>
            <w:vAlign w:val="bottom"/>
            <w:tcBorders>
              <w:bottom w:val="single" w:sz="8" w:color="939598"/>
            </w:tcBorders>
          </w:tcPr>
          <w:p>
            <w:pPr>
              <w:jc w:val="right"/>
              <w:ind w:right="217"/>
              <w:spacing w:after="0"/>
              <w:rPr>
                <w:sz w:val="20"/>
                <w:szCs w:val="20"/>
                <w:color w:val="auto"/>
              </w:rPr>
            </w:pPr>
            <w:r>
              <w:rPr>
                <w:rFonts w:ascii="Arial" w:cs="Arial" w:eastAsia="Arial" w:hAnsi="Arial"/>
                <w:sz w:val="13"/>
                <w:szCs w:val="13"/>
                <w:color w:val="auto"/>
              </w:rPr>
              <w:t>20,025</w:t>
            </w:r>
          </w:p>
        </w:tc>
        <w:tc>
          <w:tcPr>
            <w:tcW w:w="1700" w:type="dxa"/>
            <w:vAlign w:val="bottom"/>
            <w:tcBorders>
              <w:bottom w:val="single" w:sz="8" w:color="939598"/>
            </w:tcBorders>
          </w:tcPr>
          <w:p>
            <w:pPr>
              <w:jc w:val="right"/>
              <w:ind w:right="177"/>
              <w:spacing w:after="0"/>
              <w:rPr>
                <w:sz w:val="20"/>
                <w:szCs w:val="20"/>
                <w:color w:val="auto"/>
              </w:rPr>
            </w:pPr>
            <w:r>
              <w:rPr>
                <w:rFonts w:ascii="Arial" w:cs="Arial" w:eastAsia="Arial" w:hAnsi="Arial"/>
                <w:sz w:val="13"/>
                <w:szCs w:val="13"/>
                <w:color w:val="auto"/>
              </w:rPr>
              <w:t>17,522</w:t>
            </w:r>
          </w:p>
        </w:tc>
        <w:tc>
          <w:tcPr>
            <w:tcW w:w="1440" w:type="dxa"/>
            <w:vAlign w:val="bottom"/>
            <w:tcBorders>
              <w:bottom w:val="single" w:sz="8" w:color="939598"/>
            </w:tcBorders>
          </w:tcPr>
          <w:p>
            <w:pPr>
              <w:jc w:val="right"/>
              <w:ind w:right="237"/>
              <w:spacing w:after="0"/>
              <w:rPr>
                <w:sz w:val="20"/>
                <w:szCs w:val="20"/>
                <w:color w:val="auto"/>
              </w:rPr>
            </w:pPr>
            <w:r>
              <w:rPr>
                <w:rFonts w:ascii="Arial" w:cs="Arial" w:eastAsia="Arial" w:hAnsi="Arial"/>
                <w:sz w:val="13"/>
                <w:szCs w:val="13"/>
                <w:color w:val="auto"/>
              </w:rPr>
              <w:t>198</w:t>
            </w: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40" w:type="dxa"/>
            <w:vAlign w:val="bottom"/>
            <w:tcBorders>
              <w:bottom w:val="single" w:sz="8" w:color="D7282F"/>
            </w:tcBorders>
          </w:tcPr>
          <w:p>
            <w:pPr>
              <w:ind w:left="20"/>
              <w:spacing w:after="0"/>
              <w:rPr>
                <w:sz w:val="20"/>
                <w:szCs w:val="20"/>
                <w:color w:val="auto"/>
              </w:rPr>
            </w:pPr>
            <w:r>
              <w:rPr>
                <w:rFonts w:ascii="Arial" w:cs="Arial" w:eastAsia="Arial" w:hAnsi="Arial"/>
                <w:sz w:val="13"/>
                <w:szCs w:val="13"/>
                <w:b w:val="1"/>
                <w:bCs w:val="1"/>
                <w:color w:val="auto"/>
              </w:rPr>
              <w:t>Darius Adamczyk</w:t>
            </w:r>
          </w:p>
        </w:tc>
        <w:tc>
          <w:tcPr>
            <w:tcW w:w="3260" w:type="dxa"/>
            <w:vAlign w:val="bottom"/>
            <w:tcBorders>
              <w:bottom w:val="single" w:sz="8" w:color="D7282F"/>
            </w:tcBorders>
          </w:tcPr>
          <w:p>
            <w:pPr>
              <w:jc w:val="right"/>
              <w:ind w:right="217"/>
              <w:spacing w:after="0"/>
              <w:rPr>
                <w:sz w:val="20"/>
                <w:szCs w:val="20"/>
                <w:color w:val="auto"/>
              </w:rPr>
            </w:pPr>
            <w:r>
              <w:rPr>
                <w:rFonts w:ascii="Arial" w:cs="Arial" w:eastAsia="Arial" w:hAnsi="Arial"/>
                <w:sz w:val="13"/>
                <w:szCs w:val="13"/>
                <w:color w:val="auto"/>
              </w:rPr>
              <w:t>94,277</w:t>
            </w:r>
          </w:p>
        </w:tc>
        <w:tc>
          <w:tcPr>
            <w:tcW w:w="1700" w:type="dxa"/>
            <w:vAlign w:val="bottom"/>
            <w:tcBorders>
              <w:bottom w:val="single" w:sz="8" w:color="D7282F"/>
            </w:tcBorders>
          </w:tcPr>
          <w:p>
            <w:pPr>
              <w:jc w:val="right"/>
              <w:ind w:right="177"/>
              <w:spacing w:after="0"/>
              <w:rPr>
                <w:sz w:val="20"/>
                <w:szCs w:val="20"/>
                <w:color w:val="auto"/>
              </w:rPr>
            </w:pPr>
            <w:r>
              <w:rPr>
                <w:rFonts w:ascii="Arial" w:cs="Arial" w:eastAsia="Arial" w:hAnsi="Arial"/>
                <w:sz w:val="13"/>
                <w:szCs w:val="13"/>
                <w:color w:val="auto"/>
              </w:rPr>
              <w:t>82,492</w:t>
            </w:r>
          </w:p>
        </w:tc>
        <w:tc>
          <w:tcPr>
            <w:tcW w:w="1440" w:type="dxa"/>
            <w:vAlign w:val="bottom"/>
            <w:tcBorders>
              <w:bottom w:val="single" w:sz="8" w:color="D7282F"/>
            </w:tcBorders>
          </w:tcPr>
          <w:p>
            <w:pPr>
              <w:jc w:val="right"/>
              <w:ind w:right="237"/>
              <w:spacing w:after="0"/>
              <w:rPr>
                <w:sz w:val="20"/>
                <w:szCs w:val="20"/>
                <w:color w:val="auto"/>
              </w:rPr>
            </w:pPr>
            <w:r>
              <w:rPr>
                <w:rFonts w:ascii="Arial" w:cs="Arial" w:eastAsia="Arial" w:hAnsi="Arial"/>
                <w:sz w:val="13"/>
                <w:szCs w:val="13"/>
                <w:color w:val="auto"/>
              </w:rPr>
              <w:t>14,075</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3"/>
                <w:szCs w:val="13"/>
                <w:color w:val="auto"/>
              </w:rPr>
              <w:t>2,559,888</w:t>
            </w:r>
          </w:p>
        </w:tc>
        <w:tc>
          <w:tcPr>
            <w:tcW w:w="0" w:type="dxa"/>
            <w:vAlign w:val="bottom"/>
          </w:tcPr>
          <w:p>
            <w:pPr>
              <w:spacing w:after="0"/>
              <w:rPr>
                <w:sz w:val="1"/>
                <w:szCs w:val="1"/>
                <w:color w:val="auto"/>
              </w:rPr>
            </w:pP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HONEYWELL EXCESS BENEFIT PLAN AND HONEYWELL SUPPLEMENTAL SAVINGS PLAN</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Supplemental Savings Plan allows Honeywell executives, including the NEOs, to defer the portion of their annual base salary that cannot be contributed to the Company’s tax-qualified 401(k) plan due to the annual deferral and compensation limits imposed by the Internal Revenue Code and/or up to an additional 25% of base annual salary for the plan year.</w:t>
      </w:r>
    </w:p>
    <w:p>
      <w:pPr>
        <w:spacing w:after="0" w:line="5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 the extent amounts were not already matched on a similar basis under the Company’s 401(k) plan, Honeywell matched deferrals posted to the SS Plan at the rate of 87.5% on the first 8% of eligible pay. Matching contributions are always vested and are credited on an annual basis if the participant was actively employed or on a disability leave of absence as of December 15, 2023.</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16"/>
          <w:szCs w:val="16"/>
          <w:color w:val="auto"/>
        </w:rPr>
        <w:t>Participant deferrals for the 2005 plan year and later are credited with a rate of interest, compounded daily, based on the Company’s 15-year</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borrowing. The rate is subject to change annually, and for 2023, this rate was 5.11%. Participant deferrals for the 2004 plan year and earlier are credited with a rate of interest, compounded daily, that was set by the Management Development and Compensation Committee (MDCC) before the beginning of each plan year and is fixed until the deferral is distributed. Prior to the 2005 plan year, the MDCC would set the rate at an above-market rate to retain executives. Above-market interest credited on SS Plan deferrals and reflected in the Summary Compensation Table on page 81 includes the difference between market interest rates determined by SEC rules and the interest credited under the SS Plan. Matching contributions are treated as invested in common stock. Dividends are treated as reinvested in additional shares of common stock.</w:t>
      </w:r>
    </w:p>
    <w:p>
      <w:pPr>
        <w:spacing w:after="0" w:line="6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color w:val="auto"/>
        </w:rPr>
        <w:t xml:space="preserve">Distribution. </w:t>
      </w:r>
      <w:r>
        <w:rPr>
          <w:rFonts w:ascii="Arial" w:cs="Arial" w:eastAsia="Arial" w:hAnsi="Arial"/>
          <w:sz w:val="16"/>
          <w:szCs w:val="16"/>
          <w:color w:val="auto"/>
        </w:rPr>
        <w:t>Amounts deferred for the 2005 plan year and later will be distributed in a lump sum in January of the year following the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active employment. For the 2020 plan year and later, a participant can elect to receive five, 10, or 15 installments in lieu of the lump sum payment, which election will take effect only if the participant terminates employment after reaching age 55 with 10 years of service; for the 2006 to 2019 plan years, a participant could elect up to 10 installments under the same terms.</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Except in hardship circumstances, amounts deferred for the 2004 plan year and earlier will be distributed either in January of any subsequent year or in January of the year following termination of employment, as elected by the participant. The participant could elect to receive distributions in a lump sum or up to 15 annual installments.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Participant deferrals to the SS Plan are distributed in cash only. Matching contributions are distributed in shares of Honeywell common stock.</w:t>
      </w:r>
    </w:p>
    <w:p>
      <w:pPr>
        <w:spacing w:after="0" w:line="113" w:lineRule="exact"/>
        <w:rPr>
          <w:sz w:val="20"/>
          <w:szCs w:val="20"/>
          <w:color w:val="auto"/>
        </w:rPr>
      </w:pPr>
    </w:p>
    <w:p>
      <w:pPr>
        <w:jc w:val="both"/>
        <w:ind w:right="80"/>
        <w:spacing w:after="0" w:line="304" w:lineRule="auto"/>
        <w:rPr>
          <w:sz w:val="20"/>
          <w:szCs w:val="20"/>
          <w:color w:val="auto"/>
        </w:rPr>
      </w:pPr>
      <w:r>
        <w:rPr>
          <w:rFonts w:ascii="Arial" w:cs="Arial" w:eastAsia="Arial" w:hAnsi="Arial"/>
          <w:sz w:val="16"/>
          <w:szCs w:val="16"/>
          <w:color w:val="auto"/>
        </w:rPr>
        <w:t>Amounts deferred for the 2005 plan year and later cannot be withdrawn before the distribution date for any reason. Amounts deferred for the 2004 plan year and earlier may be withdrawn before the distribution date if a hardship exists or the participant requests an immediate withdrawal subject to a penalty of 6%.</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HONEYWELL SALARY AND INCENTIVE AWARD DEFERRAL PLAN FOR SELECTED EMPLOYEES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Honeywell DIC Plan allows Honeywell executives, including the NEOs, to defer all or a portion of their annual cash incentive compensation.</w:t>
      </w:r>
    </w:p>
    <w:p>
      <w:pPr>
        <w:spacing w:after="0" w:line="12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b w:val="1"/>
          <w:bCs w:val="1"/>
          <w:color w:val="auto"/>
        </w:rPr>
        <w:t xml:space="preserve">Interest Rate. </w:t>
      </w:r>
      <w:r>
        <w:rPr>
          <w:rFonts w:ascii="Arial" w:cs="Arial" w:eastAsia="Arial" w:hAnsi="Arial"/>
          <w:sz w:val="16"/>
          <w:szCs w:val="16"/>
          <w:color w:val="auto"/>
        </w:rPr>
        <w:t>Beginning in 2005, deferrals are credited with a rate of interest, based on Honeywell’s 15-year borrowing rate, which is set annually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beginning of the year (5.11% for 2023). Amounts deferred for the 2004 plan year and earlier are credited with a rate of interest, compounded daily, that was set by the MDCC before the beginning of each plan year and is fixed until the deferral is distributed. Prior to the 2005 plan year, the MDCC would set the total rate at an above-market rate to retain executives. Above-market interest credited on DIC Plan deferrals and reflected in the Summary Compensation Table on page 81 includes the difference between market interest rates determined by SEC rules and the interest credited under the DIC Plan.</w:t>
      </w:r>
    </w:p>
    <w:p>
      <w:pPr>
        <w:spacing w:after="0" w:line="83"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b w:val="1"/>
          <w:bCs w:val="1"/>
          <w:color w:val="auto"/>
        </w:rPr>
        <w:t xml:space="preserve">Distribution. </w:t>
      </w:r>
      <w:r>
        <w:rPr>
          <w:rFonts w:ascii="Arial" w:cs="Arial" w:eastAsia="Arial" w:hAnsi="Arial"/>
          <w:sz w:val="16"/>
          <w:szCs w:val="16"/>
          <w:color w:val="auto"/>
        </w:rPr>
        <w:t>Amounts deferred for the 2006 plan year and later will be distributed in a lump sum in January of the year following the termination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active employment. For the 2020 plan year and later, a participant can elect to receive five, 10, or 15 installments in lieu of the lump sum payment, which election will take effect only if the participant terminates employment after reaching age 55 with 10 years of service; for the 2006 to 2019 plan years, a participant could elect up to 10 installments under the same terms.</w:t>
      </w:r>
    </w:p>
    <w:p>
      <w:pPr>
        <w:spacing w:after="0" w:line="65"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Except in hardship circumstances (if permitted), amounts deferred for the 2005 plan year and earlier will be distributed either in January of any year three years after the compensation was earned or in January of the year following termination of the participant’s employment, as elected by the participant. The participant could elect to receive non-hardship distributions in a lump sum or up to 15 annual installments.</w:t>
      </w:r>
    </w:p>
    <w:p>
      <w:pPr>
        <w:spacing w:after="0" w:line="210"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sz w:val="1"/>
          <w:szCs w:val="1"/>
          <w:color w:val="auto"/>
        </w:rPr>
        <w:drawing>
          <wp:inline distT="0" distB="0" distL="0" distR="0">
            <wp:extent cx="548640" cy="10287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Amounts deferred for the 2002 plan year and later cannot be withdrawn before the distribution date for any reason. Amounts deferred for the 2001 plan year and earlier may be withdrawn before the distribution date if a hardship exists or the participant requests an immediate withdrawal subject to a penalty that ranges from 0% to 6% and that is based on the 10-year Treasury bond rate at the beginning of the calendar quarter.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DEFERRAL OF RSUs</w:t>
      </w:r>
    </w:p>
    <w:p>
      <w:pPr>
        <w:spacing w:after="0" w:line="112"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NEOs may defer the receipt of up to 100% of certain RSUs upon vesting based on an election made at the time of grant. The executive may defer payment to:</w:t>
      </w:r>
    </w:p>
    <w:p>
      <w:pPr>
        <w:spacing w:after="0" w:line="33" w:lineRule="exact"/>
        <w:rPr>
          <w:sz w:val="20"/>
          <w:szCs w:val="20"/>
          <w:color w:val="auto"/>
        </w:rPr>
      </w:pPr>
    </w:p>
    <w:p>
      <w:pPr>
        <w:ind w:left="200" w:hanging="192"/>
        <w:spacing w:after="0"/>
        <w:tabs>
          <w:tab w:leader="none" w:pos="200" w:val="left"/>
        </w:tabs>
        <w:numPr>
          <w:ilvl w:val="0"/>
          <w:numId w:val="187"/>
        </w:numPr>
        <w:rPr>
          <w:rFonts w:ascii="Arial" w:cs="Arial" w:eastAsia="Arial" w:hAnsi="Arial"/>
          <w:sz w:val="16"/>
          <w:szCs w:val="16"/>
          <w:b w:val="1"/>
          <w:bCs w:val="1"/>
          <w:color w:val="D7282F"/>
        </w:rPr>
      </w:pPr>
      <w:r>
        <w:rPr>
          <w:rFonts w:ascii="Arial" w:cs="Arial" w:eastAsia="Arial" w:hAnsi="Arial"/>
          <w:sz w:val="16"/>
          <w:szCs w:val="16"/>
          <w:color w:val="auto"/>
        </w:rPr>
        <w:t>A specific year after the vesting year; or</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87"/>
        </w:numPr>
        <w:rPr>
          <w:rFonts w:ascii="Arial" w:cs="Arial" w:eastAsia="Arial" w:hAnsi="Arial"/>
          <w:sz w:val="16"/>
          <w:szCs w:val="16"/>
          <w:b w:val="1"/>
          <w:bCs w:val="1"/>
          <w:color w:val="D7282F"/>
        </w:rPr>
      </w:pPr>
      <w:r>
        <w:rPr>
          <w:rFonts w:ascii="Arial" w:cs="Arial" w:eastAsia="Arial" w:hAnsi="Arial"/>
          <w:sz w:val="16"/>
          <w:szCs w:val="16"/>
          <w:color w:val="auto"/>
        </w:rPr>
        <w:t>The year following the executive’s termination of active employment.</w:t>
      </w:r>
    </w:p>
    <w:p>
      <w:pPr>
        <w:spacing w:after="0" w:line="113"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executive can also choose to receive payment in a lump sum or up to 15 annual installments and can also elect at the time of grant to accelerate the form and timing of payment following a Change in Control to a lump sum paid no later than 90 days following the change in control. Cash dividend equivalents on deferred RSUs (determined at the same rate as a regular share of common stock) are converted to additional deferred RSUs as of the dividend payment date and are subject to the same payment schedule and restrictions as the underlying deferred RSUs. For grants made before July 2004, an executive could also defer dividend equivalents in cash and such amounts are credited with interest at a 10% rate, compounded daily, until payment. The practice of deferring dividend equivalents in cash ended in July 2004. Ms. Madden is the only NEO with legacy deferred RSU awards under these prior provisions. Above-market interest related to Ms. Madden's deferred RSU dividend equivalents is included on the Summary Compensation Table as the difference between market interest rates determined by SEC rules and the 10% interest credited by the Company on her pre-July 2004 grants, the terms of which cannot be amended.</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UNVESTED DIVIDEND EQUIVALENTS</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dividend equivalents on unvested RSUs (determined at the same rate as a regular share of common stock) are converted to additional unvested RSUs as of the dividend payment date and are subject to the same vesting schedule and restrictions as the underlying RSUs.</w:t>
      </w:r>
    </w:p>
    <w:p>
      <w:pPr>
        <w:spacing w:after="0" w:line="6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terms of the SERP Plan, the SS Plan, the DIC Plan, the deferred RSUs, and the unvested dividend equivalents are subject to the requirements of, and regulations and guidance published by, Section 409A of the Internal Revenue Code.</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This section describes the benefits payable to our NEOs in two circumstances:</w:t>
      </w:r>
    </w:p>
    <w:p>
      <w:pPr>
        <w:spacing w:after="0" w:line="113" w:lineRule="exact"/>
        <w:rPr>
          <w:sz w:val="20"/>
          <w:szCs w:val="20"/>
          <w:color w:val="auto"/>
        </w:rPr>
      </w:pPr>
    </w:p>
    <w:p>
      <w:pPr>
        <w:ind w:left="200" w:hanging="192"/>
        <w:spacing w:after="0"/>
        <w:tabs>
          <w:tab w:leader="none" w:pos="200" w:val="left"/>
        </w:tabs>
        <w:numPr>
          <w:ilvl w:val="0"/>
          <w:numId w:val="188"/>
        </w:numPr>
        <w:rPr>
          <w:rFonts w:ascii="Arial" w:cs="Arial" w:eastAsia="Arial" w:hAnsi="Arial"/>
          <w:sz w:val="16"/>
          <w:szCs w:val="16"/>
          <w:b w:val="1"/>
          <w:bCs w:val="1"/>
          <w:color w:val="D7282F"/>
        </w:rPr>
      </w:pPr>
      <w:r>
        <w:rPr>
          <w:rFonts w:ascii="Arial" w:cs="Arial" w:eastAsia="Arial" w:hAnsi="Arial"/>
          <w:sz w:val="16"/>
          <w:szCs w:val="16"/>
          <w:color w:val="auto"/>
        </w:rPr>
        <w:t>Termination of Employment</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188"/>
        </w:numPr>
        <w:rPr>
          <w:rFonts w:ascii="Arial" w:cs="Arial" w:eastAsia="Arial" w:hAnsi="Arial"/>
          <w:sz w:val="16"/>
          <w:szCs w:val="16"/>
          <w:b w:val="1"/>
          <w:bCs w:val="1"/>
          <w:color w:val="D7282F"/>
        </w:rPr>
      </w:pPr>
      <w:r>
        <w:rPr>
          <w:rFonts w:ascii="Arial" w:cs="Arial" w:eastAsia="Arial" w:hAnsi="Arial"/>
          <w:sz w:val="16"/>
          <w:szCs w:val="16"/>
          <w:color w:val="auto"/>
        </w:rPr>
        <w:t>Change in Control (CIC)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SENIOR SEVERANCE PLAN</w:t>
      </w:r>
    </w:p>
    <w:p>
      <w:pPr>
        <w:spacing w:after="0" w:line="112"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These benefits are determined primarily under a plan that we refer to as our Senior Severance Plan. In addition to the Senior Severance Plan, other of our benefits plans, such as our annual incentive compensation plan, also have provisions that impact these benefits.</w:t>
      </w:r>
    </w:p>
    <w:p>
      <w:pPr>
        <w:spacing w:after="0" w:line="3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These benefits ensure that our executives are motivated primarily by the needs of the businesses for which they are responsible, rather than circumstances that are outside the ordinary course of business, i.e., circumstances that might lead to the termination of an executive’s employment or that might lead to a CIC of the Company. Generally, this is achieved by assuring our NEOs that they will receive a level of continued compensation if their employment is adversely affected in these circumstances, subject to certain conditions. We believe that these benefits help ensure that affected executives act in the best interests of our shareowners, even if such actions are otherwise contrary to their personal interests. This is critical because these are circumstances in which the actions of our NEOs may have a material impact upon our shareowners. Accordingly, we set the level and terms of these benefits in a way that we believe is necessary to obtain the desired results. The level of benefit and the rights to benefits are determined by the type of termination event, as described below. We believe that these benefits are generally in line with current market practices and are particularly important as we do not maintain employment agreements with our NEOs.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91</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Benefits provided under the Senior Severance Plan are conditioned on the executive executing a full release of claims and certain non-competition and non-solicitation covenants in favor of the Company. The right to continued severance benefits under the plan ceases in the event of a violation of such covenants. In addition, we would seek to recover severance benefits already paid to any executive who violates such restrictive covenants.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the case of a CIC, severance benefits are payable only if both parts of the “double trigger” are satisfied. That is, (i) there must be a CIC of our Company, and (ii)(A) the NEO must be involuntarily terminated other than for cause, or (ii)(B) the NEO must initiate the termination of his own employment for good reason. Similarly, the Company also amended its stock incentive plan in 2014 to eliminate automatic single-trigger vesting of all new equity and Performance Plan Unit awards that are rolled-over upon a CIC.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SUMMARY OF BENEFITS — TERMINATION EVENTS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following table summarizes the termination of employment and CIC benefits payable to our NEOs. None of these termination benefits are payable to NEOs who voluntarily resign (other than voluntary resignations for good reason after a CIC) or whose employment is terminated by us for cause. The information in the table below assumes, in each case, that termination of employment occurred on December 31, 2023. Pension and non-qualified deferred compensation benefits, which are described elsewhere in this Proxy Statement, are not included in the table below in accordance with applicable SEC rules, even though they may become payable upon the occurrence of the events specified in the table. The effect of a termination of employment or CIC on outstanding stock options, RSUs, and PSUs is described in the section below entitled “Impact on Equity-Based Awards.” Mr. Adamczyk will no longer be eligible for severance plan benefits, effective June 7,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Change in Control —</w:t>
            </w:r>
          </w:p>
        </w:tc>
      </w:tr>
      <w:tr>
        <w:trPr>
          <w:trHeight w:val="148"/>
        </w:trPr>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Termination of</w:t>
            </w:r>
          </w:p>
        </w:tc>
      </w:tr>
      <w:tr>
        <w:trPr>
          <w:trHeight w:val="148"/>
        </w:trPr>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Employment by</w:t>
            </w:r>
          </w:p>
        </w:tc>
      </w:tr>
      <w:tr>
        <w:trPr>
          <w:trHeight w:val="148"/>
        </w:trPr>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Company Without</w:t>
            </w:r>
          </w:p>
        </w:tc>
      </w:tr>
      <w:tr>
        <w:trPr>
          <w:trHeight w:val="148"/>
        </w:trPr>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Termination by</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40" w:type="dxa"/>
            <w:vAlign w:val="bottom"/>
            <w:gridSpan w:val="2"/>
          </w:tcPr>
          <w:p>
            <w:pPr>
              <w:jc w:val="right"/>
              <w:ind w:right="188"/>
              <w:spacing w:after="0"/>
              <w:rPr>
                <w:sz w:val="20"/>
                <w:szCs w:val="20"/>
                <w:color w:val="auto"/>
              </w:rPr>
            </w:pPr>
            <w:r>
              <w:rPr>
                <w:rFonts w:ascii="Arial" w:cs="Arial" w:eastAsia="Arial" w:hAnsi="Arial"/>
                <w:sz w:val="13"/>
                <w:szCs w:val="13"/>
                <w:b w:val="1"/>
                <w:bCs w:val="1"/>
                <w:color w:val="auto"/>
              </w:rPr>
              <w:t>Change in Control —</w:t>
            </w:r>
          </w:p>
        </w:tc>
        <w:tc>
          <w:tcPr>
            <w:tcW w:w="15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Cause, by NEO for</w:t>
            </w:r>
          </w:p>
        </w:tc>
      </w:tr>
      <w:tr>
        <w:trPr>
          <w:trHeight w:val="149"/>
        </w:trPr>
        <w:tc>
          <w:tcPr>
            <w:tcW w:w="1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ind w:left="20"/>
              <w:spacing w:after="0"/>
              <w:rPr>
                <w:sz w:val="20"/>
                <w:szCs w:val="20"/>
                <w:color w:val="auto"/>
              </w:rPr>
            </w:pPr>
            <w:r>
              <w:rPr>
                <w:rFonts w:ascii="Arial" w:cs="Arial" w:eastAsia="Arial" w:hAnsi="Arial"/>
                <w:sz w:val="13"/>
                <w:szCs w:val="13"/>
                <w:b w:val="1"/>
                <w:bCs w:val="1"/>
                <w:color w:val="auto"/>
              </w:rPr>
              <w:t>Named Executive</w:t>
            </w:r>
          </w:p>
        </w:tc>
        <w:tc>
          <w:tcPr>
            <w:tcW w:w="5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the Company</w:t>
            </w: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40" w:type="dxa"/>
            <w:vAlign w:val="bottom"/>
            <w:gridSpan w:val="2"/>
          </w:tcPr>
          <w:p>
            <w:pPr>
              <w:jc w:val="right"/>
              <w:ind w:right="228"/>
              <w:spacing w:after="0"/>
              <w:rPr>
                <w:sz w:val="20"/>
                <w:szCs w:val="20"/>
                <w:color w:val="auto"/>
              </w:rPr>
            </w:pPr>
            <w:r>
              <w:rPr>
                <w:rFonts w:ascii="Arial" w:cs="Arial" w:eastAsia="Arial" w:hAnsi="Arial"/>
                <w:sz w:val="13"/>
                <w:szCs w:val="13"/>
                <w:b w:val="1"/>
                <w:bCs w:val="1"/>
                <w:color w:val="auto"/>
              </w:rPr>
              <w:t>No Termination of</w:t>
            </w:r>
          </w:p>
        </w:tc>
        <w:tc>
          <w:tcPr>
            <w:tcW w:w="1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Good Reason, or Due</w:t>
            </w:r>
          </w:p>
        </w:tc>
      </w:tr>
      <w:tr>
        <w:trPr>
          <w:trHeight w:val="185"/>
        </w:trPr>
        <w:tc>
          <w:tcPr>
            <w:tcW w:w="1560" w:type="dxa"/>
            <w:vAlign w:val="bottom"/>
          </w:tcPr>
          <w:p>
            <w:pPr>
              <w:ind w:left="20"/>
              <w:spacing w:after="0"/>
              <w:rPr>
                <w:sz w:val="20"/>
                <w:szCs w:val="20"/>
                <w:color w:val="auto"/>
              </w:rPr>
            </w:pPr>
            <w:r>
              <w:rPr>
                <w:rFonts w:ascii="Arial" w:cs="Arial" w:eastAsia="Arial" w:hAnsi="Arial"/>
                <w:sz w:val="13"/>
                <w:szCs w:val="13"/>
                <w:b w:val="1"/>
                <w:bCs w:val="1"/>
                <w:color w:val="auto"/>
              </w:rPr>
              <w:t>Payments and Benefits</w:t>
            </w:r>
          </w:p>
        </w:tc>
        <w:tc>
          <w:tcPr>
            <w:tcW w:w="98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3"/>
                <w:szCs w:val="13"/>
                <w:b w:val="1"/>
                <w:bCs w:val="1"/>
                <w:color w:val="auto"/>
              </w:rPr>
              <w:t>Officer</w:t>
            </w:r>
          </w:p>
        </w:tc>
        <w:tc>
          <w:tcPr>
            <w:tcW w:w="5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Without Cause</w:t>
            </w:r>
          </w:p>
        </w:tc>
        <w:tc>
          <w:tcPr>
            <w:tcW w:w="34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3"/>
                <w:szCs w:val="13"/>
                <w:b w:val="1"/>
                <w:bCs w:val="1"/>
                <w:color w:val="auto"/>
              </w:rPr>
              <w:t>Death</w:t>
            </w:r>
          </w:p>
        </w:tc>
        <w:tc>
          <w:tcPr>
            <w:tcW w:w="32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3"/>
                <w:szCs w:val="13"/>
                <w:b w:val="1"/>
                <w:bCs w:val="1"/>
                <w:color w:val="auto"/>
              </w:rPr>
              <w:t>Disability</w:t>
            </w:r>
          </w:p>
        </w:tc>
        <w:tc>
          <w:tcPr>
            <w:tcW w:w="620" w:type="dxa"/>
            <w:vAlign w:val="bottom"/>
          </w:tcPr>
          <w:p>
            <w:pPr>
              <w:spacing w:after="0"/>
              <w:rPr>
                <w:sz w:val="16"/>
                <w:szCs w:val="16"/>
                <w:color w:val="auto"/>
              </w:rPr>
            </w:pPr>
          </w:p>
        </w:tc>
        <w:tc>
          <w:tcPr>
            <w:tcW w:w="1120" w:type="dxa"/>
            <w:vAlign w:val="bottom"/>
          </w:tcPr>
          <w:p>
            <w:pPr>
              <w:jc w:val="right"/>
              <w:ind w:right="188"/>
              <w:spacing w:after="0"/>
              <w:rPr>
                <w:sz w:val="20"/>
                <w:szCs w:val="20"/>
                <w:color w:val="auto"/>
              </w:rPr>
            </w:pPr>
            <w:r>
              <w:rPr>
                <w:rFonts w:ascii="Arial" w:cs="Arial" w:eastAsia="Arial" w:hAnsi="Arial"/>
                <w:sz w:val="13"/>
                <w:szCs w:val="13"/>
                <w:b w:val="1"/>
                <w:bCs w:val="1"/>
                <w:color w:val="auto"/>
              </w:rPr>
              <w:t>Employment</w:t>
            </w:r>
          </w:p>
        </w:tc>
        <w:tc>
          <w:tcPr>
            <w:tcW w:w="158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to Disability</w:t>
            </w:r>
          </w:p>
        </w:tc>
      </w:tr>
      <w:tr>
        <w:trPr>
          <w:trHeight w:val="22"/>
        </w:trPr>
        <w:tc>
          <w:tcPr>
            <w:tcW w:w="1560" w:type="dxa"/>
            <w:vAlign w:val="bottom"/>
            <w:tcBorders>
              <w:bottom w:val="single" w:sz="8" w:color="D7282F"/>
            </w:tcBorders>
          </w:tcPr>
          <w:p>
            <w:pPr>
              <w:spacing w:after="0" w:line="20" w:lineRule="exact"/>
              <w:rPr>
                <w:sz w:val="1"/>
                <w:szCs w:val="1"/>
                <w:color w:val="auto"/>
              </w:rPr>
            </w:pPr>
          </w:p>
        </w:tc>
        <w:tc>
          <w:tcPr>
            <w:tcW w:w="980" w:type="dxa"/>
            <w:vAlign w:val="bottom"/>
            <w:tcBorders>
              <w:bottom w:val="single" w:sz="8" w:color="D7282F"/>
            </w:tcBorders>
          </w:tcPr>
          <w:p>
            <w:pPr>
              <w:spacing w:after="0" w:line="20" w:lineRule="exact"/>
              <w:rPr>
                <w:sz w:val="1"/>
                <w:szCs w:val="1"/>
                <w:color w:val="auto"/>
              </w:rPr>
            </w:pPr>
          </w:p>
        </w:tc>
        <w:tc>
          <w:tcPr>
            <w:tcW w:w="1420" w:type="dxa"/>
            <w:vAlign w:val="bottom"/>
            <w:tcBorders>
              <w:bottom w:val="single" w:sz="8" w:color="D7282F"/>
            </w:tcBorders>
          </w:tcPr>
          <w:p>
            <w:pPr>
              <w:spacing w:after="0" w:line="20" w:lineRule="exact"/>
              <w:rPr>
                <w:sz w:val="1"/>
                <w:szCs w:val="1"/>
                <w:color w:val="auto"/>
              </w:rPr>
            </w:pPr>
          </w:p>
        </w:tc>
        <w:tc>
          <w:tcPr>
            <w:tcW w:w="500" w:type="dxa"/>
            <w:vAlign w:val="bottom"/>
            <w:tcBorders>
              <w:bottom w:val="single" w:sz="8" w:color="D7282F"/>
            </w:tcBorders>
          </w:tcPr>
          <w:p>
            <w:pPr>
              <w:spacing w:after="0" w:line="20" w:lineRule="exact"/>
              <w:rPr>
                <w:sz w:val="1"/>
                <w:szCs w:val="1"/>
                <w:color w:val="auto"/>
              </w:rPr>
            </w:pPr>
          </w:p>
        </w:tc>
        <w:tc>
          <w:tcPr>
            <w:tcW w:w="108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900" w:type="dxa"/>
            <w:vAlign w:val="bottom"/>
            <w:tcBorders>
              <w:bottom w:val="single" w:sz="8" w:color="D7282F"/>
            </w:tcBorders>
          </w:tcPr>
          <w:p>
            <w:pPr>
              <w:spacing w:after="0" w:line="20" w:lineRule="exact"/>
              <w:rPr>
                <w:sz w:val="1"/>
                <w:szCs w:val="1"/>
                <w:color w:val="auto"/>
              </w:rPr>
            </w:pPr>
          </w:p>
        </w:tc>
        <w:tc>
          <w:tcPr>
            <w:tcW w:w="620" w:type="dxa"/>
            <w:vAlign w:val="bottom"/>
            <w:tcBorders>
              <w:bottom w:val="single" w:sz="8" w:color="D7282F"/>
            </w:tcBorders>
          </w:tcPr>
          <w:p>
            <w:pPr>
              <w:spacing w:after="0" w:line="20" w:lineRule="exact"/>
              <w:rPr>
                <w:sz w:val="1"/>
                <w:szCs w:val="1"/>
                <w:color w:val="auto"/>
              </w:rPr>
            </w:pPr>
          </w:p>
        </w:tc>
        <w:tc>
          <w:tcPr>
            <w:tcW w:w="1120" w:type="dxa"/>
            <w:vAlign w:val="bottom"/>
            <w:tcBorders>
              <w:bottom w:val="single" w:sz="8" w:color="D7282F"/>
            </w:tcBorders>
          </w:tcPr>
          <w:p>
            <w:pPr>
              <w:spacing w:after="0" w:line="20" w:lineRule="exact"/>
              <w:rPr>
                <w:sz w:val="1"/>
                <w:szCs w:val="1"/>
                <w:color w:val="auto"/>
              </w:rPr>
            </w:pPr>
          </w:p>
        </w:tc>
        <w:tc>
          <w:tcPr>
            <w:tcW w:w="1560" w:type="dxa"/>
            <w:vAlign w:val="bottom"/>
            <w:tcBorders>
              <w:bottom w:val="single" w:sz="8" w:color="D728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1560" w:type="dxa"/>
            <w:vAlign w:val="bottom"/>
          </w:tcPr>
          <w:p>
            <w:pPr>
              <w:ind w:left="20"/>
              <w:spacing w:after="0"/>
              <w:rPr>
                <w:sz w:val="20"/>
                <w:szCs w:val="20"/>
                <w:color w:val="auto"/>
              </w:rPr>
            </w:pPr>
            <w:r>
              <w:rPr>
                <w:rFonts w:ascii="Arial" w:cs="Arial" w:eastAsia="Arial" w:hAnsi="Arial"/>
                <w:sz w:val="14"/>
                <w:szCs w:val="14"/>
                <w:b w:val="1"/>
                <w:bCs w:val="1"/>
                <w:color w:val="auto"/>
              </w:rPr>
              <w:t>Cash Severance</w:t>
            </w:r>
          </w:p>
        </w:tc>
        <w:tc>
          <w:tcPr>
            <w:tcW w:w="980" w:type="dxa"/>
            <w:vAlign w:val="bottom"/>
          </w:tcPr>
          <w:p>
            <w:pPr>
              <w:spacing w:after="0"/>
              <w:rPr>
                <w:sz w:val="18"/>
                <w:szCs w:val="18"/>
                <w:color w:val="auto"/>
              </w:rPr>
            </w:pPr>
          </w:p>
        </w:tc>
        <w:tc>
          <w:tcPr>
            <w:tcW w:w="14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Mr. Kapur</w:t>
            </w:r>
          </w:p>
        </w:tc>
        <w:tc>
          <w:tcPr>
            <w:tcW w:w="5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ind w:right="109"/>
              <w:spacing w:after="0"/>
              <w:rPr>
                <w:sz w:val="20"/>
                <w:szCs w:val="20"/>
                <w:color w:val="auto"/>
              </w:rPr>
            </w:pPr>
            <w:r>
              <w:rPr>
                <w:rFonts w:ascii="Arial" w:cs="Arial" w:eastAsia="Arial" w:hAnsi="Arial"/>
                <w:sz w:val="14"/>
                <w:szCs w:val="14"/>
                <w:color w:val="auto"/>
              </w:rPr>
              <w:t>12,375,000</w:t>
            </w:r>
          </w:p>
        </w:tc>
        <w:tc>
          <w:tcPr>
            <w:tcW w:w="34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939598"/>
            </w:tcBorders>
          </w:tcPr>
          <w:p>
            <w:pPr>
              <w:jc w:val="right"/>
              <w:ind w:right="34"/>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   12,375,000</w:t>
            </w:r>
          </w:p>
        </w:tc>
        <w:tc>
          <w:tcPr>
            <w:tcW w:w="20" w:type="dxa"/>
            <w:vAlign w:val="bottom"/>
          </w:tcPr>
          <w:p>
            <w:pPr>
              <w:spacing w:after="0"/>
              <w:rPr>
                <w:sz w:val="18"/>
                <w:szCs w:val="18"/>
                <w:color w:val="auto"/>
              </w:rPr>
            </w:pPr>
          </w:p>
        </w:tc>
      </w:tr>
      <w:tr>
        <w:trPr>
          <w:trHeight w:val="208"/>
        </w:trPr>
        <w:tc>
          <w:tcPr>
            <w:tcW w:w="1560" w:type="dxa"/>
            <w:vAlign w:val="bottom"/>
          </w:tcPr>
          <w:p>
            <w:pPr>
              <w:ind w:left="20"/>
              <w:spacing w:after="0"/>
              <w:rPr>
                <w:sz w:val="20"/>
                <w:szCs w:val="20"/>
                <w:color w:val="auto"/>
              </w:rPr>
            </w:pPr>
            <w:r>
              <w:rPr>
                <w:rFonts w:ascii="Arial" w:cs="Arial" w:eastAsia="Arial" w:hAnsi="Arial"/>
                <w:sz w:val="14"/>
                <w:szCs w:val="14"/>
                <w:color w:val="auto"/>
              </w:rPr>
              <w:t>(Base Salary + Bonus)</w:t>
            </w:r>
          </w:p>
        </w:tc>
        <w:tc>
          <w:tcPr>
            <w:tcW w:w="9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Lewis</w:t>
            </w:r>
          </w:p>
        </w:tc>
        <w:tc>
          <w:tcPr>
            <w:tcW w:w="500" w:type="dxa"/>
            <w:vAlign w:val="bottom"/>
          </w:tcPr>
          <w:p>
            <w:pPr>
              <w:spacing w:after="0"/>
              <w:rPr>
                <w:sz w:val="18"/>
                <w:szCs w:val="18"/>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2,946,000</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3,928,000</w:t>
            </w:r>
          </w:p>
        </w:tc>
        <w:tc>
          <w:tcPr>
            <w:tcW w:w="20" w:type="dxa"/>
            <w:vAlign w:val="bottom"/>
          </w:tcPr>
          <w:p>
            <w:pPr>
              <w:spacing w:after="0"/>
              <w:rPr>
                <w:sz w:val="18"/>
                <w:szCs w:val="18"/>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Ms. Madden</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2,805,000</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3,740,000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Boldea</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2,400,000</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3,200,000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1,440,000</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2,880,000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Adamczyk</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9,639,000</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9,639,000</w:t>
            </w:r>
          </w:p>
        </w:tc>
        <w:tc>
          <w:tcPr>
            <w:tcW w:w="20" w:type="dxa"/>
            <w:vAlign w:val="bottom"/>
          </w:tcPr>
          <w:p>
            <w:pPr>
              <w:spacing w:after="0"/>
              <w:rPr>
                <w:sz w:val="17"/>
                <w:szCs w:val="17"/>
                <w:color w:val="auto"/>
              </w:rPr>
            </w:pPr>
          </w:p>
        </w:tc>
      </w:tr>
      <w:tr>
        <w:trPr>
          <w:trHeight w:val="22"/>
        </w:trPr>
        <w:tc>
          <w:tcPr>
            <w:tcW w:w="156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60" w:type="dxa"/>
            <w:vAlign w:val="bottom"/>
          </w:tcPr>
          <w:p>
            <w:pPr>
              <w:ind w:left="20"/>
              <w:spacing w:after="0"/>
              <w:rPr>
                <w:sz w:val="20"/>
                <w:szCs w:val="20"/>
                <w:color w:val="auto"/>
              </w:rPr>
            </w:pPr>
            <w:r>
              <w:rPr>
                <w:rFonts w:ascii="Arial" w:cs="Arial" w:eastAsia="Arial" w:hAnsi="Arial"/>
                <w:sz w:val="14"/>
                <w:szCs w:val="14"/>
                <w:b w:val="1"/>
                <w:bCs w:val="1"/>
                <w:color w:val="auto"/>
              </w:rPr>
              <w:t>ICP</w:t>
            </w:r>
          </w:p>
        </w:tc>
        <w:tc>
          <w:tcPr>
            <w:tcW w:w="980" w:type="dxa"/>
            <w:vAlign w:val="bottom"/>
          </w:tcPr>
          <w:p>
            <w:pPr>
              <w:spacing w:after="0"/>
              <w:rPr>
                <w:sz w:val="18"/>
                <w:szCs w:val="18"/>
                <w:color w:val="auto"/>
              </w:rPr>
            </w:pPr>
          </w:p>
        </w:tc>
        <w:tc>
          <w:tcPr>
            <w:tcW w:w="14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Mr. Kapur</w:t>
            </w:r>
          </w:p>
        </w:tc>
        <w:tc>
          <w:tcPr>
            <w:tcW w:w="5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2,416,500</w:t>
            </w:r>
          </w:p>
        </w:tc>
        <w:tc>
          <w:tcPr>
            <w:tcW w:w="15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2,416,500</w:t>
            </w:r>
          </w:p>
        </w:tc>
        <w:tc>
          <w:tcPr>
            <w:tcW w:w="20" w:type="dxa"/>
            <w:vAlign w:val="bottom"/>
          </w:tcPr>
          <w:p>
            <w:pPr>
              <w:spacing w:after="0"/>
              <w:rPr>
                <w:sz w:val="18"/>
                <w:szCs w:val="18"/>
                <w:color w:val="auto"/>
              </w:rPr>
            </w:pPr>
          </w:p>
        </w:tc>
      </w:tr>
      <w:tr>
        <w:trPr>
          <w:trHeight w:val="208"/>
        </w:trPr>
        <w:tc>
          <w:tcPr>
            <w:tcW w:w="1560" w:type="dxa"/>
            <w:vAlign w:val="bottom"/>
          </w:tcPr>
          <w:p>
            <w:pPr>
              <w:ind w:left="20"/>
              <w:spacing w:after="0"/>
              <w:rPr>
                <w:sz w:val="20"/>
                <w:szCs w:val="20"/>
                <w:color w:val="auto"/>
              </w:rPr>
            </w:pPr>
            <w:r>
              <w:rPr>
                <w:rFonts w:ascii="Arial" w:cs="Arial" w:eastAsia="Arial" w:hAnsi="Arial"/>
                <w:sz w:val="14"/>
                <w:szCs w:val="14"/>
                <w:color w:val="auto"/>
              </w:rPr>
              <w:t>(Year of Termination)</w:t>
            </w:r>
          </w:p>
        </w:tc>
        <w:tc>
          <w:tcPr>
            <w:tcW w:w="9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Lewis</w:t>
            </w:r>
          </w:p>
        </w:tc>
        <w:tc>
          <w:tcPr>
            <w:tcW w:w="500" w:type="dxa"/>
            <w:vAlign w:val="bottom"/>
          </w:tcPr>
          <w:p>
            <w:pPr>
              <w:spacing w:after="0"/>
              <w:rPr>
                <w:sz w:val="18"/>
                <w:szCs w:val="18"/>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1,162,900</w:t>
            </w:r>
          </w:p>
        </w:tc>
        <w:tc>
          <w:tcPr>
            <w:tcW w:w="1560" w:type="dxa"/>
            <w:vAlign w:val="bottom"/>
          </w:tcPr>
          <w:p>
            <w:pPr>
              <w:jc w:val="right"/>
              <w:spacing w:after="0"/>
              <w:rPr>
                <w:sz w:val="20"/>
                <w:szCs w:val="20"/>
                <w:color w:val="auto"/>
              </w:rPr>
            </w:pPr>
            <w:r>
              <w:rPr>
                <w:rFonts w:ascii="Arial" w:cs="Arial" w:eastAsia="Arial" w:hAnsi="Arial"/>
                <w:sz w:val="14"/>
                <w:szCs w:val="14"/>
                <w:color w:val="auto"/>
              </w:rPr>
              <w:t>1,162,900</w:t>
            </w:r>
          </w:p>
        </w:tc>
        <w:tc>
          <w:tcPr>
            <w:tcW w:w="20" w:type="dxa"/>
            <w:vAlign w:val="bottom"/>
          </w:tcPr>
          <w:p>
            <w:pPr>
              <w:spacing w:after="0"/>
              <w:rPr>
                <w:sz w:val="18"/>
                <w:szCs w:val="18"/>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Ms. Madden</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1,076,500</w:t>
            </w:r>
          </w:p>
        </w:tc>
        <w:tc>
          <w:tcPr>
            <w:tcW w:w="1560" w:type="dxa"/>
            <w:vAlign w:val="bottom"/>
          </w:tcPr>
          <w:p>
            <w:pPr>
              <w:jc w:val="right"/>
              <w:spacing w:after="0"/>
              <w:rPr>
                <w:sz w:val="20"/>
                <w:szCs w:val="20"/>
                <w:color w:val="auto"/>
              </w:rPr>
            </w:pPr>
            <w:r>
              <w:rPr>
                <w:rFonts w:ascii="Arial" w:cs="Arial" w:eastAsia="Arial" w:hAnsi="Arial"/>
                <w:sz w:val="14"/>
                <w:szCs w:val="14"/>
                <w:color w:val="auto"/>
              </w:rPr>
              <w:t>1,076,500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Boldea</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975,200</w:t>
            </w:r>
          </w:p>
        </w:tc>
        <w:tc>
          <w:tcPr>
            <w:tcW w:w="1560" w:type="dxa"/>
            <w:vAlign w:val="bottom"/>
          </w:tcPr>
          <w:p>
            <w:pPr>
              <w:jc w:val="right"/>
              <w:spacing w:after="0"/>
              <w:rPr>
                <w:sz w:val="20"/>
                <w:szCs w:val="20"/>
                <w:color w:val="auto"/>
              </w:rPr>
            </w:pPr>
            <w:r>
              <w:rPr>
                <w:rFonts w:ascii="Arial" w:cs="Arial" w:eastAsia="Arial" w:hAnsi="Arial"/>
                <w:sz w:val="14"/>
                <w:szCs w:val="14"/>
                <w:color w:val="auto"/>
              </w:rPr>
              <w:t>975,200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700,800</w:t>
            </w:r>
          </w:p>
        </w:tc>
        <w:tc>
          <w:tcPr>
            <w:tcW w:w="1560" w:type="dxa"/>
            <w:vAlign w:val="bottom"/>
          </w:tcPr>
          <w:p>
            <w:pPr>
              <w:jc w:val="right"/>
              <w:spacing w:after="0"/>
              <w:rPr>
                <w:sz w:val="20"/>
                <w:szCs w:val="20"/>
                <w:color w:val="auto"/>
              </w:rPr>
            </w:pPr>
            <w:r>
              <w:rPr>
                <w:rFonts w:ascii="Arial" w:cs="Arial" w:eastAsia="Arial" w:hAnsi="Arial"/>
                <w:sz w:val="14"/>
                <w:szCs w:val="14"/>
                <w:color w:val="auto"/>
              </w:rPr>
              <w:t>700,800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Adamczyk</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2,834,000</w:t>
            </w:r>
          </w:p>
        </w:tc>
        <w:tc>
          <w:tcPr>
            <w:tcW w:w="1560" w:type="dxa"/>
            <w:vAlign w:val="bottom"/>
          </w:tcPr>
          <w:p>
            <w:pPr>
              <w:jc w:val="right"/>
              <w:spacing w:after="0"/>
              <w:rPr>
                <w:sz w:val="20"/>
                <w:szCs w:val="20"/>
                <w:color w:val="auto"/>
              </w:rPr>
            </w:pPr>
            <w:r>
              <w:rPr>
                <w:rFonts w:ascii="Arial" w:cs="Arial" w:eastAsia="Arial" w:hAnsi="Arial"/>
                <w:sz w:val="14"/>
                <w:szCs w:val="14"/>
                <w:color w:val="auto"/>
              </w:rPr>
              <w:t>2,834,000</w:t>
            </w:r>
          </w:p>
        </w:tc>
        <w:tc>
          <w:tcPr>
            <w:tcW w:w="20" w:type="dxa"/>
            <w:vAlign w:val="bottom"/>
          </w:tcPr>
          <w:p>
            <w:pPr>
              <w:spacing w:after="0"/>
              <w:rPr>
                <w:sz w:val="17"/>
                <w:szCs w:val="17"/>
                <w:color w:val="auto"/>
              </w:rPr>
            </w:pPr>
          </w:p>
        </w:tc>
      </w:tr>
      <w:tr>
        <w:trPr>
          <w:trHeight w:val="22"/>
        </w:trPr>
        <w:tc>
          <w:tcPr>
            <w:tcW w:w="2540" w:type="dxa"/>
            <w:vAlign w:val="bottom"/>
            <w:tcBorders>
              <w:bottom w:val="single" w:sz="8" w:color="939598"/>
            </w:tcBorders>
            <w:gridSpan w:val="2"/>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 and Perquisites</w:t>
            </w:r>
          </w:p>
        </w:tc>
        <w:tc>
          <w:tcPr>
            <w:tcW w:w="14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Mr. Kapur</w:t>
            </w:r>
          </w:p>
        </w:tc>
        <w:tc>
          <w:tcPr>
            <w:tcW w:w="5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109"/>
              <w:spacing w:after="0"/>
              <w:rPr>
                <w:sz w:val="20"/>
                <w:szCs w:val="20"/>
                <w:color w:val="auto"/>
              </w:rPr>
            </w:pPr>
            <w:r>
              <w:rPr>
                <w:rFonts w:ascii="Arial" w:cs="Arial" w:eastAsia="Arial" w:hAnsi="Arial"/>
                <w:sz w:val="14"/>
                <w:szCs w:val="14"/>
                <w:color w:val="auto"/>
              </w:rPr>
              <w:t>18,055</w:t>
            </w:r>
          </w:p>
        </w:tc>
        <w:tc>
          <w:tcPr>
            <w:tcW w:w="34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18,055</w:t>
            </w:r>
          </w:p>
        </w:tc>
        <w:tc>
          <w:tcPr>
            <w:tcW w:w="20" w:type="dxa"/>
            <w:vAlign w:val="bottom"/>
          </w:tcPr>
          <w:p>
            <w:pPr>
              <w:spacing w:after="0"/>
              <w:rPr>
                <w:sz w:val="18"/>
                <w:szCs w:val="18"/>
                <w:color w:val="auto"/>
              </w:rPr>
            </w:pPr>
          </w:p>
        </w:tc>
      </w:tr>
      <w:tr>
        <w:trPr>
          <w:trHeight w:val="208"/>
        </w:trPr>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Lewis</w:t>
            </w:r>
          </w:p>
        </w:tc>
        <w:tc>
          <w:tcPr>
            <w:tcW w:w="500" w:type="dxa"/>
            <w:vAlign w:val="bottom"/>
          </w:tcPr>
          <w:p>
            <w:pPr>
              <w:spacing w:after="0"/>
              <w:rPr>
                <w:sz w:val="18"/>
                <w:szCs w:val="18"/>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14,324</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19,099</w:t>
            </w:r>
          </w:p>
        </w:tc>
        <w:tc>
          <w:tcPr>
            <w:tcW w:w="20" w:type="dxa"/>
            <w:vAlign w:val="bottom"/>
          </w:tcPr>
          <w:p>
            <w:pPr>
              <w:spacing w:after="0"/>
              <w:rPr>
                <w:sz w:val="18"/>
                <w:szCs w:val="18"/>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Ms. Madden</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14,202</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18,936</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Boldea</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12,952</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17,269</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12,675</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16,900</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Adamczyk</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32,372</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32,372</w:t>
            </w:r>
          </w:p>
        </w:tc>
        <w:tc>
          <w:tcPr>
            <w:tcW w:w="20" w:type="dxa"/>
            <w:vAlign w:val="bottom"/>
          </w:tcPr>
          <w:p>
            <w:pPr>
              <w:spacing w:after="0"/>
              <w:rPr>
                <w:sz w:val="17"/>
                <w:szCs w:val="17"/>
                <w:color w:val="auto"/>
              </w:rPr>
            </w:pPr>
          </w:p>
        </w:tc>
      </w:tr>
      <w:tr>
        <w:trPr>
          <w:trHeight w:val="22"/>
        </w:trPr>
        <w:tc>
          <w:tcPr>
            <w:tcW w:w="2540" w:type="dxa"/>
            <w:vAlign w:val="bottom"/>
            <w:tcBorders>
              <w:bottom w:val="single" w:sz="8" w:color="939598"/>
            </w:tcBorders>
            <w:gridSpan w:val="2"/>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254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 Payments/Benefits</w:t>
            </w:r>
          </w:p>
        </w:tc>
        <w:tc>
          <w:tcPr>
            <w:tcW w:w="14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Mr. Kapur</w:t>
            </w:r>
          </w:p>
        </w:tc>
        <w:tc>
          <w:tcPr>
            <w:tcW w:w="5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8"/>
        </w:trPr>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Lewis</w:t>
            </w:r>
          </w:p>
        </w:tc>
        <w:tc>
          <w:tcPr>
            <w:tcW w:w="500" w:type="dxa"/>
            <w:vAlign w:val="bottom"/>
          </w:tcPr>
          <w:p>
            <w:pPr>
              <w:spacing w:after="0"/>
              <w:rPr>
                <w:sz w:val="18"/>
                <w:szCs w:val="18"/>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Ms. Madden</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204,759</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Boldea</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265,825</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265,825</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265,825</w:t>
            </w:r>
          </w:p>
        </w:tc>
        <w:tc>
          <w:tcPr>
            <w:tcW w:w="20" w:type="dxa"/>
            <w:vAlign w:val="bottom"/>
          </w:tcPr>
          <w:p>
            <w:pPr>
              <w:spacing w:after="0"/>
              <w:rPr>
                <w:sz w:val="17"/>
                <w:szCs w:val="17"/>
                <w:color w:val="auto"/>
              </w:rPr>
            </w:pPr>
          </w:p>
        </w:tc>
      </w:tr>
      <w:tr>
        <w:trPr>
          <w:trHeight w:val="22"/>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Adamczyk</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1"/>
        </w:trPr>
        <w:tc>
          <w:tcPr>
            <w:tcW w:w="156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980" w:type="dxa"/>
            <w:vAlign w:val="bottom"/>
          </w:tcPr>
          <w:p>
            <w:pPr>
              <w:spacing w:after="0"/>
              <w:rPr>
                <w:sz w:val="18"/>
                <w:szCs w:val="18"/>
                <w:color w:val="auto"/>
              </w:rPr>
            </w:pPr>
          </w:p>
        </w:tc>
        <w:tc>
          <w:tcPr>
            <w:tcW w:w="14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Mr. Kapur</w:t>
            </w:r>
          </w:p>
        </w:tc>
        <w:tc>
          <w:tcPr>
            <w:tcW w:w="5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jc w:val="right"/>
              <w:ind w:right="109"/>
              <w:spacing w:after="0"/>
              <w:rPr>
                <w:sz w:val="20"/>
                <w:szCs w:val="20"/>
                <w:color w:val="auto"/>
              </w:rPr>
            </w:pPr>
            <w:r>
              <w:rPr>
                <w:rFonts w:ascii="Arial" w:cs="Arial" w:eastAsia="Arial" w:hAnsi="Arial"/>
                <w:sz w:val="14"/>
                <w:szCs w:val="14"/>
                <w:color w:val="auto"/>
              </w:rPr>
              <w:t>12,393,055</w:t>
            </w:r>
          </w:p>
        </w:tc>
        <w:tc>
          <w:tcPr>
            <w:tcW w:w="340" w:type="dxa"/>
            <w:vAlign w:val="bottom"/>
            <w:tcBorders>
              <w:bottom w:val="single" w:sz="8" w:color="939598"/>
            </w:tcBorders>
          </w:tcPr>
          <w:p>
            <w:pPr>
              <w:spacing w:after="0"/>
              <w:rPr>
                <w:sz w:val="18"/>
                <w:szCs w:val="18"/>
                <w:color w:val="auto"/>
              </w:rPr>
            </w:pPr>
          </w:p>
        </w:tc>
        <w:tc>
          <w:tcPr>
            <w:tcW w:w="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spacing w:after="0"/>
              <w:rPr>
                <w:sz w:val="18"/>
                <w:szCs w:val="18"/>
                <w:color w:val="auto"/>
              </w:rPr>
            </w:pPr>
          </w:p>
        </w:tc>
        <w:tc>
          <w:tcPr>
            <w:tcW w:w="90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939598"/>
            </w:tcBorders>
          </w:tcPr>
          <w:p>
            <w:pPr>
              <w:spacing w:after="0"/>
              <w:rPr>
                <w:sz w:val="18"/>
                <w:szCs w:val="18"/>
                <w:color w:val="auto"/>
              </w:rPr>
            </w:pPr>
          </w:p>
        </w:tc>
        <w:tc>
          <w:tcPr>
            <w:tcW w:w="112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2,416,500</w:t>
            </w:r>
          </w:p>
        </w:tc>
        <w:tc>
          <w:tcPr>
            <w:tcW w:w="15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14,809,555</w:t>
            </w:r>
          </w:p>
        </w:tc>
        <w:tc>
          <w:tcPr>
            <w:tcW w:w="20" w:type="dxa"/>
            <w:vAlign w:val="bottom"/>
          </w:tcPr>
          <w:p>
            <w:pPr>
              <w:spacing w:after="0"/>
              <w:rPr>
                <w:sz w:val="18"/>
                <w:szCs w:val="18"/>
                <w:color w:val="auto"/>
              </w:rPr>
            </w:pPr>
          </w:p>
        </w:tc>
      </w:tr>
      <w:tr>
        <w:trPr>
          <w:trHeight w:val="208"/>
        </w:trPr>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Lewis</w:t>
            </w:r>
          </w:p>
        </w:tc>
        <w:tc>
          <w:tcPr>
            <w:tcW w:w="500" w:type="dxa"/>
            <w:vAlign w:val="bottom"/>
          </w:tcPr>
          <w:p>
            <w:pPr>
              <w:spacing w:after="0"/>
              <w:rPr>
                <w:sz w:val="18"/>
                <w:szCs w:val="18"/>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2,960,324</w:t>
            </w:r>
          </w:p>
        </w:tc>
        <w:tc>
          <w:tcPr>
            <w:tcW w:w="34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8"/>
                <w:szCs w:val="18"/>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1,162,900</w:t>
            </w:r>
          </w:p>
        </w:tc>
        <w:tc>
          <w:tcPr>
            <w:tcW w:w="1560" w:type="dxa"/>
            <w:vAlign w:val="bottom"/>
          </w:tcPr>
          <w:p>
            <w:pPr>
              <w:jc w:val="right"/>
              <w:spacing w:after="0"/>
              <w:rPr>
                <w:sz w:val="20"/>
                <w:szCs w:val="20"/>
                <w:color w:val="auto"/>
              </w:rPr>
            </w:pPr>
            <w:r>
              <w:rPr>
                <w:rFonts w:ascii="Arial" w:cs="Arial" w:eastAsia="Arial" w:hAnsi="Arial"/>
                <w:sz w:val="14"/>
                <w:szCs w:val="14"/>
                <w:color w:val="auto"/>
              </w:rPr>
              <w:t>5,109,999</w:t>
            </w:r>
          </w:p>
        </w:tc>
        <w:tc>
          <w:tcPr>
            <w:tcW w:w="20" w:type="dxa"/>
            <w:vAlign w:val="bottom"/>
          </w:tcPr>
          <w:p>
            <w:pPr>
              <w:spacing w:after="0"/>
              <w:rPr>
                <w:sz w:val="18"/>
                <w:szCs w:val="18"/>
                <w:color w:val="auto"/>
              </w:rPr>
            </w:pPr>
          </w:p>
        </w:tc>
      </w:tr>
      <w:tr>
        <w:trPr>
          <w:trHeight w:val="21"/>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Ms. Madden</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2,819,202</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1,076,500</w:t>
            </w:r>
          </w:p>
        </w:tc>
        <w:tc>
          <w:tcPr>
            <w:tcW w:w="1560" w:type="dxa"/>
            <w:vAlign w:val="bottom"/>
          </w:tcPr>
          <w:p>
            <w:pPr>
              <w:jc w:val="right"/>
              <w:spacing w:after="0"/>
              <w:rPr>
                <w:sz w:val="20"/>
                <w:szCs w:val="20"/>
                <w:color w:val="auto"/>
              </w:rPr>
            </w:pPr>
            <w:r>
              <w:rPr>
                <w:rFonts w:ascii="Arial" w:cs="Arial" w:eastAsia="Arial" w:hAnsi="Arial"/>
                <w:sz w:val="14"/>
                <w:szCs w:val="14"/>
                <w:color w:val="auto"/>
              </w:rPr>
              <w:t>5,040,195</w:t>
            </w:r>
          </w:p>
        </w:tc>
        <w:tc>
          <w:tcPr>
            <w:tcW w:w="20" w:type="dxa"/>
            <w:vAlign w:val="bottom"/>
          </w:tcPr>
          <w:p>
            <w:pPr>
              <w:spacing w:after="0"/>
              <w:rPr>
                <w:sz w:val="17"/>
                <w:szCs w:val="17"/>
                <w:color w:val="auto"/>
              </w:rPr>
            </w:pPr>
          </w:p>
        </w:tc>
      </w:tr>
      <w:tr>
        <w:trPr>
          <w:trHeight w:val="21"/>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Boldea</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2,412,952</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975,200</w:t>
            </w:r>
          </w:p>
        </w:tc>
        <w:tc>
          <w:tcPr>
            <w:tcW w:w="1560" w:type="dxa"/>
            <w:vAlign w:val="bottom"/>
          </w:tcPr>
          <w:p>
            <w:pPr>
              <w:jc w:val="right"/>
              <w:spacing w:after="0"/>
              <w:rPr>
                <w:sz w:val="20"/>
                <w:szCs w:val="20"/>
                <w:color w:val="auto"/>
              </w:rPr>
            </w:pPr>
            <w:r>
              <w:rPr>
                <w:rFonts w:ascii="Arial" w:cs="Arial" w:eastAsia="Arial" w:hAnsi="Arial"/>
                <w:sz w:val="14"/>
                <w:szCs w:val="14"/>
                <w:color w:val="auto"/>
              </w:rPr>
              <w:t>4,192,469</w:t>
            </w:r>
          </w:p>
        </w:tc>
        <w:tc>
          <w:tcPr>
            <w:tcW w:w="20" w:type="dxa"/>
            <w:vAlign w:val="bottom"/>
          </w:tcPr>
          <w:p>
            <w:pPr>
              <w:spacing w:after="0"/>
              <w:rPr>
                <w:sz w:val="17"/>
                <w:szCs w:val="17"/>
                <w:color w:val="auto"/>
              </w:rPr>
            </w:pPr>
          </w:p>
        </w:tc>
      </w:tr>
      <w:tr>
        <w:trPr>
          <w:trHeight w:val="21"/>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1"/>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Currier</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1,452,675</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265,825</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265,825</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700,800</w:t>
            </w:r>
          </w:p>
        </w:tc>
        <w:tc>
          <w:tcPr>
            <w:tcW w:w="1560" w:type="dxa"/>
            <w:vAlign w:val="bottom"/>
          </w:tcPr>
          <w:p>
            <w:pPr>
              <w:jc w:val="right"/>
              <w:spacing w:after="0"/>
              <w:rPr>
                <w:sz w:val="20"/>
                <w:szCs w:val="20"/>
                <w:color w:val="auto"/>
              </w:rPr>
            </w:pPr>
            <w:r>
              <w:rPr>
                <w:rFonts w:ascii="Arial" w:cs="Arial" w:eastAsia="Arial" w:hAnsi="Arial"/>
                <w:sz w:val="14"/>
                <w:szCs w:val="14"/>
                <w:color w:val="auto"/>
              </w:rPr>
              <w:t>3,863,525</w:t>
            </w:r>
          </w:p>
        </w:tc>
        <w:tc>
          <w:tcPr>
            <w:tcW w:w="20" w:type="dxa"/>
            <w:vAlign w:val="bottom"/>
          </w:tcPr>
          <w:p>
            <w:pPr>
              <w:spacing w:after="0"/>
              <w:rPr>
                <w:sz w:val="17"/>
                <w:szCs w:val="17"/>
                <w:color w:val="auto"/>
              </w:rPr>
            </w:pPr>
          </w:p>
        </w:tc>
      </w:tr>
      <w:tr>
        <w:trPr>
          <w:trHeight w:val="21"/>
        </w:trPr>
        <w:tc>
          <w:tcPr>
            <w:tcW w:w="1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Borders>
              <w:bottom w:val="single" w:sz="8" w:color="939598"/>
            </w:tcBorders>
          </w:tcPr>
          <w:p>
            <w:pPr>
              <w:spacing w:after="0" w:line="20" w:lineRule="exact"/>
              <w:rPr>
                <w:sz w:val="1"/>
                <w:szCs w:val="1"/>
                <w:color w:val="auto"/>
              </w:rPr>
            </w:pPr>
          </w:p>
        </w:tc>
        <w:tc>
          <w:tcPr>
            <w:tcW w:w="500" w:type="dxa"/>
            <w:vAlign w:val="bottom"/>
            <w:tcBorders>
              <w:bottom w:val="single" w:sz="8" w:color="939598"/>
            </w:tcBorders>
          </w:tcPr>
          <w:p>
            <w:pPr>
              <w:spacing w:after="0" w:line="20" w:lineRule="exact"/>
              <w:rPr>
                <w:sz w:val="1"/>
                <w:szCs w:val="1"/>
                <w:color w:val="auto"/>
              </w:rPr>
            </w:pPr>
          </w:p>
        </w:tc>
        <w:tc>
          <w:tcPr>
            <w:tcW w:w="108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620" w:type="dxa"/>
            <w:vAlign w:val="bottom"/>
            <w:tcBorders>
              <w:bottom w:val="single" w:sz="8" w:color="939598"/>
            </w:tcBorders>
          </w:tcPr>
          <w:p>
            <w:pPr>
              <w:spacing w:after="0" w:line="20" w:lineRule="exact"/>
              <w:rPr>
                <w:sz w:val="1"/>
                <w:szCs w:val="1"/>
                <w:color w:val="auto"/>
              </w:rPr>
            </w:pPr>
          </w:p>
        </w:tc>
        <w:tc>
          <w:tcPr>
            <w:tcW w:w="1120" w:type="dxa"/>
            <w:vAlign w:val="bottom"/>
            <w:tcBorders>
              <w:bottom w:val="single" w:sz="8" w:color="939598"/>
            </w:tcBorders>
          </w:tcPr>
          <w:p>
            <w:pPr>
              <w:spacing w:after="0" w:line="20" w:lineRule="exact"/>
              <w:rPr>
                <w:sz w:val="1"/>
                <w:szCs w:val="1"/>
                <w:color w:val="auto"/>
              </w:rPr>
            </w:pPr>
          </w:p>
        </w:tc>
        <w:tc>
          <w:tcPr>
            <w:tcW w:w="1560" w:type="dxa"/>
            <w:vAlign w:val="bottom"/>
            <w:tcBorders>
              <w:bottom w:val="single" w:sz="8" w:color="93959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4"/>
                <w:szCs w:val="14"/>
                <w:color w:val="auto"/>
              </w:rPr>
              <w:t>Mr. Adamczyk</w:t>
            </w:r>
          </w:p>
        </w:tc>
        <w:tc>
          <w:tcPr>
            <w:tcW w:w="500" w:type="dxa"/>
            <w:vAlign w:val="bottom"/>
          </w:tcPr>
          <w:p>
            <w:pPr>
              <w:spacing w:after="0"/>
              <w:rPr>
                <w:sz w:val="17"/>
                <w:szCs w:val="17"/>
                <w:color w:val="auto"/>
              </w:rPr>
            </w:pPr>
          </w:p>
        </w:tc>
        <w:tc>
          <w:tcPr>
            <w:tcW w:w="1080" w:type="dxa"/>
            <w:vAlign w:val="bottom"/>
          </w:tcPr>
          <w:p>
            <w:pPr>
              <w:jc w:val="right"/>
              <w:ind w:right="109"/>
              <w:spacing w:after="0"/>
              <w:rPr>
                <w:sz w:val="20"/>
                <w:szCs w:val="20"/>
                <w:color w:val="auto"/>
              </w:rPr>
            </w:pPr>
            <w:r>
              <w:rPr>
                <w:rFonts w:ascii="Arial" w:cs="Arial" w:eastAsia="Arial" w:hAnsi="Arial"/>
                <w:sz w:val="14"/>
                <w:szCs w:val="14"/>
                <w:color w:val="auto"/>
              </w:rPr>
              <w:t>9,671,372</w:t>
            </w:r>
          </w:p>
        </w:tc>
        <w:tc>
          <w:tcPr>
            <w:tcW w:w="340" w:type="dxa"/>
            <w:vAlign w:val="bottom"/>
          </w:tcPr>
          <w:p>
            <w:pPr>
              <w:spacing w:after="0"/>
              <w:rPr>
                <w:sz w:val="17"/>
                <w:szCs w:val="17"/>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20" w:type="dxa"/>
            <w:vAlign w:val="bottom"/>
          </w:tcPr>
          <w:p>
            <w:pPr>
              <w:jc w:val="right"/>
              <w:ind w:right="228"/>
              <w:spacing w:after="0"/>
              <w:rPr>
                <w:sz w:val="20"/>
                <w:szCs w:val="20"/>
                <w:color w:val="auto"/>
              </w:rPr>
            </w:pPr>
            <w:r>
              <w:rPr>
                <w:rFonts w:ascii="Arial" w:cs="Arial" w:eastAsia="Arial" w:hAnsi="Arial"/>
                <w:sz w:val="14"/>
                <w:szCs w:val="14"/>
                <w:color w:val="auto"/>
              </w:rPr>
              <w:t>2,834,000</w:t>
            </w:r>
          </w:p>
        </w:tc>
        <w:tc>
          <w:tcPr>
            <w:tcW w:w="1560" w:type="dxa"/>
            <w:vAlign w:val="bottom"/>
          </w:tcPr>
          <w:p>
            <w:pPr>
              <w:jc w:val="right"/>
              <w:spacing w:after="0"/>
              <w:rPr>
                <w:sz w:val="20"/>
                <w:szCs w:val="20"/>
                <w:color w:val="auto"/>
              </w:rPr>
            </w:pPr>
            <w:r>
              <w:rPr>
                <w:rFonts w:ascii="Arial" w:cs="Arial" w:eastAsia="Arial" w:hAnsi="Arial"/>
                <w:sz w:val="14"/>
                <w:szCs w:val="14"/>
                <w:color w:val="auto"/>
              </w:rPr>
              <w:t>12,505,372</w:t>
            </w:r>
          </w:p>
        </w:tc>
        <w:tc>
          <w:tcPr>
            <w:tcW w:w="20" w:type="dxa"/>
            <w:vAlign w:val="bottom"/>
          </w:tcPr>
          <w:p>
            <w:pPr>
              <w:spacing w:after="0"/>
              <w:rPr>
                <w:sz w:val="17"/>
                <w:szCs w:val="17"/>
                <w:color w:val="auto"/>
              </w:rPr>
            </w:pPr>
          </w:p>
        </w:tc>
      </w:tr>
      <w:tr>
        <w:trPr>
          <w:trHeight w:val="21"/>
        </w:trPr>
        <w:tc>
          <w:tcPr>
            <w:tcW w:w="1560" w:type="dxa"/>
            <w:vAlign w:val="bottom"/>
            <w:tcBorders>
              <w:bottom w:val="single" w:sz="8" w:color="D7282F"/>
            </w:tcBorders>
          </w:tcPr>
          <w:p>
            <w:pPr>
              <w:spacing w:after="0" w:line="20" w:lineRule="exact"/>
              <w:rPr>
                <w:sz w:val="1"/>
                <w:szCs w:val="1"/>
                <w:color w:val="auto"/>
              </w:rPr>
            </w:pPr>
          </w:p>
        </w:tc>
        <w:tc>
          <w:tcPr>
            <w:tcW w:w="2900" w:type="dxa"/>
            <w:vAlign w:val="bottom"/>
            <w:tcBorders>
              <w:bottom w:val="single" w:sz="8" w:color="D7282F"/>
            </w:tcBorders>
            <w:gridSpan w:val="3"/>
          </w:tcPr>
          <w:p>
            <w:pPr>
              <w:spacing w:after="0" w:line="20" w:lineRule="exact"/>
              <w:rPr>
                <w:sz w:val="1"/>
                <w:szCs w:val="1"/>
                <w:color w:val="auto"/>
              </w:rPr>
            </w:pPr>
          </w:p>
        </w:tc>
        <w:tc>
          <w:tcPr>
            <w:tcW w:w="108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320" w:type="dxa"/>
            <w:vAlign w:val="bottom"/>
            <w:tcBorders>
              <w:bottom w:val="single" w:sz="8" w:color="D7282F"/>
            </w:tcBorders>
          </w:tcPr>
          <w:p>
            <w:pPr>
              <w:spacing w:after="0" w:line="20" w:lineRule="exact"/>
              <w:rPr>
                <w:sz w:val="1"/>
                <w:szCs w:val="1"/>
                <w:color w:val="auto"/>
              </w:rPr>
            </w:pPr>
          </w:p>
        </w:tc>
        <w:tc>
          <w:tcPr>
            <w:tcW w:w="900" w:type="dxa"/>
            <w:vAlign w:val="bottom"/>
            <w:tcBorders>
              <w:bottom w:val="single" w:sz="8" w:color="D7282F"/>
            </w:tcBorders>
          </w:tcPr>
          <w:p>
            <w:pPr>
              <w:spacing w:after="0" w:line="20" w:lineRule="exact"/>
              <w:rPr>
                <w:sz w:val="1"/>
                <w:szCs w:val="1"/>
                <w:color w:val="auto"/>
              </w:rPr>
            </w:pPr>
          </w:p>
        </w:tc>
        <w:tc>
          <w:tcPr>
            <w:tcW w:w="620" w:type="dxa"/>
            <w:vAlign w:val="bottom"/>
            <w:tcBorders>
              <w:bottom w:val="single" w:sz="8" w:color="D7282F"/>
            </w:tcBorders>
          </w:tcPr>
          <w:p>
            <w:pPr>
              <w:spacing w:after="0" w:line="20" w:lineRule="exact"/>
              <w:rPr>
                <w:sz w:val="1"/>
                <w:szCs w:val="1"/>
                <w:color w:val="auto"/>
              </w:rPr>
            </w:pPr>
          </w:p>
        </w:tc>
        <w:tc>
          <w:tcPr>
            <w:tcW w:w="1120" w:type="dxa"/>
            <w:vAlign w:val="bottom"/>
            <w:tcBorders>
              <w:bottom w:val="single" w:sz="8" w:color="D7282F"/>
            </w:tcBorders>
          </w:tcPr>
          <w:p>
            <w:pPr>
              <w:spacing w:after="0" w:line="20" w:lineRule="exact"/>
              <w:rPr>
                <w:sz w:val="1"/>
                <w:szCs w:val="1"/>
                <w:color w:val="auto"/>
              </w:rPr>
            </w:pPr>
          </w:p>
        </w:tc>
        <w:tc>
          <w:tcPr>
            <w:tcW w:w="1560" w:type="dxa"/>
            <w:vAlign w:val="bottom"/>
            <w:tcBorders>
              <w:bottom w:val="single" w:sz="8" w:color="D7282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6"/>
        </w:trPr>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92</w:t>
            </w:r>
          </w:p>
        </w:tc>
        <w:tc>
          <w:tcPr>
            <w:tcW w:w="2900" w:type="dxa"/>
            <w:vAlign w:val="bottom"/>
            <w:gridSpan w:val="3"/>
          </w:tcPr>
          <w:p>
            <w:pPr>
              <w:jc w:val="right"/>
              <w:spacing w:after="0"/>
              <w:rPr>
                <w:sz w:val="20"/>
                <w:szCs w:val="20"/>
                <w:color w:val="auto"/>
              </w:rPr>
            </w:pPr>
            <w:r>
              <w:rPr>
                <w:rFonts w:ascii="Arial" w:cs="Arial" w:eastAsia="Arial" w:hAnsi="Arial"/>
                <w:sz w:val="13"/>
                <w:szCs w:val="13"/>
                <w:b w:val="1"/>
                <w:bCs w:val="1"/>
                <w:color w:val="6D6E71"/>
              </w:rPr>
              <w:t>|   2024 NOTICE AND PROXY STATEMENT</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9"/>
        </w:trPr>
        <w:tc>
          <w:tcPr>
            <w:tcW w:w="1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-368300</wp:posOffset>
            </wp:positionV>
            <wp:extent cx="548640" cy="10287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EXPLANATION OF BENEFITS — TERMINATION EVENTS</w:t>
      </w:r>
    </w:p>
    <w:p>
      <w:pPr>
        <w:spacing w:after="0" w:line="11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following describes the benefits that are quantified in the table above assuming the event occurred on December 31, 2023. In regard to each portion of the benefit, the benefits that are paid in the context of a CIC are, except as noted, the same as the benefits paid other than as a result of a CIC.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3920" w:type="dxa"/>
            <w:vAlign w:val="bottom"/>
          </w:tcPr>
          <w:p>
            <w:pPr>
              <w:ind w:left="40"/>
              <w:spacing w:after="0"/>
              <w:rPr>
                <w:sz w:val="20"/>
                <w:szCs w:val="20"/>
                <w:color w:val="auto"/>
              </w:rPr>
            </w:pPr>
            <w:r>
              <w:rPr>
                <w:rFonts w:ascii="Arial" w:cs="Arial" w:eastAsia="Arial" w:hAnsi="Arial"/>
                <w:sz w:val="14"/>
                <w:szCs w:val="14"/>
                <w:b w:val="1"/>
                <w:bCs w:val="1"/>
                <w:color w:val="auto"/>
              </w:rPr>
              <w:t>Amount and Terms of Payments</w:t>
            </w:r>
          </w:p>
        </w:tc>
        <w:tc>
          <w:tcPr>
            <w:tcW w:w="3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Benefit/Event</w:t>
            </w:r>
          </w:p>
        </w:tc>
        <w:tc>
          <w:tcPr>
            <w:tcW w:w="3920" w:type="dxa"/>
            <w:vAlign w:val="bottom"/>
            <w:tcBorders>
              <w:bottom w:val="single" w:sz="8" w:color="D7282F"/>
            </w:tcBorders>
          </w:tcPr>
          <w:p>
            <w:pPr>
              <w:ind w:left="40"/>
              <w:spacing w:after="0"/>
              <w:rPr>
                <w:sz w:val="20"/>
                <w:szCs w:val="20"/>
                <w:color w:val="auto"/>
              </w:rPr>
            </w:pPr>
            <w:r>
              <w:rPr>
                <w:rFonts w:ascii="Arial" w:cs="Arial" w:eastAsia="Arial" w:hAnsi="Arial"/>
                <w:sz w:val="14"/>
                <w:szCs w:val="14"/>
                <w:b w:val="1"/>
                <w:bCs w:val="1"/>
                <w:color w:val="auto"/>
              </w:rPr>
              <w:t>(Other Than upon a Change in Control)</w:t>
            </w:r>
          </w:p>
        </w:tc>
        <w:tc>
          <w:tcPr>
            <w:tcW w:w="39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Change in Control Provisions</w:t>
            </w:r>
          </w:p>
        </w:tc>
        <w:tc>
          <w:tcPr>
            <w:tcW w:w="0" w:type="dxa"/>
            <w:vAlign w:val="bottom"/>
          </w:tcPr>
          <w:p>
            <w:pPr>
              <w:spacing w:after="0"/>
              <w:rPr>
                <w:sz w:val="1"/>
                <w:szCs w:val="1"/>
                <w:color w:val="auto"/>
              </w:rPr>
            </w:pPr>
          </w:p>
        </w:tc>
      </w:tr>
      <w:tr>
        <w:trPr>
          <w:trHeight w:val="20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Severance Benefits-Cash Payment</w:t>
            </w:r>
          </w:p>
        </w:tc>
        <w:tc>
          <w:tcPr>
            <w:tcW w:w="392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Three years of base salary and bonus for Messrs.</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Three years of base salary and bonus for Messrs.</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Involuntary termination without cause; CIC</w:t>
            </w:r>
          </w:p>
        </w:tc>
        <w:tc>
          <w:tcPr>
            <w:tcW w:w="3920" w:type="dxa"/>
            <w:vAlign w:val="bottom"/>
          </w:tcPr>
          <w:p>
            <w:pPr>
              <w:ind w:left="240"/>
              <w:spacing w:after="0"/>
              <w:rPr>
                <w:sz w:val="20"/>
                <w:szCs w:val="20"/>
                <w:color w:val="auto"/>
              </w:rPr>
            </w:pPr>
            <w:r>
              <w:rPr>
                <w:rFonts w:ascii="Arial" w:cs="Arial" w:eastAsia="Arial" w:hAnsi="Arial"/>
                <w:sz w:val="16"/>
                <w:szCs w:val="16"/>
                <w:color w:val="auto"/>
              </w:rPr>
              <w:t>Kapur and Adamczyk, 18 months for Ms. Madden</w:t>
            </w:r>
          </w:p>
        </w:tc>
        <w:tc>
          <w:tcPr>
            <w:tcW w:w="3900" w:type="dxa"/>
            <w:vAlign w:val="bottom"/>
          </w:tcPr>
          <w:p>
            <w:pPr>
              <w:ind w:left="220"/>
              <w:spacing w:after="0"/>
              <w:rPr>
                <w:sz w:val="20"/>
                <w:szCs w:val="20"/>
                <w:color w:val="auto"/>
              </w:rPr>
            </w:pPr>
            <w:r>
              <w:rPr>
                <w:rFonts w:ascii="Arial" w:cs="Arial" w:eastAsia="Arial" w:hAnsi="Arial"/>
                <w:sz w:val="16"/>
                <w:szCs w:val="16"/>
                <w:color w:val="auto"/>
              </w:rPr>
              <w:t>Kapur and Adamczyk, and two years of base</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termination without cause or by an NEO for</w:t>
            </w:r>
          </w:p>
        </w:tc>
        <w:tc>
          <w:tcPr>
            <w:tcW w:w="3920" w:type="dxa"/>
            <w:vAlign w:val="bottom"/>
          </w:tcPr>
          <w:p>
            <w:pPr>
              <w:ind w:left="240"/>
              <w:spacing w:after="0"/>
              <w:rPr>
                <w:sz w:val="20"/>
                <w:szCs w:val="20"/>
                <w:color w:val="auto"/>
              </w:rPr>
            </w:pPr>
            <w:r>
              <w:rPr>
                <w:rFonts w:ascii="Arial" w:cs="Arial" w:eastAsia="Arial" w:hAnsi="Arial"/>
                <w:sz w:val="16"/>
                <w:szCs w:val="16"/>
                <w:color w:val="auto"/>
              </w:rPr>
              <w:t>and Messrs. Boldea and Lewis, and 12 months for</w:t>
            </w:r>
          </w:p>
        </w:tc>
        <w:tc>
          <w:tcPr>
            <w:tcW w:w="3900" w:type="dxa"/>
            <w:vAlign w:val="bottom"/>
          </w:tcPr>
          <w:p>
            <w:pPr>
              <w:ind w:left="220"/>
              <w:spacing w:after="0"/>
              <w:rPr>
                <w:sz w:val="20"/>
                <w:szCs w:val="20"/>
                <w:color w:val="auto"/>
              </w:rPr>
            </w:pPr>
            <w:r>
              <w:rPr>
                <w:rFonts w:ascii="Arial" w:cs="Arial" w:eastAsia="Arial" w:hAnsi="Arial"/>
                <w:sz w:val="16"/>
                <w:szCs w:val="16"/>
                <w:color w:val="auto"/>
              </w:rPr>
              <w:t>salary and bonus for the Other NEOs.</w:t>
            </w:r>
          </w:p>
        </w:tc>
        <w:tc>
          <w:tcPr>
            <w:tcW w:w="0" w:type="dxa"/>
            <w:vAlign w:val="bottom"/>
          </w:tcPr>
          <w:p>
            <w:pPr>
              <w:spacing w:after="0"/>
              <w:rPr>
                <w:sz w:val="1"/>
                <w:szCs w:val="1"/>
                <w:color w:val="auto"/>
              </w:rPr>
            </w:pPr>
          </w:p>
        </w:tc>
      </w:tr>
      <w:tr>
        <w:trPr>
          <w:trHeight w:val="270"/>
        </w:trPr>
        <w:tc>
          <w:tcPr>
            <w:tcW w:w="3400" w:type="dxa"/>
            <w:vAlign w:val="bottom"/>
          </w:tcPr>
          <w:p>
            <w:pPr>
              <w:ind w:left="20"/>
              <w:spacing w:after="0"/>
              <w:rPr>
                <w:sz w:val="20"/>
                <w:szCs w:val="20"/>
                <w:color w:val="auto"/>
              </w:rPr>
            </w:pPr>
            <w:r>
              <w:rPr>
                <w:rFonts w:ascii="Arial" w:cs="Arial" w:eastAsia="Arial" w:hAnsi="Arial"/>
                <w:sz w:val="16"/>
                <w:szCs w:val="16"/>
                <w:color w:val="auto"/>
              </w:rPr>
              <w:t>good reason.</w:t>
            </w:r>
          </w:p>
        </w:tc>
        <w:tc>
          <w:tcPr>
            <w:tcW w:w="3920" w:type="dxa"/>
            <w:vAlign w:val="bottom"/>
          </w:tcPr>
          <w:p>
            <w:pPr>
              <w:ind w:left="240"/>
              <w:spacing w:after="0"/>
              <w:rPr>
                <w:sz w:val="20"/>
                <w:szCs w:val="20"/>
                <w:color w:val="auto"/>
              </w:rPr>
            </w:pPr>
            <w:r>
              <w:rPr>
                <w:rFonts w:ascii="Arial" w:cs="Arial" w:eastAsia="Arial" w:hAnsi="Arial"/>
                <w:sz w:val="16"/>
                <w:szCs w:val="16"/>
                <w:color w:val="auto"/>
              </w:rPr>
              <w:t>Mr. Currier.</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Amounts are paid in a lump sum within 60 days</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periodically, in cash.</w:t>
            </w:r>
          </w:p>
        </w:tc>
        <w:tc>
          <w:tcPr>
            <w:tcW w:w="3900" w:type="dxa"/>
            <w:vAlign w:val="bottom"/>
          </w:tcPr>
          <w:p>
            <w:pPr>
              <w:ind w:left="220"/>
              <w:spacing w:after="0"/>
              <w:rPr>
                <w:sz w:val="20"/>
                <w:szCs w:val="20"/>
                <w:color w:val="auto"/>
              </w:rPr>
            </w:pPr>
            <w:r>
              <w:rPr>
                <w:rFonts w:ascii="Arial" w:cs="Arial" w:eastAsia="Arial" w:hAnsi="Arial"/>
                <w:sz w:val="16"/>
                <w:szCs w:val="16"/>
                <w:color w:val="auto"/>
              </w:rPr>
              <w:t>following the later of the date of termination or the</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vMerge w:val="restart"/>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Bonus is equal to target percentage of base salary.</w:t>
            </w:r>
          </w:p>
        </w:tc>
        <w:tc>
          <w:tcPr>
            <w:tcW w:w="3900" w:type="dxa"/>
            <w:vAlign w:val="bottom"/>
          </w:tcPr>
          <w:p>
            <w:pPr>
              <w:ind w:left="220"/>
              <w:spacing w:after="0"/>
              <w:rPr>
                <w:sz w:val="20"/>
                <w:szCs w:val="20"/>
                <w:color w:val="auto"/>
              </w:rPr>
            </w:pPr>
            <w:r>
              <w:rPr>
                <w:rFonts w:ascii="Arial" w:cs="Arial" w:eastAsia="Arial" w:hAnsi="Arial"/>
                <w:sz w:val="16"/>
                <w:szCs w:val="16"/>
                <w:color w:val="auto"/>
              </w:rPr>
              <w:t>CIC date.</w:t>
            </w:r>
          </w:p>
        </w:tc>
        <w:tc>
          <w:tcPr>
            <w:tcW w:w="0" w:type="dxa"/>
            <w:vAlign w:val="bottom"/>
          </w:tcPr>
          <w:p>
            <w:pPr>
              <w:spacing w:after="0"/>
              <w:rPr>
                <w:sz w:val="1"/>
                <w:szCs w:val="1"/>
                <w:color w:val="auto"/>
              </w:rPr>
            </w:pPr>
          </w:p>
        </w:tc>
      </w:tr>
      <w:tr>
        <w:trPr>
          <w:trHeight w:val="89"/>
        </w:trPr>
        <w:tc>
          <w:tcPr>
            <w:tcW w:w="340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7320" w:type="dxa"/>
            <w:vAlign w:val="bottom"/>
            <w:tcBorders>
              <w:bottom w:val="single" w:sz="8" w:color="939598"/>
            </w:tcBorders>
            <w:gridSpan w:val="2"/>
          </w:tcPr>
          <w:p>
            <w:pPr>
              <w:spacing w:after="0"/>
              <w:rPr>
                <w:sz w:val="5"/>
                <w:szCs w:val="5"/>
                <w:color w:val="auto"/>
              </w:rPr>
            </w:pPr>
          </w:p>
        </w:tc>
        <w:tc>
          <w:tcPr>
            <w:tcW w:w="390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320" w:type="dxa"/>
            <w:vAlign w:val="bottom"/>
            <w:gridSpan w:val="2"/>
          </w:tcPr>
          <w:p>
            <w:pPr>
              <w:ind w:left="20"/>
              <w:spacing w:after="0"/>
              <w:rPr>
                <w:sz w:val="20"/>
                <w:szCs w:val="20"/>
                <w:color w:val="auto"/>
              </w:rPr>
            </w:pPr>
            <w:r>
              <w:rPr>
                <w:rFonts w:ascii="Arial" w:cs="Arial" w:eastAsia="Arial" w:hAnsi="Arial"/>
                <w:sz w:val="16"/>
                <w:szCs w:val="16"/>
                <w:b w:val="1"/>
                <w:bCs w:val="1"/>
                <w:color w:val="auto"/>
              </w:rPr>
              <w:t xml:space="preserve">Annual Bonus for the Year of Termination— </w:t>
            </w:r>
            <w:r>
              <w:rPr>
                <w:rFonts w:ascii="Arial" w:cs="Arial" w:eastAsia="Arial" w:hAnsi="Arial"/>
                <w:sz w:val="16"/>
                <w:szCs w:val="16"/>
                <w:b w:val="1"/>
                <w:bCs w:val="1"/>
                <w:color w:val="D7282F"/>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N/A</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Based on achievement of pre-established ICP</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Cash Payment</w:t>
            </w:r>
          </w:p>
        </w:tc>
        <w:tc>
          <w:tcPr>
            <w:tcW w:w="392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goals and the MDCC’s assessment of other</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Annual ICP Plan bonus is payable to NEOs for</w:t>
            </w: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relevant criteria, for the stub period ending on the</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the year in which a CIC occurs.</w:t>
            </w:r>
          </w:p>
        </w:tc>
        <w:tc>
          <w:tcPr>
            <w:tcW w:w="392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CIC (as defined in the ICP Plan) date, prorated</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through the CIC date.</w:t>
            </w:r>
          </w:p>
        </w:tc>
        <w:tc>
          <w:tcPr>
            <w:tcW w:w="0" w:type="dxa"/>
            <w:vAlign w:val="bottom"/>
          </w:tcPr>
          <w:p>
            <w:pPr>
              <w:spacing w:after="0"/>
              <w:rPr>
                <w:sz w:val="1"/>
                <w:szCs w:val="1"/>
                <w:color w:val="auto"/>
              </w:rPr>
            </w:pPr>
          </w:p>
        </w:tc>
      </w:tr>
      <w:tr>
        <w:trPr>
          <w:trHeight w:val="244"/>
        </w:trPr>
        <w:tc>
          <w:tcPr>
            <w:tcW w:w="34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Paid in cash at the time ICP awards are typically</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paid to Honeywell executives for the year in which</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a CIC occurs, but only if the employee is actively</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employed on the payment date, has been</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involuntarily terminated other than for cause, or</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900" w:type="dxa"/>
            <w:vAlign w:val="bottom"/>
          </w:tcPr>
          <w:p>
            <w:pPr>
              <w:ind w:left="220"/>
              <w:spacing w:after="0"/>
              <w:rPr>
                <w:sz w:val="20"/>
                <w:szCs w:val="20"/>
                <w:color w:val="auto"/>
              </w:rPr>
            </w:pPr>
            <w:r>
              <w:rPr>
                <w:rFonts w:ascii="Arial" w:cs="Arial" w:eastAsia="Arial" w:hAnsi="Arial"/>
                <w:sz w:val="16"/>
                <w:szCs w:val="16"/>
                <w:color w:val="auto"/>
              </w:rPr>
              <w:t>has terminated employment for good reason.</w:t>
            </w:r>
          </w:p>
        </w:tc>
        <w:tc>
          <w:tcPr>
            <w:tcW w:w="0" w:type="dxa"/>
            <w:vAlign w:val="bottom"/>
          </w:tcPr>
          <w:p>
            <w:pPr>
              <w:spacing w:after="0"/>
              <w:rPr>
                <w:sz w:val="1"/>
                <w:szCs w:val="1"/>
                <w:color w:val="auto"/>
              </w:rPr>
            </w:pPr>
          </w:p>
        </w:tc>
      </w:tr>
      <w:tr>
        <w:trPr>
          <w:trHeight w:val="83"/>
        </w:trPr>
        <w:tc>
          <w:tcPr>
            <w:tcW w:w="3400" w:type="dxa"/>
            <w:vAlign w:val="bottom"/>
            <w:tcBorders>
              <w:bottom w:val="single" w:sz="8" w:color="939598"/>
            </w:tcBorders>
          </w:tcPr>
          <w:p>
            <w:pPr>
              <w:spacing w:after="0"/>
              <w:rPr>
                <w:sz w:val="7"/>
                <w:szCs w:val="7"/>
                <w:color w:val="auto"/>
              </w:rPr>
            </w:pPr>
          </w:p>
        </w:tc>
        <w:tc>
          <w:tcPr>
            <w:tcW w:w="3920" w:type="dxa"/>
            <w:vAlign w:val="bottom"/>
            <w:tcBorders>
              <w:bottom w:val="single" w:sz="8" w:color="939598"/>
            </w:tcBorders>
          </w:tcPr>
          <w:p>
            <w:pPr>
              <w:spacing w:after="0"/>
              <w:rPr>
                <w:sz w:val="7"/>
                <w:szCs w:val="7"/>
                <w:color w:val="auto"/>
              </w:rPr>
            </w:pPr>
          </w:p>
        </w:tc>
        <w:tc>
          <w:tcPr>
            <w:tcW w:w="3900" w:type="dxa"/>
            <w:vAlign w:val="bottom"/>
            <w:tcBorders>
              <w:bottom w:val="single" w:sz="8" w:color="939598"/>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Certain Benefits and Perquisites</w:t>
            </w:r>
          </w:p>
        </w:tc>
        <w:tc>
          <w:tcPr>
            <w:tcW w:w="3920" w:type="dxa"/>
            <w:vAlign w:val="bottom"/>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Basic life insurance coverage is continued at</w:t>
            </w:r>
          </w:p>
        </w:tc>
        <w:tc>
          <w:tcPr>
            <w:tcW w:w="3900" w:type="dxa"/>
            <w:vAlign w:val="bottom"/>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Basic life insurance coverage is continued at</w:t>
            </w:r>
          </w:p>
        </w:tc>
        <w:tc>
          <w:tcPr>
            <w:tcW w:w="0" w:type="dxa"/>
            <w:vAlign w:val="bottom"/>
          </w:tcPr>
          <w:p>
            <w:pPr>
              <w:spacing w:after="0"/>
              <w:rPr>
                <w:sz w:val="1"/>
                <w:szCs w:val="1"/>
                <w:color w:val="auto"/>
              </w:rPr>
            </w:pPr>
          </w:p>
        </w:tc>
      </w:tr>
      <w:tr>
        <w:trPr>
          <w:trHeight w:val="203"/>
        </w:trPr>
        <w:tc>
          <w:tcPr>
            <w:tcW w:w="3400" w:type="dxa"/>
            <w:vAlign w:val="bottom"/>
          </w:tcPr>
          <w:p>
            <w:pPr>
              <w:ind w:left="20"/>
              <w:spacing w:after="0"/>
              <w:rPr>
                <w:sz w:val="20"/>
                <w:szCs w:val="20"/>
                <w:color w:val="auto"/>
              </w:rPr>
            </w:pPr>
            <w:r>
              <w:rPr>
                <w:rFonts w:ascii="Arial" w:cs="Arial" w:eastAsia="Arial" w:hAnsi="Arial"/>
                <w:sz w:val="16"/>
                <w:szCs w:val="16"/>
                <w:color w:val="auto"/>
              </w:rPr>
              <w:t>Termination of employment without cause,</w:t>
            </w:r>
          </w:p>
        </w:tc>
        <w:tc>
          <w:tcPr>
            <w:tcW w:w="3920" w:type="dxa"/>
            <w:vAlign w:val="bottom"/>
          </w:tcPr>
          <w:p>
            <w:pPr>
              <w:ind w:left="240"/>
              <w:spacing w:after="0"/>
              <w:rPr>
                <w:sz w:val="20"/>
                <w:szCs w:val="20"/>
                <w:color w:val="auto"/>
              </w:rPr>
            </w:pPr>
            <w:r>
              <w:rPr>
                <w:rFonts w:ascii="Arial" w:cs="Arial" w:eastAsia="Arial" w:hAnsi="Arial"/>
                <w:sz w:val="16"/>
                <w:szCs w:val="16"/>
                <w:color w:val="auto"/>
              </w:rPr>
              <w:t>Honeywell’s cost for the severance period.</w:t>
            </w:r>
          </w:p>
        </w:tc>
        <w:tc>
          <w:tcPr>
            <w:tcW w:w="3900" w:type="dxa"/>
            <w:vAlign w:val="bottom"/>
          </w:tcPr>
          <w:p>
            <w:pPr>
              <w:ind w:left="220"/>
              <w:spacing w:after="0"/>
              <w:rPr>
                <w:sz w:val="20"/>
                <w:szCs w:val="20"/>
                <w:color w:val="auto"/>
              </w:rPr>
            </w:pPr>
            <w:r>
              <w:rPr>
                <w:rFonts w:ascii="Arial" w:cs="Arial" w:eastAsia="Arial" w:hAnsi="Arial"/>
                <w:sz w:val="16"/>
                <w:szCs w:val="16"/>
                <w:color w:val="auto"/>
              </w:rPr>
              <w:t>Honeywell’s cost for the severance period.</w:t>
            </w:r>
          </w:p>
        </w:tc>
        <w:tc>
          <w:tcPr>
            <w:tcW w:w="0" w:type="dxa"/>
            <w:vAlign w:val="bottom"/>
          </w:tcPr>
          <w:p>
            <w:pPr>
              <w:spacing w:after="0"/>
              <w:rPr>
                <w:sz w:val="1"/>
                <w:szCs w:val="1"/>
                <w:color w:val="auto"/>
              </w:rPr>
            </w:pPr>
          </w:p>
        </w:tc>
      </w:tr>
      <w:tr>
        <w:trPr>
          <w:trHeight w:val="189"/>
        </w:trPr>
        <w:tc>
          <w:tcPr>
            <w:tcW w:w="3400" w:type="dxa"/>
            <w:vAlign w:val="bottom"/>
          </w:tcPr>
          <w:p>
            <w:pPr>
              <w:ind w:left="20"/>
              <w:spacing w:after="0"/>
              <w:rPr>
                <w:sz w:val="20"/>
                <w:szCs w:val="20"/>
                <w:color w:val="auto"/>
              </w:rPr>
            </w:pPr>
            <w:r>
              <w:rPr>
                <w:rFonts w:ascii="Arial" w:cs="Arial" w:eastAsia="Arial" w:hAnsi="Arial"/>
                <w:sz w:val="16"/>
                <w:szCs w:val="16"/>
                <w:color w:val="auto"/>
              </w:rPr>
              <w:t>CIC, or voluntary termination of employment</w:t>
            </w:r>
          </w:p>
        </w:tc>
        <w:tc>
          <w:tcPr>
            <w:tcW w:w="3920" w:type="dxa"/>
            <w:vAlign w:val="bottom"/>
            <w:vMerge w:val="restart"/>
          </w:tcPr>
          <w:p>
            <w:pPr>
              <w:ind w:left="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Medical and dental benefits are continued during</w:t>
            </w:r>
          </w:p>
        </w:tc>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Medical and dental benefits are continued during</w:t>
            </w:r>
          </w:p>
        </w:tc>
        <w:tc>
          <w:tcPr>
            <w:tcW w:w="0" w:type="dxa"/>
            <w:vAlign w:val="bottom"/>
          </w:tcPr>
          <w:p>
            <w:pPr>
              <w:spacing w:after="0"/>
              <w:rPr>
                <w:sz w:val="1"/>
                <w:szCs w:val="1"/>
                <w:color w:val="auto"/>
              </w:rPr>
            </w:pPr>
          </w:p>
        </w:tc>
      </w:tr>
      <w:tr>
        <w:trPr>
          <w:trHeight w:val="68"/>
        </w:trPr>
        <w:tc>
          <w:tcPr>
            <w:tcW w:w="3400" w:type="dxa"/>
            <w:vAlign w:val="bottom"/>
            <w:vMerge w:val="restart"/>
          </w:tcPr>
          <w:p>
            <w:pPr>
              <w:ind w:left="20"/>
              <w:spacing w:after="0"/>
              <w:rPr>
                <w:sz w:val="20"/>
                <w:szCs w:val="20"/>
                <w:color w:val="auto"/>
              </w:rPr>
            </w:pPr>
            <w:r>
              <w:rPr>
                <w:rFonts w:ascii="Arial" w:cs="Arial" w:eastAsia="Arial" w:hAnsi="Arial"/>
                <w:sz w:val="16"/>
                <w:szCs w:val="16"/>
                <w:color w:val="auto"/>
              </w:rPr>
              <w:t>for good reason.</w:t>
            </w:r>
          </w:p>
        </w:tc>
        <w:tc>
          <w:tcPr>
            <w:tcW w:w="3920" w:type="dxa"/>
            <w:vAlign w:val="bottom"/>
            <w:vMerge w:val="continue"/>
          </w:tcPr>
          <w:p>
            <w:pPr>
              <w:spacing w:after="0"/>
              <w:rPr>
                <w:sz w:val="5"/>
                <w:szCs w:val="5"/>
                <w:color w:val="auto"/>
              </w:rPr>
            </w:pPr>
          </w:p>
        </w:tc>
        <w:tc>
          <w:tcPr>
            <w:tcW w:w="3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400" w:type="dxa"/>
            <w:vAlign w:val="bottom"/>
            <w:vMerge w:val="continue"/>
          </w:tcPr>
          <w:p>
            <w:pPr>
              <w:spacing w:after="0"/>
              <w:rPr>
                <w:sz w:val="12"/>
                <w:szCs w:val="12"/>
                <w:color w:val="auto"/>
              </w:rPr>
            </w:pPr>
          </w:p>
        </w:tc>
        <w:tc>
          <w:tcPr>
            <w:tcW w:w="3920" w:type="dxa"/>
            <w:vAlign w:val="bottom"/>
            <w:vMerge w:val="restart"/>
          </w:tcPr>
          <w:p>
            <w:pPr>
              <w:ind w:left="240"/>
              <w:spacing w:after="0"/>
              <w:rPr>
                <w:sz w:val="20"/>
                <w:szCs w:val="20"/>
                <w:color w:val="auto"/>
              </w:rPr>
            </w:pPr>
            <w:r>
              <w:rPr>
                <w:rFonts w:ascii="Arial" w:cs="Arial" w:eastAsia="Arial" w:hAnsi="Arial"/>
                <w:sz w:val="16"/>
                <w:szCs w:val="16"/>
                <w:color w:val="auto"/>
              </w:rPr>
              <w:t>the severance period at active employee</w:t>
            </w:r>
          </w:p>
        </w:tc>
        <w:tc>
          <w:tcPr>
            <w:tcW w:w="3900" w:type="dxa"/>
            <w:vAlign w:val="bottom"/>
            <w:vMerge w:val="restart"/>
          </w:tcPr>
          <w:p>
            <w:pPr>
              <w:ind w:left="220"/>
              <w:spacing w:after="0"/>
              <w:rPr>
                <w:sz w:val="20"/>
                <w:szCs w:val="20"/>
                <w:color w:val="auto"/>
              </w:rPr>
            </w:pPr>
            <w:r>
              <w:rPr>
                <w:rFonts w:ascii="Arial" w:cs="Arial" w:eastAsia="Arial" w:hAnsi="Arial"/>
                <w:sz w:val="16"/>
                <w:szCs w:val="16"/>
                <w:color w:val="auto"/>
              </w:rPr>
              <w:t>the severance period at active employee</w:t>
            </w:r>
          </w:p>
        </w:tc>
        <w:tc>
          <w:tcPr>
            <w:tcW w:w="0" w:type="dxa"/>
            <w:vAlign w:val="bottom"/>
          </w:tcPr>
          <w:p>
            <w:pPr>
              <w:spacing w:after="0"/>
              <w:rPr>
                <w:sz w:val="1"/>
                <w:szCs w:val="1"/>
                <w:color w:val="auto"/>
              </w:rPr>
            </w:pPr>
          </w:p>
        </w:tc>
      </w:tr>
      <w:tr>
        <w:trPr>
          <w:trHeight w:val="55"/>
        </w:trPr>
        <w:tc>
          <w:tcPr>
            <w:tcW w:w="3400" w:type="dxa"/>
            <w:vAlign w:val="bottom"/>
          </w:tcPr>
          <w:p>
            <w:pPr>
              <w:spacing w:after="0"/>
              <w:rPr>
                <w:sz w:val="4"/>
                <w:szCs w:val="4"/>
                <w:color w:val="auto"/>
              </w:rPr>
            </w:pPr>
          </w:p>
        </w:tc>
        <w:tc>
          <w:tcPr>
            <w:tcW w:w="3920" w:type="dxa"/>
            <w:vAlign w:val="bottom"/>
            <w:vMerge w:val="continue"/>
          </w:tcPr>
          <w:p>
            <w:pPr>
              <w:spacing w:after="0"/>
              <w:rPr>
                <w:sz w:val="4"/>
                <w:szCs w:val="4"/>
                <w:color w:val="auto"/>
              </w:rPr>
            </w:pPr>
          </w:p>
        </w:tc>
        <w:tc>
          <w:tcPr>
            <w:tcW w:w="3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3920" w:type="dxa"/>
            <w:vAlign w:val="bottom"/>
          </w:tcPr>
          <w:p>
            <w:pPr>
              <w:ind w:left="240"/>
              <w:spacing w:after="0"/>
              <w:rPr>
                <w:sz w:val="20"/>
                <w:szCs w:val="20"/>
                <w:color w:val="auto"/>
              </w:rPr>
            </w:pPr>
            <w:r>
              <w:rPr>
                <w:rFonts w:ascii="Arial" w:cs="Arial" w:eastAsia="Arial" w:hAnsi="Arial"/>
                <w:sz w:val="16"/>
                <w:szCs w:val="16"/>
                <w:color w:val="auto"/>
              </w:rPr>
              <w:t>contribution rates.</w:t>
            </w:r>
          </w:p>
        </w:tc>
        <w:tc>
          <w:tcPr>
            <w:tcW w:w="3900" w:type="dxa"/>
            <w:vAlign w:val="bottom"/>
          </w:tcPr>
          <w:p>
            <w:pPr>
              <w:ind w:left="220"/>
              <w:spacing w:after="0"/>
              <w:rPr>
                <w:sz w:val="20"/>
                <w:szCs w:val="20"/>
                <w:color w:val="auto"/>
              </w:rPr>
            </w:pPr>
            <w:r>
              <w:rPr>
                <w:rFonts w:ascii="Arial" w:cs="Arial" w:eastAsia="Arial" w:hAnsi="Arial"/>
                <w:sz w:val="16"/>
                <w:szCs w:val="16"/>
                <w:color w:val="auto"/>
              </w:rPr>
              <w:t>contribution rates.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2343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136" w:lineRule="exact"/>
        <w:rPr>
          <w:sz w:val="20"/>
          <w:szCs w:val="20"/>
          <w:color w:val="auto"/>
        </w:rPr>
      </w:pPr>
    </w:p>
    <w:p>
      <w:pPr>
        <w:ind w:left="20"/>
        <w:spacing w:after="0"/>
        <w:tabs>
          <w:tab w:leader="none" w:pos="3420" w:val="left"/>
        </w:tabs>
        <w:rPr>
          <w:sz w:val="20"/>
          <w:szCs w:val="20"/>
          <w:color w:val="auto"/>
        </w:rPr>
      </w:pPr>
      <w:r>
        <w:rPr>
          <w:rFonts w:ascii="Arial" w:cs="Arial" w:eastAsia="Arial" w:hAnsi="Arial"/>
          <w:sz w:val="16"/>
          <w:szCs w:val="16"/>
          <w:b w:val="1"/>
          <w:bCs w:val="1"/>
          <w:color w:val="auto"/>
        </w:rPr>
        <w:t>Other Payments/Benefits</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In the case of involuntary termination by the</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Company without cause, service credit for pension</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is provided during the first 12 months of the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severance period.</w:t>
      </w:r>
    </w:p>
    <w:p>
      <w:pPr>
        <w:spacing w:after="0" w:line="70"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Upon death or disability, Performance Plan cash</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units are paid on a pro rata basis at target for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incomplete performance periods, and based on the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actual earned award for completed performance</w:t>
      </w:r>
    </w:p>
    <w:p>
      <w:pPr>
        <w:spacing w:after="0" w:line="5"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cycles (Mr. Currier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2343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197" w:right="60" w:hanging="197"/>
        <w:spacing w:after="0" w:line="265" w:lineRule="auto"/>
        <w:tabs>
          <w:tab w:leader="none" w:pos="194" w:val="left"/>
        </w:tabs>
        <w:numPr>
          <w:ilvl w:val="0"/>
          <w:numId w:val="189"/>
        </w:numPr>
        <w:rPr>
          <w:rFonts w:ascii="Arial" w:cs="Arial" w:eastAsia="Arial" w:hAnsi="Arial"/>
          <w:sz w:val="16"/>
          <w:szCs w:val="16"/>
          <w:b w:val="1"/>
          <w:bCs w:val="1"/>
          <w:color w:val="D7282F"/>
        </w:rPr>
      </w:pPr>
      <w:r>
        <w:rPr>
          <w:rFonts w:ascii="Arial" w:cs="Arial" w:eastAsia="Arial" w:hAnsi="Arial"/>
          <w:sz w:val="16"/>
          <w:szCs w:val="16"/>
          <w:color w:val="auto"/>
        </w:rPr>
        <w:t>If employment is terminated upon CIC, service credit for pension purposes during the first 12 months of the severance period. Additional 3 years of age and service for Ms. Madden under pre-2007 Corporate CIC Severance Plan provisions.</w:t>
      </w:r>
    </w:p>
    <w:p>
      <w:pPr>
        <w:spacing w:after="0" w:line="23" w:lineRule="exact"/>
        <w:rPr>
          <w:rFonts w:ascii="Arial" w:cs="Arial" w:eastAsia="Arial" w:hAnsi="Arial"/>
          <w:sz w:val="16"/>
          <w:szCs w:val="16"/>
          <w:b w:val="1"/>
          <w:bCs w:val="1"/>
          <w:color w:val="D7282F"/>
        </w:rPr>
      </w:pPr>
    </w:p>
    <w:p>
      <w:pPr>
        <w:ind w:left="197" w:right="40" w:hanging="197"/>
        <w:spacing w:after="0" w:line="265" w:lineRule="auto"/>
        <w:tabs>
          <w:tab w:leader="none" w:pos="194" w:val="left"/>
        </w:tabs>
        <w:numPr>
          <w:ilvl w:val="0"/>
          <w:numId w:val="189"/>
        </w:numPr>
        <w:rPr>
          <w:rFonts w:ascii="Arial" w:cs="Arial" w:eastAsia="Arial" w:hAnsi="Arial"/>
          <w:sz w:val="16"/>
          <w:szCs w:val="16"/>
          <w:b w:val="1"/>
          <w:bCs w:val="1"/>
          <w:color w:val="D7282F"/>
        </w:rPr>
      </w:pPr>
      <w:r>
        <w:rPr>
          <w:rFonts w:ascii="Arial" w:cs="Arial" w:eastAsia="Arial" w:hAnsi="Arial"/>
          <w:sz w:val="16"/>
          <w:szCs w:val="16"/>
          <w:color w:val="auto"/>
        </w:rPr>
        <w:t>If employment is terminated upon CIC, Performance Plan cash units are paid on a pro rata basis at target for incomplete performance periods, and based on the actual earned award for completed performance cycles (Mr. Currier only).</w:t>
      </w:r>
    </w:p>
    <w:p>
      <w:pPr>
        <w:spacing w:after="0" w:line="200" w:lineRule="exact"/>
        <w:rPr>
          <w:sz w:val="20"/>
          <w:szCs w:val="20"/>
          <w:color w:val="auto"/>
        </w:rPr>
      </w:pPr>
    </w:p>
    <w:p>
      <w:pPr>
        <w:sectPr>
          <w:pgSz w:w="11900" w:h="16838" w:orient="portrait"/>
          <w:cols w:equalWidth="0" w:num="2">
            <w:col w:w="7300" w:space="43"/>
            <w:col w:w="3897"/>
          </w:cols>
          <w:pgMar w:left="320" w:top="230" w:right="3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NO EXCISE TAX GROSS-UPS</w:t>
      </w:r>
    </w:p>
    <w:p>
      <w:pPr>
        <w:spacing w:after="0" w:line="11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U.S. tax laws may impose an excise tax on employees who receive benefits in connection with a CIC in certain circumstances and subject to certain conditions. The Company does not provide for excise tax gross-ups.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IMPACT ON EQUITY-BASED AWARDS</w:t>
      </w:r>
    </w:p>
    <w:p>
      <w:pPr>
        <w:spacing w:after="0" w:line="5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This section describes the impact of a termination of employment or a CIC on outstanding stock options, RSUs, and Performance Plan Stock Units (PSUs) held by our NEOs. Additional information about these awards is included in the Outstanding Equity Awards Table on page 84 of this Proxy Statement.</w:t>
      </w:r>
    </w:p>
    <w:p>
      <w:pPr>
        <w:spacing w:after="0" w:line="33"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The table below shows the values of in-the-money outstanding unvested stock options, RSUs, and PSUs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held by our NEOs as of December 31, 2023, based on the closing price of a share of common stock as reported on the Nasdaq on that date $209.71. These awards are scheduled to vest and to expire on various dates in the future. As described below, the vesting of these awards will be accelerated upon death, disability, or a qualifying termination of employment following a CIC. Equity awards do not automatically vest upon a CIC to the extent assumed or replaced by the successor in the transaction. In addition, stock options will remain outstanding for different periods depending on the circumstances. The value to an NEO of these provisions depends on the vesting period and remaining terms of the awards.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1820" w:type="dxa"/>
            <w:vAlign w:val="bottom"/>
          </w:tcPr>
          <w:p>
            <w:pPr>
              <w:jc w:val="right"/>
              <w:ind w:right="68"/>
              <w:spacing w:after="0"/>
              <w:rPr>
                <w:sz w:val="20"/>
                <w:szCs w:val="20"/>
                <w:color w:val="auto"/>
              </w:rPr>
            </w:pPr>
            <w:r>
              <w:rPr>
                <w:rFonts w:ascii="Arial" w:cs="Arial" w:eastAsia="Arial" w:hAnsi="Arial"/>
                <w:sz w:val="14"/>
                <w:szCs w:val="14"/>
                <w:b w:val="1"/>
                <w:bCs w:val="1"/>
                <w:color w:val="auto"/>
              </w:rPr>
              <w:t>In-the-Money</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spacing w:after="0"/>
              <w:rPr>
                <w:sz w:val="15"/>
                <w:szCs w:val="15"/>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 of</w:t>
            </w:r>
          </w:p>
        </w:tc>
        <w:tc>
          <w:tcPr>
            <w:tcW w:w="300" w:type="dxa"/>
            <w:vAlign w:val="bottom"/>
          </w:tcPr>
          <w:p>
            <w:pPr>
              <w:spacing w:after="0"/>
              <w:rPr>
                <w:sz w:val="15"/>
                <w:szCs w:val="15"/>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Unvested</w:t>
            </w: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60"/>
        </w:trPr>
        <w:tc>
          <w:tcPr>
            <w:tcW w:w="6820" w:type="dxa"/>
            <w:vAlign w:val="bottom"/>
          </w:tcPr>
          <w:p>
            <w:pPr>
              <w:spacing w:after="0"/>
              <w:rPr>
                <w:sz w:val="13"/>
                <w:szCs w:val="13"/>
                <w:color w:val="auto"/>
              </w:rPr>
            </w:pPr>
          </w:p>
        </w:tc>
        <w:tc>
          <w:tcPr>
            <w:tcW w:w="1820" w:type="dxa"/>
            <w:vAlign w:val="bottom"/>
          </w:tcPr>
          <w:p>
            <w:pPr>
              <w:jc w:val="right"/>
              <w:ind w:right="108"/>
              <w:spacing w:after="0" w:line="159" w:lineRule="exact"/>
              <w:rPr>
                <w:sz w:val="20"/>
                <w:szCs w:val="20"/>
                <w:color w:val="auto"/>
              </w:rPr>
            </w:pPr>
            <w:r>
              <w:rPr>
                <w:rFonts w:ascii="Arial" w:cs="Arial" w:eastAsia="Arial" w:hAnsi="Arial"/>
                <w:sz w:val="14"/>
                <w:szCs w:val="14"/>
                <w:b w:val="1"/>
                <w:bCs w:val="1"/>
                <w:color w:val="auto"/>
              </w:rPr>
              <w:t>Unvested</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8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1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Stock Options</w:t>
            </w:r>
          </w:p>
        </w:tc>
        <w:tc>
          <w:tcPr>
            <w:tcW w:w="300" w:type="dxa"/>
            <w:vAlign w:val="bottom"/>
            <w:tcBorders>
              <w:bottom w:val="single" w:sz="8" w:color="D7282F"/>
            </w:tcBorders>
          </w:tcPr>
          <w:p>
            <w:pPr>
              <w:spacing w:after="0"/>
              <w:rPr>
                <w:sz w:val="18"/>
                <w:szCs w:val="18"/>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RSUs</w:t>
            </w:r>
          </w:p>
        </w:tc>
        <w:tc>
          <w:tcPr>
            <w:tcW w:w="340" w:type="dxa"/>
            <w:vAlign w:val="bottom"/>
            <w:tcBorders>
              <w:bottom w:val="single" w:sz="8" w:color="D7282F"/>
            </w:tcBorders>
          </w:tcPr>
          <w:p>
            <w:pPr>
              <w:spacing w:after="0"/>
              <w:rPr>
                <w:sz w:val="18"/>
                <w:szCs w:val="18"/>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PSUs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Kapur</w:t>
            </w:r>
          </w:p>
        </w:tc>
        <w:tc>
          <w:tcPr>
            <w:tcW w:w="1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   2,198,296</w:t>
            </w:r>
          </w:p>
        </w:tc>
        <w:tc>
          <w:tcPr>
            <w:tcW w:w="300" w:type="dxa"/>
            <w:vAlign w:val="bottom"/>
            <w:tcBorders>
              <w:bottom w:val="single" w:sz="8" w:color="939598"/>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4,403,281</w:t>
            </w:r>
          </w:p>
        </w:tc>
        <w:tc>
          <w:tcPr>
            <w:tcW w:w="3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5,996,657</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Lewis</w:t>
            </w:r>
          </w:p>
        </w:tc>
        <w:tc>
          <w:tcPr>
            <w:tcW w:w="1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1,853,766</w:t>
            </w:r>
          </w:p>
        </w:tc>
        <w:tc>
          <w:tcPr>
            <w:tcW w:w="300" w:type="dxa"/>
            <w:vAlign w:val="bottom"/>
            <w:tcBorders>
              <w:bottom w:val="single" w:sz="8" w:color="939598"/>
            </w:tcBorders>
          </w:tcPr>
          <w:p>
            <w:pPr>
              <w:spacing w:after="0"/>
              <w:rPr>
                <w:sz w:val="19"/>
                <w:szCs w:val="19"/>
                <w:color w:val="auto"/>
              </w:rPr>
            </w:pPr>
          </w:p>
        </w:tc>
        <w:tc>
          <w:tcPr>
            <w:tcW w:w="102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3,603,657</w:t>
            </w:r>
          </w:p>
        </w:tc>
        <w:tc>
          <w:tcPr>
            <w:tcW w:w="34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6,391,751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Ms. Madden</w:t>
            </w:r>
          </w:p>
        </w:tc>
        <w:tc>
          <w:tcPr>
            <w:tcW w:w="1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1,822,982</w:t>
            </w:r>
          </w:p>
        </w:tc>
        <w:tc>
          <w:tcPr>
            <w:tcW w:w="300" w:type="dxa"/>
            <w:vAlign w:val="bottom"/>
            <w:tcBorders>
              <w:bottom w:val="single" w:sz="8" w:color="939598"/>
            </w:tcBorders>
          </w:tcPr>
          <w:p>
            <w:pPr>
              <w:spacing w:after="0"/>
              <w:rPr>
                <w:sz w:val="19"/>
                <w:szCs w:val="19"/>
                <w:color w:val="auto"/>
              </w:rPr>
            </w:pPr>
          </w:p>
        </w:tc>
        <w:tc>
          <w:tcPr>
            <w:tcW w:w="102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3,858,664</w:t>
            </w:r>
          </w:p>
        </w:tc>
        <w:tc>
          <w:tcPr>
            <w:tcW w:w="34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6,306,399</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Boldea</w:t>
            </w:r>
          </w:p>
        </w:tc>
        <w:tc>
          <w:tcPr>
            <w:tcW w:w="1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1,242,961</w:t>
            </w:r>
          </w:p>
        </w:tc>
        <w:tc>
          <w:tcPr>
            <w:tcW w:w="300" w:type="dxa"/>
            <w:vAlign w:val="bottom"/>
            <w:tcBorders>
              <w:bottom w:val="single" w:sz="8" w:color="939598"/>
            </w:tcBorders>
          </w:tcPr>
          <w:p>
            <w:pPr>
              <w:spacing w:after="0"/>
              <w:rPr>
                <w:sz w:val="19"/>
                <w:szCs w:val="19"/>
                <w:color w:val="auto"/>
              </w:rPr>
            </w:pPr>
          </w:p>
        </w:tc>
        <w:tc>
          <w:tcPr>
            <w:tcW w:w="102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4,734,832</w:t>
            </w:r>
          </w:p>
        </w:tc>
        <w:tc>
          <w:tcPr>
            <w:tcW w:w="34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2,006,086</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Mr. Currier</w:t>
            </w:r>
          </w:p>
        </w:tc>
        <w:tc>
          <w:tcPr>
            <w:tcW w:w="182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485,614</w:t>
            </w:r>
          </w:p>
        </w:tc>
        <w:tc>
          <w:tcPr>
            <w:tcW w:w="300" w:type="dxa"/>
            <w:vAlign w:val="bottom"/>
            <w:tcBorders>
              <w:bottom w:val="single" w:sz="8" w:color="939598"/>
            </w:tcBorders>
          </w:tcPr>
          <w:p>
            <w:pPr>
              <w:spacing w:after="0"/>
              <w:rPr>
                <w:sz w:val="19"/>
                <w:szCs w:val="19"/>
                <w:color w:val="auto"/>
              </w:rPr>
            </w:pPr>
          </w:p>
        </w:tc>
        <w:tc>
          <w:tcPr>
            <w:tcW w:w="102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color w:val="auto"/>
              </w:rPr>
              <w:t>2,079,694</w:t>
            </w:r>
          </w:p>
        </w:tc>
        <w:tc>
          <w:tcPr>
            <w:tcW w:w="340" w:type="dxa"/>
            <w:vAlign w:val="bottom"/>
            <w:tcBorders>
              <w:bottom w:val="single" w:sz="8" w:color="939598"/>
            </w:tcBorders>
          </w:tcPr>
          <w:p>
            <w:pPr>
              <w:spacing w:after="0"/>
              <w:rPr>
                <w:sz w:val="19"/>
                <w:szCs w:val="19"/>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600,470</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Mr. Adamczyk</w:t>
            </w:r>
          </w:p>
        </w:tc>
        <w:tc>
          <w:tcPr>
            <w:tcW w:w="1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6,079,312</w:t>
            </w:r>
          </w:p>
        </w:tc>
        <w:tc>
          <w:tcPr>
            <w:tcW w:w="300" w:type="dxa"/>
            <w:vAlign w:val="bottom"/>
            <w:tcBorders>
              <w:bottom w:val="single" w:sz="8" w:color="D7282F"/>
            </w:tcBorders>
          </w:tcPr>
          <w:p>
            <w:pPr>
              <w:spacing w:after="0"/>
              <w:rPr>
                <w:sz w:val="19"/>
                <w:szCs w:val="19"/>
                <w:color w:val="auto"/>
              </w:rPr>
            </w:pPr>
          </w:p>
        </w:tc>
        <w:tc>
          <w:tcPr>
            <w:tcW w:w="10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13,704,339</w:t>
            </w:r>
          </w:p>
        </w:tc>
        <w:tc>
          <w:tcPr>
            <w:tcW w:w="340" w:type="dxa"/>
            <w:vAlign w:val="bottom"/>
            <w:tcBorders>
              <w:bottom w:val="single" w:sz="8" w:color="D7282F"/>
            </w:tcBorders>
          </w:tcPr>
          <w:p>
            <w:pPr>
              <w:spacing w:after="0"/>
              <w:rPr>
                <w:sz w:val="19"/>
                <w:szCs w:val="19"/>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20,636,233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hanging="192"/>
        <w:spacing w:after="0"/>
        <w:tabs>
          <w:tab w:leader="none" w:pos="200" w:val="left"/>
        </w:tabs>
        <w:numPr>
          <w:ilvl w:val="0"/>
          <w:numId w:val="190"/>
        </w:numPr>
        <w:rPr>
          <w:rFonts w:ascii="Arial" w:cs="Arial" w:eastAsia="Arial" w:hAnsi="Arial"/>
          <w:sz w:val="16"/>
          <w:szCs w:val="16"/>
          <w:color w:val="auto"/>
          <w:vertAlign w:val="superscript"/>
        </w:rPr>
      </w:pPr>
      <w:r>
        <w:rPr>
          <w:rFonts w:ascii="Arial" w:cs="Arial" w:eastAsia="Arial" w:hAnsi="Arial"/>
          <w:sz w:val="13"/>
          <w:szCs w:val="13"/>
          <w:color w:val="auto"/>
        </w:rPr>
        <w:t>Includes the portion of unvested PSUs that would vest upon Death, Disability, or a qualifying termination upon Change in Control when awards are rolled over or replaced by a successor.</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TERMINATION OR CIC IMPACT ON OUTSTANDING AWARDS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Treatment of outstanding stock plan awards following termination of employment depends on the plan under which the awards were granted, as follows:</w:t>
      </w:r>
    </w:p>
    <w:p>
      <w:pPr>
        <w:spacing w:after="0" w:line="172"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4"/>
          <w:szCs w:val="14"/>
          <w:b w:val="1"/>
          <w:bCs w:val="1"/>
          <w:color w:val="auto"/>
        </w:rPr>
        <w:t>Plan</w:t>
      </w:r>
      <w:r>
        <w:rPr>
          <w:sz w:val="20"/>
          <w:szCs w:val="20"/>
          <w:color w:val="auto"/>
        </w:rPr>
        <w:tab/>
      </w:r>
      <w:r>
        <w:rPr>
          <w:rFonts w:ascii="Arial" w:cs="Arial" w:eastAsia="Arial" w:hAnsi="Arial"/>
          <w:sz w:val="14"/>
          <w:szCs w:val="14"/>
          <w:b w:val="1"/>
          <w:bCs w:val="1"/>
          <w:color w:val="auto"/>
        </w:rPr>
        <w:t>Treatment of Stock Options, RSUs, and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p>
      <w:pPr>
        <w:spacing w:after="0" w:line="118" w:lineRule="exact"/>
        <w:rPr>
          <w:sz w:val="20"/>
          <w:szCs w:val="20"/>
          <w:color w:val="auto"/>
        </w:rPr>
      </w:pPr>
    </w:p>
    <w:p>
      <w:pPr>
        <w:ind w:left="20"/>
        <w:spacing w:after="0" w:line="280" w:lineRule="auto"/>
        <w:rPr>
          <w:sz w:val="20"/>
          <w:szCs w:val="20"/>
          <w:color w:val="auto"/>
        </w:rPr>
      </w:pPr>
      <w:r>
        <w:rPr>
          <w:rFonts w:ascii="Arial" w:cs="Arial" w:eastAsia="Arial" w:hAnsi="Arial"/>
          <w:sz w:val="16"/>
          <w:szCs w:val="16"/>
          <w:b w:val="1"/>
          <w:bCs w:val="1"/>
          <w:color w:val="auto"/>
        </w:rPr>
        <w:t>2011 Stock Incentive Plan of Honeywell International Inc. and its Affiliates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99" w:hanging="199"/>
        <w:spacing w:after="0"/>
        <w:tabs>
          <w:tab w:leader="none" w:pos="199" w:val="left"/>
        </w:tabs>
        <w:numPr>
          <w:ilvl w:val="0"/>
          <w:numId w:val="191"/>
        </w:numPr>
        <w:rPr>
          <w:rFonts w:ascii="Arial" w:cs="Arial" w:eastAsia="Arial" w:hAnsi="Arial"/>
          <w:sz w:val="16"/>
          <w:szCs w:val="16"/>
          <w:b w:val="1"/>
          <w:bCs w:val="1"/>
          <w:color w:val="D7282F"/>
        </w:rPr>
      </w:pPr>
      <w:r>
        <w:rPr>
          <w:rFonts w:ascii="Arial" w:cs="Arial" w:eastAsia="Arial" w:hAnsi="Arial"/>
          <w:sz w:val="16"/>
          <w:szCs w:val="16"/>
          <w:color w:val="auto"/>
        </w:rPr>
        <w:t>RSUs become vested in full upon death or disability.</w:t>
      </w:r>
    </w:p>
    <w:p>
      <w:pPr>
        <w:spacing w:after="0" w:line="59" w:lineRule="exact"/>
        <w:rPr>
          <w:rFonts w:ascii="Arial" w:cs="Arial" w:eastAsia="Arial" w:hAnsi="Arial"/>
          <w:sz w:val="16"/>
          <w:szCs w:val="16"/>
          <w:b w:val="1"/>
          <w:bCs w:val="1"/>
          <w:color w:val="D7282F"/>
        </w:rPr>
      </w:pPr>
    </w:p>
    <w:p>
      <w:pPr>
        <w:ind w:left="199" w:right="40" w:hanging="199"/>
        <w:spacing w:after="0" w:line="275" w:lineRule="auto"/>
        <w:tabs>
          <w:tab w:leader="none" w:pos="196" w:val="left"/>
        </w:tabs>
        <w:numPr>
          <w:ilvl w:val="0"/>
          <w:numId w:val="191"/>
        </w:numPr>
        <w:rPr>
          <w:rFonts w:ascii="Arial" w:cs="Arial" w:eastAsia="Arial" w:hAnsi="Arial"/>
          <w:sz w:val="16"/>
          <w:szCs w:val="16"/>
          <w:b w:val="1"/>
          <w:bCs w:val="1"/>
          <w:color w:val="D7282F"/>
        </w:rPr>
      </w:pPr>
      <w:r>
        <w:rPr>
          <w:rFonts w:ascii="Arial" w:cs="Arial" w:eastAsia="Arial" w:hAnsi="Arial"/>
          <w:sz w:val="16"/>
          <w:szCs w:val="16"/>
          <w:color w:val="auto"/>
        </w:rPr>
        <w:t>Following termination of employment, unless otherwise agreed by the Company pursuant to the terms of the plan, participants (or their beneficiaries) have until the earlier of the original expiration date or the following period in which to exercise vested options:</w:t>
      </w:r>
    </w:p>
    <w:p>
      <w:pPr>
        <w:spacing w:after="0" w:line="15" w:lineRule="exact"/>
        <w:rPr>
          <w:rFonts w:ascii="Arial" w:cs="Arial" w:eastAsia="Arial" w:hAnsi="Arial"/>
          <w:sz w:val="16"/>
          <w:szCs w:val="16"/>
          <w:b w:val="1"/>
          <w:bCs w:val="1"/>
          <w:color w:val="D7282F"/>
        </w:rPr>
      </w:pPr>
    </w:p>
    <w:p>
      <w:pPr>
        <w:jc w:val="both"/>
        <w:ind w:left="379" w:right="120" w:hanging="185"/>
        <w:spacing w:after="0" w:line="266" w:lineRule="auto"/>
        <w:tabs>
          <w:tab w:leader="none" w:pos="376" w:val="left"/>
        </w:tabs>
        <w:numPr>
          <w:ilvl w:val="1"/>
          <w:numId w:val="191"/>
        </w:numPr>
        <w:rPr>
          <w:rFonts w:ascii="Arial" w:cs="Arial" w:eastAsia="Arial" w:hAnsi="Arial"/>
          <w:sz w:val="16"/>
          <w:szCs w:val="16"/>
          <w:b w:val="1"/>
          <w:bCs w:val="1"/>
          <w:color w:val="D7282F"/>
        </w:rPr>
      </w:pPr>
      <w:r>
        <w:rPr>
          <w:rFonts w:ascii="Arial" w:cs="Arial" w:eastAsia="Arial" w:hAnsi="Arial"/>
          <w:sz w:val="16"/>
          <w:szCs w:val="16"/>
          <w:color w:val="auto"/>
        </w:rPr>
        <w:t>Three (3) years in the event of death, disability, or a voluntary or involuntary termination (other than for cause) after qualifying for “early retirement” (age 55 and 10 years of service) or “full retirement” (age 60 and 10 years of service).</w:t>
      </w:r>
    </w:p>
    <w:p>
      <w:pPr>
        <w:spacing w:after="0" w:line="22" w:lineRule="exact"/>
        <w:rPr>
          <w:rFonts w:ascii="Arial" w:cs="Arial" w:eastAsia="Arial" w:hAnsi="Arial"/>
          <w:sz w:val="16"/>
          <w:szCs w:val="16"/>
          <w:b w:val="1"/>
          <w:bCs w:val="1"/>
          <w:color w:val="D7282F"/>
        </w:rPr>
      </w:pPr>
    </w:p>
    <w:p>
      <w:pPr>
        <w:ind w:left="379" w:hanging="185"/>
        <w:spacing w:after="0"/>
        <w:tabs>
          <w:tab w:leader="none" w:pos="379" w:val="left"/>
        </w:tabs>
        <w:numPr>
          <w:ilvl w:val="1"/>
          <w:numId w:val="191"/>
        </w:numPr>
        <w:rPr>
          <w:rFonts w:ascii="Arial" w:cs="Arial" w:eastAsia="Arial" w:hAnsi="Arial"/>
          <w:sz w:val="16"/>
          <w:szCs w:val="16"/>
          <w:b w:val="1"/>
          <w:bCs w:val="1"/>
          <w:color w:val="D7282F"/>
        </w:rPr>
      </w:pPr>
      <w:r>
        <w:rPr>
          <w:rFonts w:ascii="Arial" w:cs="Arial" w:eastAsia="Arial" w:hAnsi="Arial"/>
          <w:sz w:val="16"/>
          <w:szCs w:val="16"/>
          <w:color w:val="auto"/>
        </w:rPr>
        <w:t>One (1) year in the case of any other involuntary termination without cause; and</w:t>
      </w:r>
    </w:p>
    <w:p>
      <w:pPr>
        <w:spacing w:after="0" w:line="59" w:lineRule="exact"/>
        <w:rPr>
          <w:rFonts w:ascii="Arial" w:cs="Arial" w:eastAsia="Arial" w:hAnsi="Arial"/>
          <w:sz w:val="16"/>
          <w:szCs w:val="16"/>
          <w:b w:val="1"/>
          <w:bCs w:val="1"/>
          <w:color w:val="D7282F"/>
        </w:rPr>
      </w:pPr>
    </w:p>
    <w:p>
      <w:pPr>
        <w:ind w:left="379" w:hanging="185"/>
        <w:spacing w:after="0"/>
        <w:tabs>
          <w:tab w:leader="none" w:pos="379" w:val="left"/>
        </w:tabs>
        <w:numPr>
          <w:ilvl w:val="1"/>
          <w:numId w:val="191"/>
        </w:numPr>
        <w:rPr>
          <w:rFonts w:ascii="Arial" w:cs="Arial" w:eastAsia="Arial" w:hAnsi="Arial"/>
          <w:sz w:val="16"/>
          <w:szCs w:val="16"/>
          <w:b w:val="1"/>
          <w:bCs w:val="1"/>
          <w:color w:val="D7282F"/>
        </w:rPr>
      </w:pPr>
      <w:r>
        <w:rPr>
          <w:rFonts w:ascii="Arial" w:cs="Arial" w:eastAsia="Arial" w:hAnsi="Arial"/>
          <w:sz w:val="16"/>
          <w:szCs w:val="16"/>
          <w:color w:val="auto"/>
        </w:rPr>
        <w:t>Thirty (30) days in the case of a voluntary termination.</w:t>
      </w:r>
    </w:p>
    <w:p>
      <w:pPr>
        <w:spacing w:after="0" w:line="72" w:lineRule="exact"/>
        <w:rPr>
          <w:rFonts w:ascii="Arial" w:cs="Arial" w:eastAsia="Arial" w:hAnsi="Arial"/>
          <w:sz w:val="16"/>
          <w:szCs w:val="16"/>
          <w:b w:val="1"/>
          <w:bCs w:val="1"/>
          <w:color w:val="D7282F"/>
        </w:rPr>
      </w:pPr>
    </w:p>
    <w:p>
      <w:pPr>
        <w:ind w:left="199" w:hanging="199"/>
        <w:spacing w:after="0"/>
        <w:tabs>
          <w:tab w:leader="none" w:pos="199" w:val="left"/>
        </w:tabs>
        <w:numPr>
          <w:ilvl w:val="0"/>
          <w:numId w:val="191"/>
        </w:numPr>
        <w:rPr>
          <w:rFonts w:ascii="Arial" w:cs="Arial" w:eastAsia="Arial" w:hAnsi="Arial"/>
          <w:sz w:val="16"/>
          <w:szCs w:val="16"/>
          <w:b w:val="1"/>
          <w:bCs w:val="1"/>
          <w:color w:val="D7282F"/>
        </w:rPr>
      </w:pPr>
      <w:r>
        <w:rPr>
          <w:rFonts w:ascii="Arial" w:cs="Arial" w:eastAsia="Arial" w:hAnsi="Arial"/>
          <w:sz w:val="16"/>
          <w:szCs w:val="16"/>
          <w:color w:val="auto"/>
        </w:rPr>
        <w:t>These rules are hereinafter referred to as the “2011 Stock Plan Exercise Rules.”</w:t>
      </w:r>
    </w:p>
    <w:p>
      <w:pPr>
        <w:spacing w:after="0" w:line="59" w:lineRule="exact"/>
        <w:rPr>
          <w:rFonts w:ascii="Arial" w:cs="Arial" w:eastAsia="Arial" w:hAnsi="Arial"/>
          <w:sz w:val="16"/>
          <w:szCs w:val="16"/>
          <w:b w:val="1"/>
          <w:bCs w:val="1"/>
          <w:color w:val="D7282F"/>
        </w:rPr>
      </w:pPr>
    </w:p>
    <w:p>
      <w:pPr>
        <w:ind w:left="199" w:right="180" w:hanging="199"/>
        <w:spacing w:after="0" w:line="265" w:lineRule="auto"/>
        <w:tabs>
          <w:tab w:leader="none" w:pos="196" w:val="left"/>
        </w:tabs>
        <w:numPr>
          <w:ilvl w:val="0"/>
          <w:numId w:val="191"/>
        </w:numPr>
        <w:rPr>
          <w:rFonts w:ascii="Arial" w:cs="Arial" w:eastAsia="Arial" w:hAnsi="Arial"/>
          <w:sz w:val="16"/>
          <w:szCs w:val="16"/>
          <w:b w:val="1"/>
          <w:bCs w:val="1"/>
          <w:color w:val="D7282F"/>
        </w:rPr>
      </w:pPr>
      <w:r>
        <w:rPr>
          <w:rFonts w:ascii="Arial" w:cs="Arial" w:eastAsia="Arial" w:hAnsi="Arial"/>
          <w:sz w:val="16"/>
          <w:szCs w:val="16"/>
          <w:color w:val="auto"/>
        </w:rPr>
        <w:t>Unvested stock options and RSUs do not automatically vest upon a CIC if rolled over or replaced by the successor. Following a CIC, vesting shall only occur if a participant’s employment is terminated, either by the successor without cause or by the participant for good reason (that is, “double trigger” vesting), within two years following a CIC. These rules are hereinafter referred to as the “Double Trigger CIC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67310</wp:posOffset>
            </wp:positionV>
            <wp:extent cx="712343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2740" w:space="121"/>
            <w:col w:w="8359"/>
          </w:cols>
          <w:pgMar w:left="320" w:top="230" w:right="359" w:bottom="1440" w:gutter="0" w:footer="0" w:header="0"/>
          <w:type w:val="continuous"/>
        </w:sectPr>
      </w:pPr>
    </w:p>
    <w:p>
      <w:pPr>
        <w:ind w:left="20"/>
        <w:spacing w:after="0" w:line="280" w:lineRule="auto"/>
        <w:rPr>
          <w:sz w:val="20"/>
          <w:szCs w:val="20"/>
          <w:color w:val="auto"/>
        </w:rPr>
      </w:pPr>
      <w:r>
        <w:rPr>
          <w:rFonts w:ascii="Arial" w:cs="Arial" w:eastAsia="Arial" w:hAnsi="Arial"/>
          <w:sz w:val="16"/>
          <w:szCs w:val="16"/>
          <w:b w:val="1"/>
          <w:bCs w:val="1"/>
          <w:color w:val="auto"/>
        </w:rPr>
        <w:t>2016 Stock Incentive Plan of Honeywell International Inc. and its Affiliates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99" w:right="60" w:hanging="199"/>
        <w:spacing w:after="0" w:line="259" w:lineRule="auto"/>
        <w:tabs>
          <w:tab w:leader="none" w:pos="196" w:val="left"/>
        </w:tabs>
        <w:numPr>
          <w:ilvl w:val="0"/>
          <w:numId w:val="192"/>
        </w:numPr>
        <w:rPr>
          <w:rFonts w:ascii="Arial" w:cs="Arial" w:eastAsia="Arial" w:hAnsi="Arial"/>
          <w:sz w:val="16"/>
          <w:szCs w:val="16"/>
          <w:b w:val="1"/>
          <w:bCs w:val="1"/>
          <w:color w:val="D7282F"/>
        </w:rPr>
      </w:pPr>
      <w:r>
        <w:rPr>
          <w:rFonts w:ascii="Arial" w:cs="Arial" w:eastAsia="Arial" w:hAnsi="Arial"/>
          <w:sz w:val="16"/>
          <w:szCs w:val="16"/>
          <w:color w:val="auto"/>
        </w:rPr>
        <w:t>The Double Trigger CIC Rules apply to unvested stock options and RSUs under this plan. Double trigger vesting also applies to PSUs awarded under this plan where the awards are rolled over or replaced by the successor, with vesting on a pro rata basis at target for incomplete performance periods, and based on the actual earned award for completed performance cycles, and paid within 90 days of a participant’s termination of employment, either by the successor without cause or by the participant for good reason (that is, “double trigger” vesting), within two years following a CIC. RSU and PSU awards that are not rolled over or replaced by the successor vest immediately upon the CIC.</w:t>
      </w:r>
    </w:p>
    <w:p>
      <w:pPr>
        <w:spacing w:after="0" w:line="41" w:lineRule="exact"/>
        <w:rPr>
          <w:rFonts w:ascii="Arial" w:cs="Arial" w:eastAsia="Arial" w:hAnsi="Arial"/>
          <w:sz w:val="16"/>
          <w:szCs w:val="16"/>
          <w:b w:val="1"/>
          <w:bCs w:val="1"/>
          <w:color w:val="D7282F"/>
        </w:rPr>
      </w:pPr>
    </w:p>
    <w:p>
      <w:pPr>
        <w:ind w:left="199" w:hanging="199"/>
        <w:spacing w:after="0"/>
        <w:tabs>
          <w:tab w:leader="none" w:pos="199" w:val="left"/>
        </w:tabs>
        <w:numPr>
          <w:ilvl w:val="0"/>
          <w:numId w:val="192"/>
        </w:numPr>
        <w:rPr>
          <w:rFonts w:ascii="Arial" w:cs="Arial" w:eastAsia="Arial" w:hAnsi="Arial"/>
          <w:sz w:val="16"/>
          <w:szCs w:val="16"/>
          <w:b w:val="1"/>
          <w:bCs w:val="1"/>
          <w:color w:val="D7282F"/>
        </w:rPr>
      </w:pPr>
      <w:r>
        <w:rPr>
          <w:rFonts w:ascii="Arial" w:cs="Arial" w:eastAsia="Arial" w:hAnsi="Arial"/>
          <w:sz w:val="16"/>
          <w:szCs w:val="16"/>
          <w:color w:val="auto"/>
        </w:rPr>
        <w:t>The 2011 Stock Plan Exercise Rules apply to vested stock options under this plan.</w:t>
      </w:r>
    </w:p>
    <w:p>
      <w:pPr>
        <w:spacing w:after="0" w:line="86" w:lineRule="exact"/>
        <w:rPr>
          <w:rFonts w:ascii="Arial" w:cs="Arial" w:eastAsia="Arial" w:hAnsi="Arial"/>
          <w:sz w:val="16"/>
          <w:szCs w:val="16"/>
          <w:b w:val="1"/>
          <w:bCs w:val="1"/>
          <w:color w:val="D7282F"/>
        </w:rPr>
      </w:pPr>
    </w:p>
    <w:p>
      <w:pPr>
        <w:ind w:left="199" w:right="120" w:hanging="199"/>
        <w:spacing w:after="0" w:line="275" w:lineRule="auto"/>
        <w:tabs>
          <w:tab w:leader="none" w:pos="196" w:val="left"/>
        </w:tabs>
        <w:numPr>
          <w:ilvl w:val="0"/>
          <w:numId w:val="192"/>
        </w:numPr>
        <w:rPr>
          <w:rFonts w:ascii="Arial" w:cs="Arial" w:eastAsia="Arial" w:hAnsi="Arial"/>
          <w:sz w:val="16"/>
          <w:szCs w:val="16"/>
          <w:b w:val="1"/>
          <w:bCs w:val="1"/>
          <w:color w:val="D7282F"/>
        </w:rPr>
      </w:pPr>
      <w:r>
        <w:rPr>
          <w:rFonts w:ascii="Arial" w:cs="Arial" w:eastAsia="Arial" w:hAnsi="Arial"/>
          <w:sz w:val="16"/>
          <w:szCs w:val="16"/>
          <w:color w:val="auto"/>
        </w:rPr>
        <w:t>There is no acceleration of vesting of awards upon reaching retirement age. Unvested RSUs and a prorated amount of a PSU award are paid upon a termination due to death or disability. Unvested stock options vest upon a termination due to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-1811020</wp:posOffset>
            </wp:positionH>
            <wp:positionV relativeFrom="paragraph">
              <wp:posOffset>-6350</wp:posOffset>
            </wp:positionV>
            <wp:extent cx="712343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121"/>
            <w:col w:w="8359"/>
          </w:cols>
          <w:pgMar w:left="320" w:top="230" w:right="359" w:bottom="1440" w:gutter="0" w:footer="0" w:header="0"/>
          <w:type w:val="continuous"/>
        </w:sectPr>
      </w:pPr>
    </w:p>
    <w:p>
      <w:pPr>
        <w:spacing w:after="0" w:line="127"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sz w:val="1"/>
          <w:szCs w:val="1"/>
          <w:color w:val="auto"/>
        </w:rPr>
        <w:drawing>
          <wp:inline distT="0" distB="0" distL="0" distR="0">
            <wp:extent cx="548640" cy="10287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color w:val="D7282F"/>
        </w:rPr>
        <w:t>DEFINED TERMS USED IN THIS SECTION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As used in the Company’s plans, the following terms are assigned the meanings summarized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Term</w:t>
            </w:r>
          </w:p>
        </w:tc>
        <w:tc>
          <w:tcPr>
            <w:tcW w:w="9160" w:type="dxa"/>
            <w:vAlign w:val="bottom"/>
            <w:tcBorders>
              <w:bottom w:val="single" w:sz="8" w:color="D7282F"/>
            </w:tcBorders>
          </w:tcPr>
          <w:p>
            <w:pPr>
              <w:ind w:left="780"/>
              <w:spacing w:after="0"/>
              <w:rPr>
                <w:sz w:val="20"/>
                <w:szCs w:val="20"/>
                <w:color w:val="auto"/>
              </w:rPr>
            </w:pPr>
            <w:r>
              <w:rPr>
                <w:rFonts w:ascii="Arial" w:cs="Arial" w:eastAsia="Arial" w:hAnsi="Arial"/>
                <w:sz w:val="14"/>
                <w:szCs w:val="14"/>
                <w:b w:val="1"/>
                <w:bCs w:val="1"/>
                <w:color w:val="auto"/>
              </w:rPr>
              <w:t>Summary of Definition</w:t>
            </w:r>
          </w:p>
        </w:tc>
      </w:tr>
      <w:tr>
        <w:trPr>
          <w:trHeight w:val="276"/>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Change in Control</w:t>
            </w:r>
          </w:p>
        </w:tc>
        <w:tc>
          <w:tcPr>
            <w:tcW w:w="9160" w:type="dxa"/>
            <w:vAlign w:val="bottom"/>
          </w:tcPr>
          <w:p>
            <w:pPr>
              <w:ind w:left="7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acquisition of 30% or more of the Company's common stock;</w:t>
            </w:r>
          </w:p>
        </w:tc>
      </w:tr>
      <w:tr>
        <w:trPr>
          <w:trHeight w:val="257"/>
        </w:trPr>
        <w:tc>
          <w:tcPr>
            <w:tcW w:w="2060" w:type="dxa"/>
            <w:vAlign w:val="bottom"/>
          </w:tcPr>
          <w:p>
            <w:pPr>
              <w:spacing w:after="0"/>
              <w:rPr>
                <w:sz w:val="22"/>
                <w:szCs w:val="22"/>
                <w:color w:val="auto"/>
              </w:rPr>
            </w:pPr>
          </w:p>
        </w:tc>
        <w:tc>
          <w:tcPr>
            <w:tcW w:w="9160" w:type="dxa"/>
            <w:vAlign w:val="bottom"/>
          </w:tcPr>
          <w:p>
            <w:pPr>
              <w:ind w:left="7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The purchase of all or part of the common stock pursuant to a tender offer or exchange offer;</w:t>
            </w:r>
          </w:p>
        </w:tc>
      </w:tr>
      <w:tr>
        <w:trPr>
          <w:trHeight w:val="270"/>
        </w:trPr>
        <w:tc>
          <w:tcPr>
            <w:tcW w:w="2060" w:type="dxa"/>
            <w:vAlign w:val="bottom"/>
          </w:tcPr>
          <w:p>
            <w:pPr>
              <w:spacing w:after="0"/>
              <w:rPr>
                <w:sz w:val="23"/>
                <w:szCs w:val="23"/>
                <w:color w:val="auto"/>
              </w:rPr>
            </w:pPr>
          </w:p>
        </w:tc>
        <w:tc>
          <w:tcPr>
            <w:tcW w:w="9160" w:type="dxa"/>
            <w:vAlign w:val="bottom"/>
          </w:tcPr>
          <w:p>
            <w:pPr>
              <w:ind w:left="7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merger where Honeywell does not survive as an independent, publicly owned corporation;</w:t>
            </w:r>
          </w:p>
        </w:tc>
      </w:tr>
      <w:tr>
        <w:trPr>
          <w:trHeight w:val="270"/>
        </w:trPr>
        <w:tc>
          <w:tcPr>
            <w:tcW w:w="2060" w:type="dxa"/>
            <w:vAlign w:val="bottom"/>
          </w:tcPr>
          <w:p>
            <w:pPr>
              <w:spacing w:after="0"/>
              <w:rPr>
                <w:sz w:val="23"/>
                <w:szCs w:val="23"/>
                <w:color w:val="auto"/>
              </w:rPr>
            </w:pPr>
          </w:p>
        </w:tc>
        <w:tc>
          <w:tcPr>
            <w:tcW w:w="9160" w:type="dxa"/>
            <w:vAlign w:val="bottom"/>
          </w:tcPr>
          <w:p>
            <w:pPr>
              <w:ind w:left="7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sale of substantially all of Honeywell’s assets; or</w:t>
            </w:r>
          </w:p>
        </w:tc>
      </w:tr>
      <w:tr>
        <w:trPr>
          <w:trHeight w:val="256"/>
        </w:trPr>
        <w:tc>
          <w:tcPr>
            <w:tcW w:w="2060" w:type="dxa"/>
            <w:vAlign w:val="bottom"/>
          </w:tcPr>
          <w:p>
            <w:pPr>
              <w:spacing w:after="0"/>
              <w:rPr>
                <w:sz w:val="22"/>
                <w:szCs w:val="22"/>
                <w:color w:val="auto"/>
              </w:rPr>
            </w:pPr>
          </w:p>
        </w:tc>
        <w:tc>
          <w:tcPr>
            <w:tcW w:w="9160" w:type="dxa"/>
            <w:vAlign w:val="bottom"/>
          </w:tcPr>
          <w:p>
            <w:pPr>
              <w:ind w:left="7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 substantial change in Honeywell’s Board over a two-year period.</w:t>
            </w:r>
          </w:p>
        </w:tc>
      </w:tr>
      <w:tr>
        <w:trPr>
          <w:trHeight w:val="266"/>
        </w:trPr>
        <w:tc>
          <w:tcPr>
            <w:tcW w:w="2060" w:type="dxa"/>
            <w:vAlign w:val="bottom"/>
          </w:tcPr>
          <w:p>
            <w:pPr>
              <w:spacing w:after="0"/>
              <w:rPr>
                <w:sz w:val="23"/>
                <w:szCs w:val="23"/>
                <w:color w:val="auto"/>
              </w:rPr>
            </w:pPr>
          </w:p>
        </w:tc>
        <w:tc>
          <w:tcPr>
            <w:tcW w:w="9160" w:type="dxa"/>
            <w:vAlign w:val="bottom"/>
          </w:tcPr>
          <w:p>
            <w:pPr>
              <w:ind w:left="780"/>
              <w:spacing w:after="0"/>
              <w:rPr>
                <w:sz w:val="20"/>
                <w:szCs w:val="20"/>
                <w:color w:val="auto"/>
              </w:rPr>
            </w:pPr>
            <w:r>
              <w:rPr>
                <w:rFonts w:ascii="Arial" w:cs="Arial" w:eastAsia="Arial" w:hAnsi="Arial"/>
                <w:sz w:val="16"/>
                <w:szCs w:val="16"/>
                <w:b w:val="1"/>
                <w:bCs w:val="1"/>
                <w:color w:val="D7282F"/>
              </w:rPr>
              <w:t xml:space="preserve">•  </w:t>
            </w:r>
            <w:r>
              <w:rPr>
                <w:rFonts w:ascii="Arial" w:cs="Arial" w:eastAsia="Arial" w:hAnsi="Arial"/>
                <w:sz w:val="16"/>
                <w:szCs w:val="16"/>
                <w:color w:val="000000"/>
              </w:rPr>
              <w:t>Additionally, under the Senior Severance Plan, any event that the MDCC, in its discretion, determines to be a</w:t>
            </w:r>
          </w:p>
        </w:tc>
      </w:tr>
    </w:tbl>
    <w:p>
      <w:pPr>
        <w:jc w:val="both"/>
        <w:ind w:left="3020" w:right="220"/>
        <w:spacing w:after="0" w:line="256" w:lineRule="auto"/>
        <w:rPr>
          <w:sz w:val="20"/>
          <w:szCs w:val="20"/>
          <w:color w:val="auto"/>
        </w:rPr>
      </w:pPr>
      <w:r>
        <w:rPr>
          <w:rFonts w:ascii="Arial" w:cs="Arial" w:eastAsia="Arial" w:hAnsi="Arial"/>
          <w:sz w:val="16"/>
          <w:szCs w:val="16"/>
          <w:color w:val="auto"/>
        </w:rPr>
        <w:t>Change in Control for purposes of that plan; provided that under the 2011 or 2016 Stock Incentive Plan, each of the events described above would only be a Change in Control if it constitutes a “change in control event” within the meaning of United States Department of Treasury Regulation §1.409A-3(i)(5)(i).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2343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85"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4"/>
          <w:szCs w:val="14"/>
          <w:b w:val="1"/>
          <w:bCs w:val="1"/>
          <w:color w:val="auto"/>
        </w:rPr>
        <w:t>Termination for Cause</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Clear and convincing evidence of a significant violation of the Company’s Code of Business Conduct;</w:t>
      </w:r>
    </w:p>
    <w:p>
      <w:pPr>
        <w:spacing w:after="0" w:line="73" w:lineRule="exact"/>
        <w:rPr>
          <w:sz w:val="20"/>
          <w:szCs w:val="20"/>
          <w:color w:val="auto"/>
        </w:rPr>
      </w:pPr>
    </w:p>
    <w:p>
      <w:pPr>
        <w:ind w:left="3020" w:hanging="186"/>
        <w:spacing w:after="0"/>
        <w:tabs>
          <w:tab w:leader="none" w:pos="3020" w:val="left"/>
        </w:tabs>
        <w:numPr>
          <w:ilvl w:val="0"/>
          <w:numId w:val="193"/>
        </w:numPr>
        <w:rPr>
          <w:rFonts w:ascii="Arial" w:cs="Arial" w:eastAsia="Arial" w:hAnsi="Arial"/>
          <w:sz w:val="16"/>
          <w:szCs w:val="16"/>
          <w:b w:val="1"/>
          <w:bCs w:val="1"/>
          <w:color w:val="D7282F"/>
        </w:rPr>
      </w:pPr>
      <w:r>
        <w:rPr>
          <w:rFonts w:ascii="Arial" w:cs="Arial" w:eastAsia="Arial" w:hAnsi="Arial"/>
          <w:sz w:val="16"/>
          <w:szCs w:val="16"/>
          <w:color w:val="auto"/>
        </w:rPr>
        <w:t>The misappropriation, embezzlement, or willful destruction of Company property of significant value;</w:t>
      </w:r>
    </w:p>
    <w:p>
      <w:pPr>
        <w:spacing w:after="0" w:line="86" w:lineRule="exact"/>
        <w:rPr>
          <w:rFonts w:ascii="Arial" w:cs="Arial" w:eastAsia="Arial" w:hAnsi="Arial"/>
          <w:sz w:val="16"/>
          <w:szCs w:val="16"/>
          <w:b w:val="1"/>
          <w:bCs w:val="1"/>
          <w:color w:val="D7282F"/>
        </w:rPr>
      </w:pPr>
    </w:p>
    <w:p>
      <w:pPr>
        <w:ind w:left="3020" w:right="600" w:hanging="186"/>
        <w:spacing w:after="0" w:line="286" w:lineRule="auto"/>
        <w:tabs>
          <w:tab w:leader="none" w:pos="3017" w:val="left"/>
        </w:tabs>
        <w:numPr>
          <w:ilvl w:val="0"/>
          <w:numId w:val="193"/>
        </w:numPr>
        <w:rPr>
          <w:rFonts w:ascii="Arial" w:cs="Arial" w:eastAsia="Arial" w:hAnsi="Arial"/>
          <w:sz w:val="16"/>
          <w:szCs w:val="16"/>
          <w:b w:val="1"/>
          <w:bCs w:val="1"/>
          <w:color w:val="D7282F"/>
        </w:rPr>
      </w:pPr>
      <w:r>
        <w:rPr>
          <w:rFonts w:ascii="Arial" w:cs="Arial" w:eastAsia="Arial" w:hAnsi="Arial"/>
          <w:sz w:val="16"/>
          <w:szCs w:val="16"/>
          <w:color w:val="auto"/>
        </w:rPr>
        <w:t>The willful failure to perform, gross negligence, or intentional misconduct of significant duties that results in material harm to the business of the Company;</w:t>
      </w:r>
    </w:p>
    <w:p>
      <w:pPr>
        <w:spacing w:after="0" w:line="20" w:lineRule="exact"/>
        <w:rPr>
          <w:rFonts w:ascii="Arial" w:cs="Arial" w:eastAsia="Arial" w:hAnsi="Arial"/>
          <w:sz w:val="16"/>
          <w:szCs w:val="16"/>
          <w:b w:val="1"/>
          <w:bCs w:val="1"/>
          <w:color w:val="D7282F"/>
        </w:rPr>
      </w:pPr>
    </w:p>
    <w:p>
      <w:pPr>
        <w:ind w:left="3020" w:right="60" w:hanging="186"/>
        <w:spacing w:after="0" w:line="299" w:lineRule="auto"/>
        <w:tabs>
          <w:tab w:leader="none" w:pos="3017" w:val="left"/>
        </w:tabs>
        <w:numPr>
          <w:ilvl w:val="0"/>
          <w:numId w:val="193"/>
        </w:numPr>
        <w:rPr>
          <w:rFonts w:ascii="Arial" w:cs="Arial" w:eastAsia="Arial" w:hAnsi="Arial"/>
          <w:sz w:val="16"/>
          <w:szCs w:val="16"/>
          <w:b w:val="1"/>
          <w:bCs w:val="1"/>
          <w:color w:val="D7282F"/>
        </w:rPr>
      </w:pPr>
      <w:r>
        <w:rPr>
          <w:rFonts w:ascii="Arial" w:cs="Arial" w:eastAsia="Arial" w:hAnsi="Arial"/>
          <w:sz w:val="16"/>
          <w:szCs w:val="16"/>
          <w:color w:val="auto"/>
        </w:rPr>
        <w:t xml:space="preserve">The conviction (treating a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as a conviction) of a felony (whether or not any right to appeal has been or may be exercised);</w:t>
      </w:r>
    </w:p>
    <w:p>
      <w:pPr>
        <w:ind w:left="3020" w:right="700" w:hanging="186"/>
        <w:spacing w:after="0" w:line="299" w:lineRule="auto"/>
        <w:tabs>
          <w:tab w:leader="none" w:pos="3017" w:val="left"/>
        </w:tabs>
        <w:numPr>
          <w:ilvl w:val="0"/>
          <w:numId w:val="193"/>
        </w:numPr>
        <w:rPr>
          <w:rFonts w:ascii="Arial" w:cs="Arial" w:eastAsia="Arial" w:hAnsi="Arial"/>
          <w:sz w:val="16"/>
          <w:szCs w:val="16"/>
          <w:b w:val="1"/>
          <w:bCs w:val="1"/>
          <w:color w:val="D7282F"/>
        </w:rPr>
      </w:pPr>
      <w:r>
        <w:rPr>
          <w:rFonts w:ascii="Arial" w:cs="Arial" w:eastAsia="Arial" w:hAnsi="Arial"/>
          <w:sz w:val="16"/>
          <w:szCs w:val="16"/>
          <w:color w:val="auto"/>
        </w:rPr>
        <w:t>The failure to cooperate fully in a Company investigation or to be fully truthful when providing evidence or testimony in such investigation; or</w:t>
      </w:r>
    </w:p>
    <w:p>
      <w:pPr>
        <w:ind w:left="3020" w:right="200" w:hanging="186"/>
        <w:spacing w:after="0" w:line="275" w:lineRule="auto"/>
        <w:tabs>
          <w:tab w:leader="none" w:pos="3017" w:val="left"/>
        </w:tabs>
        <w:numPr>
          <w:ilvl w:val="0"/>
          <w:numId w:val="193"/>
        </w:numPr>
        <w:rPr>
          <w:rFonts w:ascii="Arial" w:cs="Arial" w:eastAsia="Arial" w:hAnsi="Arial"/>
          <w:sz w:val="16"/>
          <w:szCs w:val="16"/>
          <w:b w:val="1"/>
          <w:bCs w:val="1"/>
          <w:color w:val="D7282F"/>
        </w:rPr>
      </w:pPr>
      <w:r>
        <w:rPr>
          <w:rFonts w:ascii="Arial" w:cs="Arial" w:eastAsia="Arial" w:hAnsi="Arial"/>
          <w:sz w:val="16"/>
          <w:szCs w:val="16"/>
          <w:color w:val="auto"/>
        </w:rPr>
        <w:t>Clear and convincing evidence of the willful falsification of any financial records of the Company that are used in compiling the Company’s financial statements or related disclosures, with the intent of violating generally accepted accounting principles or, if applicable, International Financial Reporting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2343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1" w:lineRule="exact"/>
        <w:rPr>
          <w:sz w:val="20"/>
          <w:szCs w:val="20"/>
          <w:color w:val="auto"/>
        </w:rPr>
      </w:pPr>
    </w:p>
    <w:p>
      <w:pPr>
        <w:ind w:left="20"/>
        <w:spacing w:after="0"/>
        <w:tabs>
          <w:tab w:leader="none" w:pos="2820" w:val="left"/>
        </w:tabs>
        <w:rPr>
          <w:sz w:val="20"/>
          <w:szCs w:val="20"/>
          <w:color w:val="auto"/>
        </w:rPr>
      </w:pPr>
      <w:r>
        <w:rPr>
          <w:rFonts w:ascii="Arial" w:cs="Arial" w:eastAsia="Arial" w:hAnsi="Arial"/>
          <w:sz w:val="14"/>
          <w:szCs w:val="14"/>
          <w:b w:val="1"/>
          <w:bCs w:val="1"/>
          <w:color w:val="auto"/>
        </w:rPr>
        <w:t>Termination for Good Reason</w:t>
      </w:r>
      <w:r>
        <w:rPr>
          <w:sz w:val="20"/>
          <w:szCs w:val="20"/>
          <w:color w:val="auto"/>
        </w:rPr>
        <w:tab/>
      </w:r>
      <w:r>
        <w:rPr>
          <w:rFonts w:ascii="Arial" w:cs="Arial" w:eastAsia="Arial" w:hAnsi="Arial"/>
          <w:sz w:val="16"/>
          <w:szCs w:val="16"/>
          <w:b w:val="1"/>
          <w:bCs w:val="1"/>
          <w:color w:val="D7282F"/>
        </w:rPr>
        <w:t xml:space="preserve">•  </w:t>
      </w:r>
      <w:r>
        <w:rPr>
          <w:rFonts w:ascii="Arial" w:cs="Arial" w:eastAsia="Arial" w:hAnsi="Arial"/>
          <w:sz w:val="16"/>
          <w:szCs w:val="16"/>
          <w:color w:val="000000"/>
        </w:rPr>
        <w:t>A material diminution in the NEO’s authority, duties, or responsibilities;</w:t>
      </w:r>
    </w:p>
    <w:p>
      <w:pPr>
        <w:spacing w:after="0" w:line="73" w:lineRule="exact"/>
        <w:rPr>
          <w:sz w:val="20"/>
          <w:szCs w:val="20"/>
          <w:color w:val="auto"/>
        </w:rPr>
      </w:pPr>
    </w:p>
    <w:p>
      <w:pPr>
        <w:ind w:left="3020" w:hanging="186"/>
        <w:spacing w:after="0"/>
        <w:tabs>
          <w:tab w:leader="none" w:pos="3020" w:val="left"/>
        </w:tabs>
        <w:numPr>
          <w:ilvl w:val="0"/>
          <w:numId w:val="194"/>
        </w:numPr>
        <w:rPr>
          <w:rFonts w:ascii="Arial" w:cs="Arial" w:eastAsia="Arial" w:hAnsi="Arial"/>
          <w:sz w:val="16"/>
          <w:szCs w:val="16"/>
          <w:b w:val="1"/>
          <w:bCs w:val="1"/>
          <w:color w:val="D7282F"/>
        </w:rPr>
      </w:pPr>
      <w:r>
        <w:rPr>
          <w:rFonts w:ascii="Arial" w:cs="Arial" w:eastAsia="Arial" w:hAnsi="Arial"/>
          <w:sz w:val="16"/>
          <w:szCs w:val="16"/>
          <w:color w:val="auto"/>
        </w:rPr>
        <w:t>A material decrease in base compensation;</w:t>
      </w:r>
    </w:p>
    <w:p>
      <w:pPr>
        <w:spacing w:after="0" w:line="86" w:lineRule="exact"/>
        <w:rPr>
          <w:rFonts w:ascii="Arial" w:cs="Arial" w:eastAsia="Arial" w:hAnsi="Arial"/>
          <w:sz w:val="16"/>
          <w:szCs w:val="16"/>
          <w:b w:val="1"/>
          <w:bCs w:val="1"/>
          <w:color w:val="D7282F"/>
        </w:rPr>
      </w:pPr>
    </w:p>
    <w:p>
      <w:pPr>
        <w:ind w:left="3020" w:right="340" w:hanging="186"/>
        <w:spacing w:after="0" w:line="286" w:lineRule="auto"/>
        <w:tabs>
          <w:tab w:leader="none" w:pos="3017" w:val="left"/>
        </w:tabs>
        <w:numPr>
          <w:ilvl w:val="0"/>
          <w:numId w:val="194"/>
        </w:numPr>
        <w:rPr>
          <w:rFonts w:ascii="Arial" w:cs="Arial" w:eastAsia="Arial" w:hAnsi="Arial"/>
          <w:sz w:val="16"/>
          <w:szCs w:val="16"/>
          <w:b w:val="1"/>
          <w:bCs w:val="1"/>
          <w:color w:val="D7282F"/>
        </w:rPr>
      </w:pPr>
      <w:r>
        <w:rPr>
          <w:rFonts w:ascii="Arial" w:cs="Arial" w:eastAsia="Arial" w:hAnsi="Arial"/>
          <w:sz w:val="16"/>
          <w:szCs w:val="16"/>
          <w:color w:val="auto"/>
        </w:rPr>
        <w:t>A material reduction in the aggregate benefits available to the NEO where such reduction does not apply to all similarly situated employees;</w:t>
      </w:r>
    </w:p>
    <w:p>
      <w:pPr>
        <w:spacing w:after="0" w:line="20" w:lineRule="exact"/>
        <w:rPr>
          <w:rFonts w:ascii="Arial" w:cs="Arial" w:eastAsia="Arial" w:hAnsi="Arial"/>
          <w:sz w:val="16"/>
          <w:szCs w:val="16"/>
          <w:b w:val="1"/>
          <w:bCs w:val="1"/>
          <w:color w:val="D7282F"/>
        </w:rPr>
      </w:pPr>
    </w:p>
    <w:p>
      <w:pPr>
        <w:ind w:left="3020" w:right="220" w:hanging="186"/>
        <w:spacing w:after="0" w:line="299" w:lineRule="auto"/>
        <w:tabs>
          <w:tab w:leader="none" w:pos="3017" w:val="left"/>
        </w:tabs>
        <w:numPr>
          <w:ilvl w:val="0"/>
          <w:numId w:val="194"/>
        </w:numPr>
        <w:rPr>
          <w:rFonts w:ascii="Arial" w:cs="Arial" w:eastAsia="Arial" w:hAnsi="Arial"/>
          <w:sz w:val="16"/>
          <w:szCs w:val="16"/>
          <w:b w:val="1"/>
          <w:bCs w:val="1"/>
          <w:color w:val="D7282F"/>
        </w:rPr>
      </w:pPr>
      <w:r>
        <w:rPr>
          <w:rFonts w:ascii="Arial" w:cs="Arial" w:eastAsia="Arial" w:hAnsi="Arial"/>
          <w:sz w:val="16"/>
          <w:szCs w:val="16"/>
          <w:color w:val="auto"/>
        </w:rPr>
        <w:t>Any geographic relocation of the NEO’s position to a location that is more than 50 miles from his or her previous work location;</w:t>
      </w:r>
    </w:p>
    <w:p>
      <w:pPr>
        <w:ind w:left="3020" w:hanging="186"/>
        <w:spacing w:after="0"/>
        <w:tabs>
          <w:tab w:leader="none" w:pos="3020" w:val="left"/>
        </w:tabs>
        <w:numPr>
          <w:ilvl w:val="0"/>
          <w:numId w:val="194"/>
        </w:numPr>
        <w:rPr>
          <w:rFonts w:ascii="Arial" w:cs="Arial" w:eastAsia="Arial" w:hAnsi="Arial"/>
          <w:sz w:val="16"/>
          <w:szCs w:val="16"/>
          <w:b w:val="1"/>
          <w:bCs w:val="1"/>
          <w:color w:val="D7282F"/>
        </w:rPr>
      </w:pPr>
      <w:r>
        <w:rPr>
          <w:rFonts w:ascii="Arial" w:cs="Arial" w:eastAsia="Arial" w:hAnsi="Arial"/>
          <w:sz w:val="16"/>
          <w:szCs w:val="16"/>
          <w:color w:val="auto"/>
        </w:rPr>
        <w:t>Any action that constitutes a constructive discharge; or</w:t>
      </w:r>
    </w:p>
    <w:p>
      <w:pPr>
        <w:spacing w:after="0" w:line="86" w:lineRule="exact"/>
        <w:rPr>
          <w:rFonts w:ascii="Arial" w:cs="Arial" w:eastAsia="Arial" w:hAnsi="Arial"/>
          <w:sz w:val="16"/>
          <w:szCs w:val="16"/>
          <w:b w:val="1"/>
          <w:bCs w:val="1"/>
          <w:color w:val="D7282F"/>
        </w:rPr>
      </w:pPr>
    </w:p>
    <w:p>
      <w:pPr>
        <w:ind w:left="3020" w:hanging="186"/>
        <w:spacing w:after="0"/>
        <w:tabs>
          <w:tab w:leader="none" w:pos="3020" w:val="left"/>
        </w:tabs>
        <w:numPr>
          <w:ilvl w:val="0"/>
          <w:numId w:val="194"/>
        </w:numPr>
        <w:rPr>
          <w:rFonts w:ascii="Arial" w:cs="Arial" w:eastAsia="Arial" w:hAnsi="Arial"/>
          <w:sz w:val="16"/>
          <w:szCs w:val="16"/>
          <w:b w:val="1"/>
          <w:bCs w:val="1"/>
          <w:color w:val="D7282F"/>
        </w:rPr>
      </w:pPr>
      <w:r>
        <w:rPr>
          <w:rFonts w:ascii="Arial" w:cs="Arial" w:eastAsia="Arial" w:hAnsi="Arial"/>
          <w:sz w:val="16"/>
          <w:szCs w:val="16"/>
          <w:color w:val="auto"/>
        </w:rPr>
        <w:t>The failure of a successor to assume these obligations under the Senior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2343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CEO PAY RATIO</w:t>
      </w:r>
    </w:p>
    <w:p>
      <w:pPr>
        <w:spacing w:after="0" w:line="12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the individual identified as our median paid employee and the 2023 annual total compensation of Vimal Kapur, our CEO.</w:t>
      </w:r>
    </w:p>
    <w:p>
      <w:pPr>
        <w:spacing w:after="0" w:line="56"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To identify the median of the annual total compensation of all our employees, and to determine the annual total compensation of the “median employee,” the methodology and the material assumptions, adjustments, and estimates we used were as follows:</w:t>
      </w:r>
    </w:p>
    <w:p>
      <w:pPr>
        <w:spacing w:after="0" w:line="33" w:lineRule="exact"/>
        <w:rPr>
          <w:sz w:val="20"/>
          <w:szCs w:val="20"/>
          <w:color w:val="auto"/>
        </w:rPr>
      </w:pPr>
    </w:p>
    <w:p>
      <w:pPr>
        <w:jc w:val="both"/>
        <w:ind w:left="200" w:right="20" w:hanging="192"/>
        <w:spacing w:after="0" w:line="275" w:lineRule="auto"/>
        <w:tabs>
          <w:tab w:leader="none" w:pos="197" w:val="left"/>
        </w:tabs>
        <w:numPr>
          <w:ilvl w:val="0"/>
          <w:numId w:val="195"/>
        </w:numPr>
        <w:rPr>
          <w:rFonts w:ascii="Arial" w:cs="Arial" w:eastAsia="Arial" w:hAnsi="Arial"/>
          <w:sz w:val="16"/>
          <w:szCs w:val="16"/>
          <w:b w:val="1"/>
          <w:bCs w:val="1"/>
          <w:color w:val="D7282F"/>
        </w:rPr>
      </w:pPr>
      <w:r>
        <w:rPr>
          <w:rFonts w:ascii="Arial" w:cs="Arial" w:eastAsia="Arial" w:hAnsi="Arial"/>
          <w:sz w:val="16"/>
          <w:szCs w:val="16"/>
          <w:color w:val="auto"/>
        </w:rPr>
        <w:t>For purposes of the 2023 pay ratio disclosure, Honeywell identified a new median employee using our global employee population as of October 31, 2023 (Determination Date). We selected October 31 as the Determination Date, as it was a date within the last three months of 2023, and would allow sufficient time to gather the information to identify the median employee given the global scope of our operations.</w:t>
      </w:r>
    </w:p>
    <w:p>
      <w:pPr>
        <w:spacing w:after="0" w:line="29" w:lineRule="exact"/>
        <w:rPr>
          <w:rFonts w:ascii="Arial" w:cs="Arial" w:eastAsia="Arial" w:hAnsi="Arial"/>
          <w:sz w:val="16"/>
          <w:szCs w:val="16"/>
          <w:b w:val="1"/>
          <w:bCs w:val="1"/>
          <w:color w:val="D7282F"/>
        </w:rPr>
      </w:pPr>
    </w:p>
    <w:p>
      <w:pPr>
        <w:ind w:left="200" w:right="180" w:hanging="192"/>
        <w:spacing w:after="0" w:line="286" w:lineRule="auto"/>
        <w:tabs>
          <w:tab w:leader="none" w:pos="197" w:val="left"/>
        </w:tabs>
        <w:numPr>
          <w:ilvl w:val="0"/>
          <w:numId w:val="195"/>
        </w:numPr>
        <w:rPr>
          <w:rFonts w:ascii="Arial" w:cs="Arial" w:eastAsia="Arial" w:hAnsi="Arial"/>
          <w:sz w:val="16"/>
          <w:szCs w:val="16"/>
          <w:b w:val="1"/>
          <w:bCs w:val="1"/>
          <w:color w:val="D7282F"/>
        </w:rPr>
      </w:pPr>
      <w:r>
        <w:rPr>
          <w:rFonts w:ascii="Arial" w:cs="Arial" w:eastAsia="Arial" w:hAnsi="Arial"/>
          <w:sz w:val="16"/>
          <w:szCs w:val="16"/>
          <w:color w:val="auto"/>
        </w:rPr>
        <w:t>Before applying the “De Minimis Exemption” adjustment permitted under SEC rules (described below), our global population consisted of approximately 118,496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2343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ind w:left="20"/>
              <w:spacing w:after="0"/>
              <w:rPr>
                <w:sz w:val="20"/>
                <w:szCs w:val="20"/>
                <w:color w:val="auto"/>
              </w:rPr>
            </w:pPr>
            <w:r>
              <w:rPr>
                <w:rFonts w:ascii="Arial" w:cs="Arial" w:eastAsia="Arial" w:hAnsi="Arial"/>
                <w:sz w:val="14"/>
                <w:szCs w:val="14"/>
                <w:color w:val="auto"/>
              </w:rPr>
              <w:t>Total U.S. Employees</w:t>
            </w:r>
            <w:r>
              <w:rPr>
                <w:rFonts w:ascii="Arial" w:cs="Arial" w:eastAsia="Arial" w:hAnsi="Arial"/>
                <w:sz w:val="9"/>
                <w:szCs w:val="9"/>
                <w:color w:val="auto"/>
              </w:rPr>
              <w:t>(1)</w:t>
            </w:r>
          </w:p>
        </w:tc>
        <w:tc>
          <w:tcPr>
            <w:tcW w:w="5260" w:type="dxa"/>
            <w:vAlign w:val="bottom"/>
          </w:tcPr>
          <w:p>
            <w:pPr>
              <w:jc w:val="right"/>
              <w:spacing w:after="0"/>
              <w:rPr>
                <w:sz w:val="20"/>
                <w:szCs w:val="20"/>
                <w:color w:val="auto"/>
              </w:rPr>
            </w:pPr>
            <w:r>
              <w:rPr>
                <w:rFonts w:ascii="Arial" w:cs="Arial" w:eastAsia="Arial" w:hAnsi="Arial"/>
                <w:sz w:val="14"/>
                <w:szCs w:val="14"/>
                <w:color w:val="auto"/>
              </w:rPr>
              <w:t>56,557</w:t>
            </w:r>
          </w:p>
        </w:tc>
      </w:tr>
      <w:tr>
        <w:trPr>
          <w:trHeight w:val="22"/>
        </w:trPr>
        <w:tc>
          <w:tcPr>
            <w:tcW w:w="5960" w:type="dxa"/>
            <w:vAlign w:val="bottom"/>
            <w:tcBorders>
              <w:bottom w:val="single" w:sz="8" w:color="939598"/>
            </w:tcBorders>
          </w:tcPr>
          <w:p>
            <w:pPr>
              <w:spacing w:after="0" w:line="20" w:lineRule="exact"/>
              <w:rPr>
                <w:sz w:val="1"/>
                <w:szCs w:val="1"/>
                <w:color w:val="auto"/>
              </w:rPr>
            </w:pPr>
          </w:p>
        </w:tc>
        <w:tc>
          <w:tcPr>
            <w:tcW w:w="5260" w:type="dxa"/>
            <w:vAlign w:val="bottom"/>
            <w:tcBorders>
              <w:bottom w:val="single" w:sz="8" w:color="939598"/>
            </w:tcBorders>
          </w:tcPr>
          <w:p>
            <w:pPr>
              <w:spacing w:after="0" w:line="20" w:lineRule="exact"/>
              <w:rPr>
                <w:sz w:val="1"/>
                <w:szCs w:val="1"/>
                <w:color w:val="auto"/>
              </w:rPr>
            </w:pPr>
          </w:p>
        </w:tc>
      </w:tr>
      <w:tr>
        <w:trPr>
          <w:trHeight w:val="187"/>
        </w:trPr>
        <w:tc>
          <w:tcPr>
            <w:tcW w:w="5960" w:type="dxa"/>
            <w:vAlign w:val="bottom"/>
          </w:tcPr>
          <w:p>
            <w:pPr>
              <w:ind w:left="20"/>
              <w:spacing w:after="0"/>
              <w:rPr>
                <w:sz w:val="20"/>
                <w:szCs w:val="20"/>
                <w:color w:val="auto"/>
              </w:rPr>
            </w:pPr>
            <w:r>
              <w:rPr>
                <w:rFonts w:ascii="Arial" w:cs="Arial" w:eastAsia="Arial" w:hAnsi="Arial"/>
                <w:sz w:val="14"/>
                <w:szCs w:val="14"/>
                <w:color w:val="auto"/>
              </w:rPr>
              <w:t>Total non-U.S. Employees</w:t>
            </w:r>
          </w:p>
        </w:tc>
        <w:tc>
          <w:tcPr>
            <w:tcW w:w="5260" w:type="dxa"/>
            <w:vAlign w:val="bottom"/>
          </w:tcPr>
          <w:p>
            <w:pPr>
              <w:jc w:val="right"/>
              <w:spacing w:after="0"/>
              <w:rPr>
                <w:sz w:val="20"/>
                <w:szCs w:val="20"/>
                <w:color w:val="auto"/>
              </w:rPr>
            </w:pPr>
            <w:r>
              <w:rPr>
                <w:rFonts w:ascii="Arial" w:cs="Arial" w:eastAsia="Arial" w:hAnsi="Arial"/>
                <w:sz w:val="14"/>
                <w:szCs w:val="14"/>
                <w:color w:val="auto"/>
              </w:rPr>
              <w:t>61,939</w:t>
            </w:r>
          </w:p>
        </w:tc>
      </w:tr>
      <w:tr>
        <w:trPr>
          <w:trHeight w:val="190"/>
        </w:trPr>
        <w:tc>
          <w:tcPr>
            <w:tcW w:w="5960" w:type="dxa"/>
            <w:vAlign w:val="bottom"/>
          </w:tcPr>
          <w:p>
            <w:pPr>
              <w:spacing w:after="0"/>
              <w:rPr>
                <w:sz w:val="16"/>
                <w:szCs w:val="16"/>
                <w:color w:val="auto"/>
              </w:rPr>
            </w:pPr>
          </w:p>
        </w:tc>
        <w:tc>
          <w:tcPr>
            <w:tcW w:w="5260" w:type="dxa"/>
            <w:vAlign w:val="bottom"/>
          </w:tcPr>
          <w:p>
            <w:pPr>
              <w:jc w:val="right"/>
              <w:spacing w:after="0"/>
              <w:rPr>
                <w:sz w:val="20"/>
                <w:szCs w:val="20"/>
                <w:color w:val="auto"/>
              </w:rPr>
            </w:pPr>
            <w:r>
              <w:rPr>
                <w:rFonts w:ascii="Arial" w:cs="Arial" w:eastAsia="Arial" w:hAnsi="Arial"/>
                <w:sz w:val="14"/>
                <w:szCs w:val="14"/>
                <w:color w:val="auto"/>
              </w:rPr>
              <w:t>(no exclusions)</w:t>
            </w:r>
          </w:p>
        </w:tc>
      </w:tr>
      <w:tr>
        <w:trPr>
          <w:trHeight w:val="22"/>
        </w:trPr>
        <w:tc>
          <w:tcPr>
            <w:tcW w:w="5960" w:type="dxa"/>
            <w:vAlign w:val="bottom"/>
            <w:tcBorders>
              <w:bottom w:val="single" w:sz="8" w:color="939598"/>
            </w:tcBorders>
          </w:tcPr>
          <w:p>
            <w:pPr>
              <w:spacing w:after="0" w:line="20" w:lineRule="exact"/>
              <w:rPr>
                <w:sz w:val="1"/>
                <w:szCs w:val="1"/>
                <w:color w:val="auto"/>
              </w:rPr>
            </w:pPr>
          </w:p>
        </w:tc>
        <w:tc>
          <w:tcPr>
            <w:tcW w:w="5260" w:type="dxa"/>
            <w:vAlign w:val="bottom"/>
            <w:tcBorders>
              <w:bottom w:val="single" w:sz="8" w:color="939598"/>
            </w:tcBorders>
          </w:tcPr>
          <w:p>
            <w:pPr>
              <w:spacing w:after="0" w:line="20" w:lineRule="exact"/>
              <w:rPr>
                <w:sz w:val="1"/>
                <w:szCs w:val="1"/>
                <w:color w:val="auto"/>
              </w:rPr>
            </w:pPr>
          </w:p>
        </w:tc>
      </w:tr>
      <w:tr>
        <w:trPr>
          <w:trHeight w:val="202"/>
        </w:trPr>
        <w:tc>
          <w:tcPr>
            <w:tcW w:w="5960" w:type="dxa"/>
            <w:vAlign w:val="bottom"/>
          </w:tcPr>
          <w:p>
            <w:pPr>
              <w:ind w:left="20"/>
              <w:spacing w:after="0"/>
              <w:rPr>
                <w:sz w:val="20"/>
                <w:szCs w:val="20"/>
                <w:color w:val="auto"/>
              </w:rPr>
            </w:pPr>
            <w:r>
              <w:rPr>
                <w:rFonts w:ascii="Arial" w:cs="Arial" w:eastAsia="Arial" w:hAnsi="Arial"/>
                <w:sz w:val="14"/>
                <w:szCs w:val="14"/>
                <w:color w:val="auto"/>
              </w:rPr>
              <w:t>Total Global Workforce</w:t>
            </w:r>
          </w:p>
        </w:tc>
        <w:tc>
          <w:tcPr>
            <w:tcW w:w="5260" w:type="dxa"/>
            <w:vAlign w:val="bottom"/>
          </w:tcPr>
          <w:p>
            <w:pPr>
              <w:jc w:val="right"/>
              <w:spacing w:after="0"/>
              <w:rPr>
                <w:sz w:val="20"/>
                <w:szCs w:val="20"/>
                <w:color w:val="auto"/>
              </w:rPr>
            </w:pPr>
            <w:r>
              <w:rPr>
                <w:rFonts w:ascii="Arial" w:cs="Arial" w:eastAsia="Arial" w:hAnsi="Arial"/>
                <w:sz w:val="14"/>
                <w:szCs w:val="14"/>
                <w:color w:val="auto"/>
              </w:rPr>
              <w:t>118,496</w:t>
            </w:r>
          </w:p>
        </w:tc>
      </w:tr>
      <w:tr>
        <w:trPr>
          <w:trHeight w:val="22"/>
        </w:trPr>
        <w:tc>
          <w:tcPr>
            <w:tcW w:w="5960" w:type="dxa"/>
            <w:vAlign w:val="bottom"/>
            <w:tcBorders>
              <w:bottom w:val="single" w:sz="8" w:color="D7282F"/>
            </w:tcBorders>
          </w:tcPr>
          <w:p>
            <w:pPr>
              <w:spacing w:after="0" w:line="20" w:lineRule="exact"/>
              <w:rPr>
                <w:sz w:val="1"/>
                <w:szCs w:val="1"/>
                <w:color w:val="auto"/>
              </w:rPr>
            </w:pPr>
          </w:p>
        </w:tc>
        <w:tc>
          <w:tcPr>
            <w:tcW w:w="5260" w:type="dxa"/>
            <w:vAlign w:val="bottom"/>
            <w:tcBorders>
              <w:bottom w:val="single" w:sz="8" w:color="D7282F"/>
            </w:tcBorders>
          </w:tcPr>
          <w:p>
            <w:pPr>
              <w:spacing w:after="0" w:line="20" w:lineRule="exact"/>
              <w:rPr>
                <w:sz w:val="1"/>
                <w:szCs w:val="1"/>
                <w:color w:val="auto"/>
              </w:rPr>
            </w:pPr>
          </w:p>
        </w:tc>
      </w:tr>
    </w:tbl>
    <w:p>
      <w:pPr>
        <w:spacing w:after="0" w:line="144" w:lineRule="exact"/>
        <w:rPr>
          <w:sz w:val="20"/>
          <w:szCs w:val="20"/>
          <w:color w:val="auto"/>
        </w:rPr>
      </w:pPr>
    </w:p>
    <w:p>
      <w:pPr>
        <w:ind w:left="200" w:right="320" w:hanging="192"/>
        <w:spacing w:after="0" w:line="236" w:lineRule="auto"/>
        <w:tabs>
          <w:tab w:leader="none" w:pos="200" w:val="left"/>
        </w:tabs>
        <w:numPr>
          <w:ilvl w:val="0"/>
          <w:numId w:val="196"/>
        </w:numPr>
        <w:rPr>
          <w:rFonts w:ascii="Arial" w:cs="Arial" w:eastAsia="Arial" w:hAnsi="Arial"/>
          <w:sz w:val="16"/>
          <w:szCs w:val="16"/>
          <w:color w:val="auto"/>
          <w:vertAlign w:val="superscript"/>
        </w:rPr>
      </w:pPr>
      <w:r>
        <w:rPr>
          <w:rFonts w:ascii="Arial" w:cs="Arial" w:eastAsia="Arial" w:hAnsi="Arial"/>
          <w:sz w:val="13"/>
          <w:szCs w:val="13"/>
          <w:color w:val="auto"/>
        </w:rPr>
        <w:t>Total U.S. Employees includes Sandia National Laboratories and Kansas City National Security Campus workforces, which are U.S. Department of Energy facilities managed by Honeywell as a contract operator.</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6"/>
          <w:szCs w:val="16"/>
          <w:color w:val="auto"/>
        </w:rPr>
        <w:t>We applied the De Minimis Exemption adjustment to exclude a total of 5,078 employees located in jurisdictions outside the U.S. Such employees represent less than five percent of our Total Global Workforce. The countries and approximate number of Honeywell employees excluded were: Algeria (61), Angola</w:t>
      </w:r>
    </w:p>
    <w:p>
      <w:pPr>
        <w:ind w:right="220"/>
        <w:spacing w:after="0" w:line="256" w:lineRule="auto"/>
        <w:rPr>
          <w:sz w:val="20"/>
          <w:szCs w:val="20"/>
          <w:color w:val="auto"/>
        </w:rPr>
      </w:pPr>
      <w:r>
        <w:rPr>
          <w:rFonts w:ascii="Arial" w:cs="Arial" w:eastAsia="Arial" w:hAnsi="Arial"/>
          <w:sz w:val="16"/>
          <w:szCs w:val="16"/>
          <w:color w:val="auto"/>
        </w:rPr>
        <w:t>(4), Argentina (135), Azerbaijan (8), Bahrain (17), Bangladesh (2), Brazil (331), Bulgaria (182), Chile (162), Colombia (76), Croatia (6), Ecuador (5), Egypt (158), Finland (153), Hong Kong (158), Hungary (283), Indonesia (146), Japan (195) Jordan (12), Kazakhstan (111), Kenya (6), Kuwait (141), Latvia (2), Luxembourg (7), Macao (23), Morocco (116), New Zealand (206), Nigeria (9), Oman (62), Pakistan (5), Panama (4), Peru (49), Philippines (135), Portugal (31), Republic of Serbia (6), Saudi Arabia (396), South Africa (203), Spain (418), Sweden (61), Taiwan (117), Thailand (464), Tunisia (114), Turkey (211), Ukraine (27), Uruguay (4), Uzbekistan (4), and Vietnam (52).</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Total Workforce for Determination of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2343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ind w:left="20"/>
              <w:spacing w:after="0"/>
              <w:rPr>
                <w:sz w:val="20"/>
                <w:szCs w:val="20"/>
                <w:color w:val="auto"/>
              </w:rPr>
            </w:pPr>
            <w:r>
              <w:rPr>
                <w:rFonts w:ascii="Arial" w:cs="Arial" w:eastAsia="Arial" w:hAnsi="Arial"/>
                <w:sz w:val="14"/>
                <w:szCs w:val="14"/>
                <w:color w:val="auto"/>
              </w:rPr>
              <w:t>Total U.S. Employees</w:t>
            </w:r>
          </w:p>
        </w:tc>
        <w:tc>
          <w:tcPr>
            <w:tcW w:w="5700" w:type="dxa"/>
            <w:vAlign w:val="bottom"/>
          </w:tcPr>
          <w:p>
            <w:pPr>
              <w:jc w:val="right"/>
              <w:spacing w:after="0"/>
              <w:rPr>
                <w:sz w:val="20"/>
                <w:szCs w:val="20"/>
                <w:color w:val="auto"/>
              </w:rPr>
            </w:pPr>
            <w:r>
              <w:rPr>
                <w:rFonts w:ascii="Arial" w:cs="Arial" w:eastAsia="Arial" w:hAnsi="Arial"/>
                <w:sz w:val="14"/>
                <w:szCs w:val="14"/>
                <w:color w:val="auto"/>
              </w:rPr>
              <w:t>56,557</w:t>
            </w:r>
          </w:p>
        </w:tc>
      </w:tr>
      <w:tr>
        <w:trPr>
          <w:trHeight w:val="22"/>
        </w:trPr>
        <w:tc>
          <w:tcPr>
            <w:tcW w:w="5520" w:type="dxa"/>
            <w:vAlign w:val="bottom"/>
            <w:tcBorders>
              <w:bottom w:val="single" w:sz="8" w:color="939598"/>
            </w:tcBorders>
          </w:tcPr>
          <w:p>
            <w:pPr>
              <w:spacing w:after="0" w:line="20" w:lineRule="exact"/>
              <w:rPr>
                <w:sz w:val="1"/>
                <w:szCs w:val="1"/>
                <w:color w:val="auto"/>
              </w:rPr>
            </w:pPr>
          </w:p>
        </w:tc>
        <w:tc>
          <w:tcPr>
            <w:tcW w:w="5700" w:type="dxa"/>
            <w:vAlign w:val="bottom"/>
            <w:tcBorders>
              <w:bottom w:val="single" w:sz="8" w:color="939598"/>
            </w:tcBorders>
          </w:tcPr>
          <w:p>
            <w:pPr>
              <w:spacing w:after="0" w:line="20" w:lineRule="exact"/>
              <w:rPr>
                <w:sz w:val="1"/>
                <w:szCs w:val="1"/>
                <w:color w:val="auto"/>
              </w:rPr>
            </w:pPr>
          </w:p>
        </w:tc>
      </w:tr>
      <w:tr>
        <w:trPr>
          <w:trHeight w:val="187"/>
        </w:trPr>
        <w:tc>
          <w:tcPr>
            <w:tcW w:w="5520" w:type="dxa"/>
            <w:vAlign w:val="bottom"/>
          </w:tcPr>
          <w:p>
            <w:pPr>
              <w:ind w:left="20"/>
              <w:spacing w:after="0"/>
              <w:rPr>
                <w:sz w:val="20"/>
                <w:szCs w:val="20"/>
                <w:color w:val="auto"/>
              </w:rPr>
            </w:pPr>
            <w:r>
              <w:rPr>
                <w:rFonts w:ascii="Arial" w:cs="Arial" w:eastAsia="Arial" w:hAnsi="Arial"/>
                <w:sz w:val="14"/>
                <w:szCs w:val="14"/>
                <w:color w:val="auto"/>
              </w:rPr>
              <w:t>Total non-U.S. Employees</w:t>
            </w:r>
          </w:p>
        </w:tc>
        <w:tc>
          <w:tcPr>
            <w:tcW w:w="5700" w:type="dxa"/>
            <w:vAlign w:val="bottom"/>
          </w:tcPr>
          <w:p>
            <w:pPr>
              <w:jc w:val="right"/>
              <w:spacing w:after="0"/>
              <w:rPr>
                <w:sz w:val="20"/>
                <w:szCs w:val="20"/>
                <w:color w:val="auto"/>
              </w:rPr>
            </w:pPr>
            <w:r>
              <w:rPr>
                <w:rFonts w:ascii="Arial" w:cs="Arial" w:eastAsia="Arial" w:hAnsi="Arial"/>
                <w:sz w:val="14"/>
                <w:szCs w:val="14"/>
                <w:color w:val="auto"/>
              </w:rPr>
              <w:t>56,861</w:t>
            </w:r>
          </w:p>
        </w:tc>
      </w:tr>
      <w:tr>
        <w:trPr>
          <w:trHeight w:val="190"/>
        </w:trPr>
        <w:tc>
          <w:tcPr>
            <w:tcW w:w="5520" w:type="dxa"/>
            <w:vAlign w:val="bottom"/>
          </w:tcPr>
          <w:p>
            <w:pPr>
              <w:spacing w:after="0"/>
              <w:rPr>
                <w:sz w:val="16"/>
                <w:szCs w:val="16"/>
                <w:color w:val="auto"/>
              </w:rPr>
            </w:pPr>
          </w:p>
        </w:tc>
        <w:tc>
          <w:tcPr>
            <w:tcW w:w="5700" w:type="dxa"/>
            <w:vAlign w:val="bottom"/>
          </w:tcPr>
          <w:p>
            <w:pPr>
              <w:jc w:val="right"/>
              <w:spacing w:after="0"/>
              <w:rPr>
                <w:sz w:val="20"/>
                <w:szCs w:val="20"/>
                <w:color w:val="auto"/>
              </w:rPr>
            </w:pPr>
            <w:r>
              <w:rPr>
                <w:rFonts w:ascii="Arial" w:cs="Arial" w:eastAsia="Arial" w:hAnsi="Arial"/>
                <w:sz w:val="14"/>
                <w:szCs w:val="14"/>
                <w:color w:val="auto"/>
              </w:rPr>
              <w:t>(excluding 5,078 employees)</w:t>
            </w:r>
          </w:p>
        </w:tc>
      </w:tr>
      <w:tr>
        <w:trPr>
          <w:trHeight w:val="22"/>
        </w:trPr>
        <w:tc>
          <w:tcPr>
            <w:tcW w:w="5520" w:type="dxa"/>
            <w:vAlign w:val="bottom"/>
            <w:tcBorders>
              <w:bottom w:val="single" w:sz="8" w:color="939598"/>
            </w:tcBorders>
          </w:tcPr>
          <w:p>
            <w:pPr>
              <w:spacing w:after="0" w:line="20" w:lineRule="exact"/>
              <w:rPr>
                <w:sz w:val="1"/>
                <w:szCs w:val="1"/>
                <w:color w:val="auto"/>
              </w:rPr>
            </w:pPr>
          </w:p>
        </w:tc>
        <w:tc>
          <w:tcPr>
            <w:tcW w:w="5700" w:type="dxa"/>
            <w:vAlign w:val="bottom"/>
            <w:tcBorders>
              <w:bottom w:val="single" w:sz="8" w:color="939598"/>
            </w:tcBorders>
          </w:tcPr>
          <w:p>
            <w:pPr>
              <w:spacing w:after="0" w:line="20" w:lineRule="exact"/>
              <w:rPr>
                <w:sz w:val="1"/>
                <w:szCs w:val="1"/>
                <w:color w:val="auto"/>
              </w:rPr>
            </w:pPr>
          </w:p>
        </w:tc>
      </w:tr>
      <w:tr>
        <w:trPr>
          <w:trHeight w:val="201"/>
        </w:trPr>
        <w:tc>
          <w:tcPr>
            <w:tcW w:w="5520" w:type="dxa"/>
            <w:vAlign w:val="bottom"/>
          </w:tcPr>
          <w:p>
            <w:pPr>
              <w:ind w:left="20"/>
              <w:spacing w:after="0"/>
              <w:rPr>
                <w:sz w:val="20"/>
                <w:szCs w:val="20"/>
                <w:color w:val="auto"/>
              </w:rPr>
            </w:pPr>
            <w:r>
              <w:rPr>
                <w:rFonts w:ascii="Arial" w:cs="Arial" w:eastAsia="Arial" w:hAnsi="Arial"/>
                <w:sz w:val="14"/>
                <w:szCs w:val="14"/>
                <w:color w:val="auto"/>
              </w:rPr>
              <w:t>Total Global Workforce</w:t>
            </w:r>
          </w:p>
        </w:tc>
        <w:tc>
          <w:tcPr>
            <w:tcW w:w="5700" w:type="dxa"/>
            <w:vAlign w:val="bottom"/>
          </w:tcPr>
          <w:p>
            <w:pPr>
              <w:jc w:val="right"/>
              <w:spacing w:after="0"/>
              <w:rPr>
                <w:sz w:val="20"/>
                <w:szCs w:val="20"/>
                <w:color w:val="auto"/>
              </w:rPr>
            </w:pPr>
            <w:r>
              <w:rPr>
                <w:rFonts w:ascii="Arial" w:cs="Arial" w:eastAsia="Arial" w:hAnsi="Arial"/>
                <w:sz w:val="14"/>
                <w:szCs w:val="14"/>
                <w:color w:val="auto"/>
              </w:rPr>
              <w:t>113,418</w:t>
            </w:r>
          </w:p>
        </w:tc>
      </w:tr>
      <w:tr>
        <w:trPr>
          <w:trHeight w:val="22"/>
        </w:trPr>
        <w:tc>
          <w:tcPr>
            <w:tcW w:w="5520" w:type="dxa"/>
            <w:vAlign w:val="bottom"/>
            <w:tcBorders>
              <w:bottom w:val="single" w:sz="8" w:color="D7282F"/>
            </w:tcBorders>
          </w:tcPr>
          <w:p>
            <w:pPr>
              <w:spacing w:after="0" w:line="20" w:lineRule="exact"/>
              <w:rPr>
                <w:sz w:val="1"/>
                <w:szCs w:val="1"/>
                <w:color w:val="auto"/>
              </w:rPr>
            </w:pPr>
          </w:p>
        </w:tc>
        <w:tc>
          <w:tcPr>
            <w:tcW w:w="5700" w:type="dxa"/>
            <w:vAlign w:val="bottom"/>
            <w:tcBorders>
              <w:bottom w:val="single" w:sz="8" w:color="D7282F"/>
            </w:tcBorders>
          </w:tcPr>
          <w:p>
            <w:pPr>
              <w:spacing w:after="0" w:line="20" w:lineRule="exact"/>
              <w:rPr>
                <w:sz w:val="1"/>
                <w:szCs w:val="1"/>
                <w:color w:val="auto"/>
              </w:rPr>
            </w:pPr>
          </w:p>
        </w:tc>
      </w:tr>
    </w:tbl>
    <w:p>
      <w:pPr>
        <w:spacing w:after="0" w:line="188"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To identify the median employee from our employee population, we collected actual base salary and incentive awards paid during the 12-month period ending on the Determination Date. As permitted under SEC rules, we annualized the compensation of all newly hired permanent employees during this period. Using this methodology, our median employee was determined to be a full-time employee based in the United States.</w:t>
      </w:r>
    </w:p>
    <w:p>
      <w:pPr>
        <w:spacing w:after="0" w:line="7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annual total compensation for our median employee in calendar 2023, our last completed fiscal year, was $80,363, calculated in accordance with the rules applicable to the Summary Compensation Table (SCT) of this Proxy Statement. The annual compensation of our median employee includes $7,233 in Company-paid healthcare benefits.</w:t>
      </w:r>
    </w:p>
    <w:p>
      <w:pPr>
        <w:spacing w:after="0" w:line="56"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For 2023, the annual total compensation of the CEO for purposes of determining the CEO Pay Ratio was $15,442,555, and includes $3,425 in Company-paid healthcare benefits, which are not reflected on the SCT in accordance with SEC rules. In addition, as Mr. Kapur served as CEO for only a portion of the year, we also included additional amounts that reflect the annualization of the amounts reported for him in the “Salary” and “Non-Equity Incentive Compensation” columns of the Summary Compensation Table to reflect the base salary and annual incentive he would have earned for 2023 if he had served as CEO for the entire fiscal year.</w:t>
      </w:r>
    </w:p>
    <w:p>
      <w:pPr>
        <w:spacing w:after="0" w:line="8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Based on this information, for 2023, the ratio of the annual total compensation of Mr. Kapur, our CEO, to the median of the annual total compensation of all employees was estimated to be 192 to 1.</w:t>
      </w:r>
    </w:p>
    <w:p>
      <w:pPr>
        <w:spacing w:after="0" w:line="6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here, as other companies may have different employment and compensation practices and may utilize different methodologies, exclusions, estimates, and assumptions in calculating their own pay ratios.</w:t>
      </w:r>
    </w:p>
    <w:p>
      <w:pPr>
        <w:spacing w:after="0" w:line="205"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sz w:val="1"/>
          <w:szCs w:val="1"/>
          <w:color w:val="auto"/>
        </w:rPr>
        <w:drawing>
          <wp:inline distT="0" distB="0" distL="0" distR="0">
            <wp:extent cx="548640" cy="102870"/>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PAY VERSUS PERFORMANCE</w:t>
      </w:r>
    </w:p>
    <w:p>
      <w:pPr>
        <w:spacing w:after="0" w:line="12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regarding executive pay and performance. The table below shows pay both as reported in the Summary Compensation Table (Summary Comp Table Total) for the applicable fiscal year and as “compensation actually paid” (CAP) for our principal executive officer(s) (PEO) and as an average of all of our other named executive officers (Non-PEO NEOs) for the applicable fiscal year. Both Summary Comp Table Total pay and CAP are calculated in accordance with the requirements of Regulation S-K and may differ substantially from the manner in which the MDCC makes executive compensation decisions, which is described in the Compensation Discussion and Analysis beginning on page 49.</w:t>
      </w:r>
    </w:p>
    <w:p>
      <w:pPr>
        <w:spacing w:after="0" w:line="8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table below also shows (i) Honeywell’s cumulative total shareholder return (TSR), (ii) the TSR of the Nasdaq Industrial Select Sector Index (XLI), which we have used as our peer group for purposes of this table, (iii) Honeywell’s net income for the applicable fiscal year, and (iv) Honeywell’s performance with respect to a company-selected measure (CSM), which in our assessment represents the single most important financial performance metric used to link compensation actually paid to our NEOs for the most recently completed fiscal year to Honeywell’s performance. We selected segment margin as the CSM for the 2023 fiscal year.</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140" w:type="dxa"/>
            <w:vAlign w:val="bottom"/>
            <w:gridSpan w:val="2"/>
          </w:tcPr>
          <w:p>
            <w:pPr>
              <w:jc w:val="right"/>
              <w:ind w:right="42"/>
              <w:spacing w:after="0"/>
              <w:rPr>
                <w:sz w:val="20"/>
                <w:szCs w:val="20"/>
                <w:color w:val="auto"/>
              </w:rPr>
            </w:pPr>
            <w:r>
              <w:rPr>
                <w:rFonts w:ascii="Arial" w:cs="Arial" w:eastAsia="Arial" w:hAnsi="Arial"/>
                <w:sz w:val="11"/>
                <w:szCs w:val="11"/>
                <w:b w:val="1"/>
                <w:bCs w:val="1"/>
                <w:color w:val="auto"/>
              </w:rPr>
              <w:t>Value of Initial Fixed $100 Investment</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5"/>
        </w:trPr>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40" w:type="dxa"/>
            <w:vAlign w:val="bottom"/>
            <w:tcBorders>
              <w:bottom w:val="single" w:sz="8" w:color="D7282F"/>
            </w:tcBorders>
            <w:gridSpan w:val="2"/>
          </w:tcPr>
          <w:p>
            <w:pPr>
              <w:jc w:val="right"/>
              <w:ind w:right="742"/>
              <w:spacing w:after="0"/>
              <w:rPr>
                <w:sz w:val="20"/>
                <w:szCs w:val="20"/>
                <w:color w:val="auto"/>
              </w:rPr>
            </w:pPr>
            <w:r>
              <w:rPr>
                <w:rFonts w:ascii="Arial" w:cs="Arial" w:eastAsia="Arial" w:hAnsi="Arial"/>
                <w:sz w:val="11"/>
                <w:szCs w:val="11"/>
                <w:b w:val="1"/>
                <w:bCs w:val="1"/>
                <w:color w:val="auto"/>
              </w:rPr>
              <w:t>Based on:</w:t>
            </w: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Summary</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680" w:type="dxa"/>
            <w:vAlign w:val="bottom"/>
          </w:tcPr>
          <w:p>
            <w:pPr>
              <w:spacing w:after="0"/>
              <w:rPr>
                <w:sz w:val="11"/>
                <w:szCs w:val="11"/>
                <w:color w:val="auto"/>
              </w:rPr>
            </w:pPr>
          </w:p>
        </w:tc>
        <w:tc>
          <w:tcPr>
            <w:tcW w:w="1220" w:type="dxa"/>
            <w:vAlign w:val="bottom"/>
          </w:tcPr>
          <w:p>
            <w:pPr>
              <w:jc w:val="right"/>
              <w:ind w:right="62"/>
              <w:spacing w:after="0"/>
              <w:rPr>
                <w:sz w:val="20"/>
                <w:szCs w:val="20"/>
                <w:color w:val="auto"/>
              </w:rPr>
            </w:pPr>
            <w:r>
              <w:rPr>
                <w:rFonts w:ascii="Arial" w:cs="Arial" w:eastAsia="Arial" w:hAnsi="Arial"/>
                <w:sz w:val="11"/>
                <w:szCs w:val="11"/>
                <w:b w:val="1"/>
                <w:bCs w:val="1"/>
                <w:color w:val="auto"/>
              </w:rPr>
              <w:t>Summary</w:t>
            </w:r>
          </w:p>
        </w:tc>
        <w:tc>
          <w:tcPr>
            <w:tcW w:w="940" w:type="dxa"/>
            <w:vAlign w:val="bottom"/>
          </w:tcPr>
          <w:p>
            <w:pPr>
              <w:jc w:val="right"/>
              <w:ind w:right="4"/>
              <w:spacing w:after="0"/>
              <w:rPr>
                <w:sz w:val="20"/>
                <w:szCs w:val="20"/>
                <w:color w:val="auto"/>
              </w:rPr>
            </w:pPr>
            <w:r>
              <w:rPr>
                <w:rFonts w:ascii="Arial" w:cs="Arial" w:eastAsia="Arial" w:hAnsi="Arial"/>
                <w:sz w:val="11"/>
                <w:szCs w:val="11"/>
                <w:b w:val="1"/>
                <w:bCs w:val="1"/>
                <w:color w:val="auto"/>
              </w:rPr>
              <w:t>Comp</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Comp Table</w:t>
            </w:r>
          </w:p>
        </w:tc>
        <w:tc>
          <w:tcPr>
            <w:tcW w:w="200" w:type="dxa"/>
            <w:vAlign w:val="bottom"/>
          </w:tcPr>
          <w:p>
            <w:pPr>
              <w:spacing w:after="0"/>
              <w:rPr>
                <w:sz w:val="11"/>
                <w:szCs w:val="11"/>
                <w:color w:val="auto"/>
              </w:rPr>
            </w:pP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Comp</w:t>
            </w:r>
          </w:p>
        </w:tc>
        <w:tc>
          <w:tcPr>
            <w:tcW w:w="1080" w:type="dxa"/>
            <w:vAlign w:val="bottom"/>
          </w:tcPr>
          <w:p>
            <w:pPr>
              <w:jc w:val="right"/>
              <w:ind w:right="42"/>
              <w:spacing w:after="0"/>
              <w:rPr>
                <w:sz w:val="20"/>
                <w:szCs w:val="20"/>
                <w:color w:val="auto"/>
              </w:rPr>
            </w:pPr>
            <w:r>
              <w:rPr>
                <w:rFonts w:ascii="Arial" w:cs="Arial" w:eastAsia="Arial" w:hAnsi="Arial"/>
                <w:sz w:val="11"/>
                <w:szCs w:val="11"/>
                <w:b w:val="1"/>
                <w:bCs w:val="1"/>
                <w:color w:val="auto"/>
              </w:rPr>
              <w:t>Avg. Summary</w:t>
            </w:r>
          </w:p>
        </w:tc>
        <w:tc>
          <w:tcPr>
            <w:tcW w:w="2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Avg. Comp</w:t>
            </w:r>
          </w:p>
        </w:tc>
        <w:tc>
          <w:tcPr>
            <w:tcW w:w="11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Peer</w:t>
            </w: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21"/>
        </w:trPr>
        <w:tc>
          <w:tcPr>
            <w:tcW w:w="680" w:type="dxa"/>
            <w:vAlign w:val="bottom"/>
          </w:tcPr>
          <w:p>
            <w:pPr>
              <w:spacing w:after="0"/>
              <w:rPr>
                <w:sz w:val="10"/>
                <w:szCs w:val="10"/>
                <w:color w:val="auto"/>
              </w:rPr>
            </w:pPr>
          </w:p>
        </w:tc>
        <w:tc>
          <w:tcPr>
            <w:tcW w:w="1220" w:type="dxa"/>
            <w:vAlign w:val="bottom"/>
          </w:tcPr>
          <w:p>
            <w:pPr>
              <w:jc w:val="right"/>
              <w:ind w:right="62"/>
              <w:spacing w:after="0" w:line="122" w:lineRule="exact"/>
              <w:rPr>
                <w:sz w:val="20"/>
                <w:szCs w:val="20"/>
                <w:color w:val="auto"/>
              </w:rPr>
            </w:pPr>
            <w:r>
              <w:rPr>
                <w:rFonts w:ascii="Arial" w:cs="Arial" w:eastAsia="Arial" w:hAnsi="Arial"/>
                <w:sz w:val="11"/>
                <w:szCs w:val="11"/>
                <w:b w:val="1"/>
                <w:bCs w:val="1"/>
                <w:color w:val="auto"/>
              </w:rPr>
              <w:t>Comp Table</w:t>
            </w:r>
          </w:p>
        </w:tc>
        <w:tc>
          <w:tcPr>
            <w:tcW w:w="94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rPr>
              <w:t>Actually</w:t>
            </w: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Total for</w:t>
            </w:r>
          </w:p>
        </w:tc>
        <w:tc>
          <w:tcPr>
            <w:tcW w:w="200" w:type="dxa"/>
            <w:vAlign w:val="bottom"/>
          </w:tcPr>
          <w:p>
            <w:pPr>
              <w:spacing w:after="0"/>
              <w:rPr>
                <w:sz w:val="10"/>
                <w:szCs w:val="10"/>
                <w:color w:val="auto"/>
              </w:rPr>
            </w:pPr>
          </w:p>
        </w:tc>
        <w:tc>
          <w:tcPr>
            <w:tcW w:w="980" w:type="dxa"/>
            <w:vAlign w:val="bottom"/>
          </w:tcPr>
          <w:p>
            <w:pPr>
              <w:jc w:val="right"/>
              <w:ind w:right="144"/>
              <w:spacing w:after="0" w:line="122" w:lineRule="exact"/>
              <w:rPr>
                <w:sz w:val="20"/>
                <w:szCs w:val="20"/>
                <w:color w:val="auto"/>
              </w:rPr>
            </w:pPr>
            <w:r>
              <w:rPr>
                <w:rFonts w:ascii="Arial" w:cs="Arial" w:eastAsia="Arial" w:hAnsi="Arial"/>
                <w:sz w:val="11"/>
                <w:szCs w:val="11"/>
                <w:b w:val="1"/>
                <w:bCs w:val="1"/>
                <w:color w:val="auto"/>
              </w:rPr>
              <w:t>Actually</w:t>
            </w:r>
          </w:p>
        </w:tc>
        <w:tc>
          <w:tcPr>
            <w:tcW w:w="108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Comp Table</w:t>
            </w:r>
          </w:p>
        </w:tc>
        <w:tc>
          <w:tcPr>
            <w:tcW w:w="2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Actually Paid</w:t>
            </w:r>
          </w:p>
        </w:tc>
        <w:tc>
          <w:tcPr>
            <w:tcW w:w="1140" w:type="dxa"/>
            <w:vAlign w:val="bottom"/>
          </w:tcPr>
          <w:p>
            <w:pPr>
              <w:jc w:val="right"/>
              <w:ind w:right="122"/>
              <w:spacing w:after="0" w:line="122" w:lineRule="exact"/>
              <w:rPr>
                <w:sz w:val="20"/>
                <w:szCs w:val="20"/>
                <w:color w:val="auto"/>
              </w:rPr>
            </w:pPr>
            <w:r>
              <w:rPr>
                <w:rFonts w:ascii="Arial" w:cs="Arial" w:eastAsia="Arial" w:hAnsi="Arial"/>
                <w:sz w:val="11"/>
                <w:szCs w:val="11"/>
                <w:b w:val="1"/>
                <w:bCs w:val="1"/>
                <w:color w:val="auto"/>
              </w:rPr>
              <w:t>Total</w:t>
            </w:r>
          </w:p>
        </w:tc>
        <w:tc>
          <w:tcPr>
            <w:tcW w:w="10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Group Total</w:t>
            </w:r>
          </w:p>
        </w:tc>
        <w:tc>
          <w:tcPr>
            <w:tcW w:w="11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CSM:</w:t>
            </w:r>
          </w:p>
        </w:tc>
      </w:tr>
      <w:tr>
        <w:trPr>
          <w:trHeight w:val="135"/>
        </w:trPr>
        <w:tc>
          <w:tcPr>
            <w:tcW w:w="680" w:type="dxa"/>
            <w:vAlign w:val="bottom"/>
          </w:tcPr>
          <w:p>
            <w:pPr>
              <w:spacing w:after="0"/>
              <w:rPr>
                <w:sz w:val="11"/>
                <w:szCs w:val="11"/>
                <w:color w:val="auto"/>
              </w:rPr>
            </w:pPr>
          </w:p>
        </w:tc>
        <w:tc>
          <w:tcPr>
            <w:tcW w:w="1220" w:type="dxa"/>
            <w:vAlign w:val="bottom"/>
          </w:tcPr>
          <w:p>
            <w:pPr>
              <w:jc w:val="right"/>
              <w:ind w:right="62"/>
              <w:spacing w:after="0"/>
              <w:rPr>
                <w:sz w:val="20"/>
                <w:szCs w:val="20"/>
                <w:color w:val="auto"/>
              </w:rPr>
            </w:pPr>
            <w:r>
              <w:rPr>
                <w:rFonts w:ascii="Arial" w:cs="Arial" w:eastAsia="Arial" w:hAnsi="Arial"/>
                <w:sz w:val="11"/>
                <w:szCs w:val="11"/>
                <w:b w:val="1"/>
                <w:bCs w:val="1"/>
                <w:color w:val="auto"/>
              </w:rPr>
              <w:t>Total for</w:t>
            </w:r>
          </w:p>
        </w:tc>
        <w:tc>
          <w:tcPr>
            <w:tcW w:w="940" w:type="dxa"/>
            <w:vAlign w:val="bottom"/>
          </w:tcPr>
          <w:p>
            <w:pPr>
              <w:jc w:val="right"/>
              <w:ind w:right="4"/>
              <w:spacing w:after="0"/>
              <w:rPr>
                <w:sz w:val="20"/>
                <w:szCs w:val="20"/>
                <w:color w:val="auto"/>
              </w:rPr>
            </w:pPr>
            <w:r>
              <w:rPr>
                <w:rFonts w:ascii="Arial" w:cs="Arial" w:eastAsia="Arial" w:hAnsi="Arial"/>
                <w:sz w:val="11"/>
                <w:szCs w:val="11"/>
                <w:b w:val="1"/>
                <w:bCs w:val="1"/>
                <w:color w:val="auto"/>
              </w:rPr>
              <w:t>Paid to</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PEO—</w:t>
            </w:r>
          </w:p>
        </w:tc>
        <w:tc>
          <w:tcPr>
            <w:tcW w:w="200" w:type="dxa"/>
            <w:vAlign w:val="bottom"/>
          </w:tcPr>
          <w:p>
            <w:pPr>
              <w:spacing w:after="0"/>
              <w:rPr>
                <w:sz w:val="11"/>
                <w:szCs w:val="11"/>
                <w:color w:val="auto"/>
              </w:rPr>
            </w:pPr>
          </w:p>
        </w:tc>
        <w:tc>
          <w:tcPr>
            <w:tcW w:w="980" w:type="dxa"/>
            <w:vAlign w:val="bottom"/>
          </w:tcPr>
          <w:p>
            <w:pPr>
              <w:jc w:val="right"/>
              <w:ind w:right="144"/>
              <w:spacing w:after="0"/>
              <w:rPr>
                <w:sz w:val="20"/>
                <w:szCs w:val="20"/>
                <w:color w:val="auto"/>
              </w:rPr>
            </w:pPr>
            <w:r>
              <w:rPr>
                <w:rFonts w:ascii="Arial" w:cs="Arial" w:eastAsia="Arial" w:hAnsi="Arial"/>
                <w:sz w:val="11"/>
                <w:szCs w:val="11"/>
                <w:b w:val="1"/>
                <w:bCs w:val="1"/>
                <w:color w:val="auto"/>
              </w:rPr>
              <w:t>Paid to</w:t>
            </w:r>
          </w:p>
        </w:tc>
        <w:tc>
          <w:tcPr>
            <w:tcW w:w="1080" w:type="dxa"/>
            <w:vAlign w:val="bottom"/>
          </w:tcPr>
          <w:p>
            <w:pPr>
              <w:jc w:val="right"/>
              <w:ind w:right="42"/>
              <w:spacing w:after="0"/>
              <w:rPr>
                <w:sz w:val="20"/>
                <w:szCs w:val="20"/>
                <w:color w:val="auto"/>
              </w:rPr>
            </w:pPr>
            <w:r>
              <w:rPr>
                <w:rFonts w:ascii="Arial" w:cs="Arial" w:eastAsia="Arial" w:hAnsi="Arial"/>
                <w:sz w:val="11"/>
                <w:szCs w:val="11"/>
                <w:b w:val="1"/>
                <w:bCs w:val="1"/>
                <w:color w:val="auto"/>
              </w:rPr>
              <w:t>for Non-PEO</w:t>
            </w:r>
          </w:p>
        </w:tc>
        <w:tc>
          <w:tcPr>
            <w:tcW w:w="2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to Non-PEO</w:t>
            </w:r>
          </w:p>
        </w:tc>
        <w:tc>
          <w:tcPr>
            <w:tcW w:w="1140" w:type="dxa"/>
            <w:vAlign w:val="bottom"/>
          </w:tcPr>
          <w:p>
            <w:pPr>
              <w:jc w:val="right"/>
              <w:ind w:right="122"/>
              <w:spacing w:after="0"/>
              <w:rPr>
                <w:sz w:val="20"/>
                <w:szCs w:val="20"/>
                <w:color w:val="auto"/>
              </w:rPr>
            </w:pPr>
            <w:r>
              <w:rPr>
                <w:rFonts w:ascii="Arial" w:cs="Arial" w:eastAsia="Arial" w:hAnsi="Arial"/>
                <w:sz w:val="11"/>
                <w:szCs w:val="11"/>
                <w:b w:val="1"/>
                <w:bCs w:val="1"/>
                <w:color w:val="auto"/>
              </w:rPr>
              <w:t>Shareholder</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Shareholder</w:t>
            </w:r>
          </w:p>
        </w:tc>
        <w:tc>
          <w:tcPr>
            <w:tcW w:w="1180" w:type="dxa"/>
            <w:vAlign w:val="bottom"/>
          </w:tcPr>
          <w:p>
            <w:pPr>
              <w:jc w:val="right"/>
              <w:ind w:right="161"/>
              <w:spacing w:after="0"/>
              <w:rPr>
                <w:sz w:val="20"/>
                <w:szCs w:val="20"/>
                <w:color w:val="auto"/>
              </w:rPr>
            </w:pPr>
            <w:r>
              <w:rPr>
                <w:rFonts w:ascii="Arial" w:cs="Arial" w:eastAsia="Arial" w:hAnsi="Arial"/>
                <w:sz w:val="11"/>
                <w:szCs w:val="11"/>
                <w:b w:val="1"/>
                <w:bCs w:val="1"/>
                <w:color w:val="auto"/>
              </w:rPr>
              <w:t>Net Income</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Segment</w:t>
            </w:r>
          </w:p>
        </w:tc>
      </w:tr>
      <w:tr>
        <w:trPr>
          <w:trHeight w:val="135"/>
        </w:trPr>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Year</w:t>
            </w:r>
          </w:p>
        </w:tc>
        <w:tc>
          <w:tcPr>
            <w:tcW w:w="1220" w:type="dxa"/>
            <w:vAlign w:val="bottom"/>
          </w:tcPr>
          <w:p>
            <w:pPr>
              <w:jc w:val="right"/>
              <w:ind w:right="62"/>
              <w:spacing w:after="0"/>
              <w:rPr>
                <w:sz w:val="20"/>
                <w:szCs w:val="20"/>
                <w:color w:val="auto"/>
              </w:rPr>
            </w:pPr>
            <w:r>
              <w:rPr>
                <w:rFonts w:ascii="Arial" w:cs="Arial" w:eastAsia="Arial" w:hAnsi="Arial"/>
                <w:sz w:val="11"/>
                <w:szCs w:val="11"/>
                <w:b w:val="1"/>
                <w:bCs w:val="1"/>
                <w:color w:val="auto"/>
              </w:rPr>
              <w:t>PEO — Kapur</w:t>
            </w:r>
          </w:p>
        </w:tc>
        <w:tc>
          <w:tcPr>
            <w:tcW w:w="940" w:type="dxa"/>
            <w:vAlign w:val="bottom"/>
          </w:tcPr>
          <w:p>
            <w:pPr>
              <w:jc w:val="right"/>
              <w:ind w:right="4"/>
              <w:spacing w:after="0"/>
              <w:rPr>
                <w:sz w:val="20"/>
                <w:szCs w:val="20"/>
                <w:color w:val="auto"/>
              </w:rPr>
            </w:pPr>
            <w:r>
              <w:rPr>
                <w:rFonts w:ascii="Arial" w:cs="Arial" w:eastAsia="Arial" w:hAnsi="Arial"/>
                <w:sz w:val="11"/>
                <w:szCs w:val="11"/>
                <w:b w:val="1"/>
                <w:bCs w:val="1"/>
                <w:color w:val="auto"/>
              </w:rPr>
              <w:t>PEO — Kapur</w:t>
            </w:r>
          </w:p>
        </w:tc>
        <w:tc>
          <w:tcPr>
            <w:tcW w:w="240" w:type="dxa"/>
            <w:vAlign w:val="bottom"/>
          </w:tcPr>
          <w:p>
            <w:pPr>
              <w:spacing w:after="0"/>
              <w:rPr>
                <w:sz w:val="11"/>
                <w:szCs w:val="11"/>
                <w:color w:val="auto"/>
              </w:rPr>
            </w:pPr>
          </w:p>
        </w:tc>
        <w:tc>
          <w:tcPr>
            <w:tcW w:w="1980" w:type="dxa"/>
            <w:vAlign w:val="bottom"/>
            <w:gridSpan w:val="3"/>
          </w:tcPr>
          <w:p>
            <w:pPr>
              <w:jc w:val="right"/>
              <w:ind w:right="144"/>
              <w:spacing w:after="0"/>
              <w:rPr>
                <w:sz w:val="20"/>
                <w:szCs w:val="20"/>
                <w:color w:val="auto"/>
              </w:rPr>
            </w:pPr>
            <w:r>
              <w:rPr>
                <w:rFonts w:ascii="Arial" w:cs="Arial" w:eastAsia="Arial" w:hAnsi="Arial"/>
                <w:sz w:val="11"/>
                <w:szCs w:val="11"/>
                <w:b w:val="1"/>
                <w:bCs w:val="1"/>
                <w:color w:val="auto"/>
              </w:rPr>
              <w:t>Adamczyk PEO — Adamczyk</w:t>
            </w:r>
          </w:p>
        </w:tc>
        <w:tc>
          <w:tcPr>
            <w:tcW w:w="1080" w:type="dxa"/>
            <w:vAlign w:val="bottom"/>
          </w:tcPr>
          <w:p>
            <w:pPr>
              <w:jc w:val="right"/>
              <w:ind w:right="42"/>
              <w:spacing w:after="0"/>
              <w:rPr>
                <w:sz w:val="20"/>
                <w:szCs w:val="20"/>
                <w:color w:val="auto"/>
              </w:rPr>
            </w:pPr>
            <w:r>
              <w:rPr>
                <w:rFonts w:ascii="Arial" w:cs="Arial" w:eastAsia="Arial" w:hAnsi="Arial"/>
                <w:sz w:val="11"/>
                <w:szCs w:val="11"/>
                <w:b w:val="1"/>
                <w:bCs w:val="1"/>
                <w:color w:val="auto"/>
              </w:rPr>
              <w:t>NEOs</w:t>
            </w:r>
          </w:p>
        </w:tc>
        <w:tc>
          <w:tcPr>
            <w:tcW w:w="2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NEOs</w:t>
            </w:r>
          </w:p>
        </w:tc>
        <w:tc>
          <w:tcPr>
            <w:tcW w:w="1140" w:type="dxa"/>
            <w:vAlign w:val="bottom"/>
          </w:tcPr>
          <w:p>
            <w:pPr>
              <w:jc w:val="right"/>
              <w:ind w:right="122"/>
              <w:spacing w:after="0"/>
              <w:rPr>
                <w:sz w:val="20"/>
                <w:szCs w:val="20"/>
                <w:color w:val="auto"/>
              </w:rPr>
            </w:pPr>
            <w:r>
              <w:rPr>
                <w:rFonts w:ascii="Arial" w:cs="Arial" w:eastAsia="Arial" w:hAnsi="Arial"/>
                <w:sz w:val="11"/>
                <w:szCs w:val="11"/>
                <w:b w:val="1"/>
                <w:bCs w:val="1"/>
                <w:color w:val="auto"/>
              </w:rPr>
              <w:t>Return ($)(f)</w:t>
            </w: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Return</w:t>
            </w:r>
          </w:p>
        </w:tc>
        <w:tc>
          <w:tcPr>
            <w:tcW w:w="1180" w:type="dxa"/>
            <w:vAlign w:val="bottom"/>
          </w:tcPr>
          <w:p>
            <w:pPr>
              <w:jc w:val="right"/>
              <w:ind w:right="161"/>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Margin</w:t>
            </w:r>
          </w:p>
        </w:tc>
      </w:tr>
      <w:tr>
        <w:trPr>
          <w:trHeight w:val="162"/>
        </w:trPr>
        <w:tc>
          <w:tcPr>
            <w:tcW w:w="680" w:type="dxa"/>
            <w:vAlign w:val="bottom"/>
            <w:tcBorders>
              <w:bottom w:val="single" w:sz="8" w:color="D7282F"/>
            </w:tcBorders>
          </w:tcPr>
          <w:p>
            <w:pPr>
              <w:ind w:left="20"/>
              <w:spacing w:after="0"/>
              <w:rPr>
                <w:sz w:val="20"/>
                <w:szCs w:val="20"/>
                <w:color w:val="auto"/>
              </w:rPr>
            </w:pPr>
            <w:r>
              <w:rPr>
                <w:rFonts w:ascii="Arial" w:cs="Arial" w:eastAsia="Arial" w:hAnsi="Arial"/>
                <w:sz w:val="11"/>
                <w:szCs w:val="11"/>
                <w:b w:val="1"/>
                <w:bCs w:val="1"/>
                <w:color w:val="auto"/>
              </w:rPr>
              <w:t>(a)</w:t>
            </w:r>
          </w:p>
        </w:tc>
        <w:tc>
          <w:tcPr>
            <w:tcW w:w="1220" w:type="dxa"/>
            <w:vAlign w:val="bottom"/>
            <w:tcBorders>
              <w:bottom w:val="single" w:sz="8" w:color="D7282F"/>
            </w:tcBorders>
          </w:tcPr>
          <w:p>
            <w:pPr>
              <w:jc w:val="right"/>
              <w:ind w:right="62"/>
              <w:spacing w:after="0"/>
              <w:rPr>
                <w:sz w:val="20"/>
                <w:szCs w:val="20"/>
                <w:color w:val="auto"/>
              </w:rPr>
            </w:pPr>
            <w:r>
              <w:rPr>
                <w:rFonts w:ascii="Arial" w:cs="Arial" w:eastAsia="Arial" w:hAnsi="Arial"/>
                <w:sz w:val="11"/>
                <w:szCs w:val="11"/>
                <w:b w:val="1"/>
                <w:bCs w:val="1"/>
                <w:color w:val="auto"/>
              </w:rPr>
              <w:t>(b)</w:t>
            </w:r>
            <w:r>
              <w:rPr>
                <w:rFonts w:ascii="Arial" w:cs="Arial" w:eastAsia="Arial" w:hAnsi="Arial"/>
                <w:sz w:val="14"/>
                <w:szCs w:val="14"/>
                <w:b w:val="1"/>
                <w:bCs w:val="1"/>
                <w:color w:val="auto"/>
                <w:vertAlign w:val="superscript"/>
              </w:rPr>
              <w:t>(1)</w:t>
            </w:r>
          </w:p>
        </w:tc>
        <w:tc>
          <w:tcPr>
            <w:tcW w:w="940" w:type="dxa"/>
            <w:vAlign w:val="bottom"/>
            <w:tcBorders>
              <w:bottom w:val="single" w:sz="8" w:color="D7282F"/>
            </w:tcBorders>
          </w:tcPr>
          <w:p>
            <w:pPr>
              <w:jc w:val="right"/>
              <w:ind w:right="4"/>
              <w:spacing w:after="0" w:line="162" w:lineRule="exact"/>
              <w:rPr>
                <w:sz w:val="20"/>
                <w:szCs w:val="20"/>
                <w:color w:val="auto"/>
              </w:rPr>
            </w:pPr>
            <w:r>
              <w:rPr>
                <w:rFonts w:ascii="Arial" w:cs="Arial" w:eastAsia="Arial" w:hAnsi="Arial"/>
                <w:sz w:val="18"/>
                <w:szCs w:val="18"/>
                <w:b w:val="1"/>
                <w:bCs w:val="1"/>
                <w:color w:val="auto"/>
                <w:vertAlign w:val="subscript"/>
              </w:rPr>
              <w:t>(c)</w:t>
            </w:r>
            <w:r>
              <w:rPr>
                <w:rFonts w:ascii="Arial" w:cs="Arial" w:eastAsia="Arial" w:hAnsi="Arial"/>
                <w:sz w:val="6"/>
                <w:szCs w:val="6"/>
                <w:b w:val="1"/>
                <w:bCs w:val="1"/>
                <w:color w:val="auto"/>
              </w:rPr>
              <w:t>(2),(3),(4)</w:t>
            </w:r>
          </w:p>
        </w:tc>
        <w:tc>
          <w:tcPr>
            <w:tcW w:w="240" w:type="dxa"/>
            <w:vAlign w:val="bottom"/>
            <w:tcBorders>
              <w:bottom w:val="single" w:sz="8" w:color="D7282F"/>
            </w:tcBorders>
          </w:tcPr>
          <w:p>
            <w:pPr>
              <w:spacing w:after="0"/>
              <w:rPr>
                <w:sz w:val="14"/>
                <w:szCs w:val="14"/>
                <w:color w:val="auto"/>
              </w:rPr>
            </w:pPr>
          </w:p>
        </w:tc>
        <w:tc>
          <w:tcPr>
            <w:tcW w:w="800" w:type="dxa"/>
            <w:vAlign w:val="bottom"/>
            <w:tcBorders>
              <w:bottom w:val="single" w:sz="8" w:color="D7282F"/>
            </w:tcBorders>
          </w:tcPr>
          <w:p>
            <w:pPr>
              <w:jc w:val="right"/>
              <w:spacing w:after="0" w:line="162" w:lineRule="exact"/>
              <w:rPr>
                <w:sz w:val="20"/>
                <w:szCs w:val="20"/>
                <w:color w:val="auto"/>
              </w:rPr>
            </w:pPr>
            <w:r>
              <w:rPr>
                <w:rFonts w:ascii="Arial" w:cs="Arial" w:eastAsia="Arial" w:hAnsi="Arial"/>
                <w:sz w:val="18"/>
                <w:szCs w:val="18"/>
                <w:b w:val="1"/>
                <w:bCs w:val="1"/>
                <w:color w:val="auto"/>
                <w:vertAlign w:val="subscript"/>
              </w:rPr>
              <w:t>(b)</w:t>
            </w:r>
            <w:r>
              <w:rPr>
                <w:rFonts w:ascii="Arial" w:cs="Arial" w:eastAsia="Arial" w:hAnsi="Arial"/>
                <w:sz w:val="6"/>
                <w:szCs w:val="6"/>
                <w:b w:val="1"/>
                <w:bCs w:val="1"/>
                <w:color w:val="auto"/>
              </w:rPr>
              <w:t>(1)</w:t>
            </w:r>
          </w:p>
        </w:tc>
        <w:tc>
          <w:tcPr>
            <w:tcW w:w="200" w:type="dxa"/>
            <w:vAlign w:val="bottom"/>
            <w:tcBorders>
              <w:bottom w:val="single" w:sz="8" w:color="D7282F"/>
            </w:tcBorders>
          </w:tcPr>
          <w:p>
            <w:pPr>
              <w:spacing w:after="0"/>
              <w:rPr>
                <w:sz w:val="14"/>
                <w:szCs w:val="14"/>
                <w:color w:val="auto"/>
              </w:rPr>
            </w:pPr>
          </w:p>
        </w:tc>
        <w:tc>
          <w:tcPr>
            <w:tcW w:w="980" w:type="dxa"/>
            <w:vAlign w:val="bottom"/>
            <w:tcBorders>
              <w:bottom w:val="single" w:sz="8" w:color="D7282F"/>
            </w:tcBorders>
          </w:tcPr>
          <w:p>
            <w:pPr>
              <w:jc w:val="right"/>
              <w:ind w:right="144"/>
              <w:spacing w:after="0" w:line="162" w:lineRule="exact"/>
              <w:rPr>
                <w:sz w:val="20"/>
                <w:szCs w:val="20"/>
                <w:color w:val="auto"/>
              </w:rPr>
            </w:pPr>
            <w:r>
              <w:rPr>
                <w:rFonts w:ascii="Arial" w:cs="Arial" w:eastAsia="Arial" w:hAnsi="Arial"/>
                <w:sz w:val="18"/>
                <w:szCs w:val="18"/>
                <w:b w:val="1"/>
                <w:bCs w:val="1"/>
                <w:color w:val="auto"/>
                <w:vertAlign w:val="subscript"/>
              </w:rPr>
              <w:t>(c)</w:t>
            </w:r>
            <w:r>
              <w:rPr>
                <w:rFonts w:ascii="Arial" w:cs="Arial" w:eastAsia="Arial" w:hAnsi="Arial"/>
                <w:sz w:val="6"/>
                <w:szCs w:val="6"/>
                <w:b w:val="1"/>
                <w:bCs w:val="1"/>
                <w:color w:val="auto"/>
              </w:rPr>
              <w:t>(2),(3),(5)</w:t>
            </w:r>
          </w:p>
        </w:tc>
        <w:tc>
          <w:tcPr>
            <w:tcW w:w="1080" w:type="dxa"/>
            <w:vAlign w:val="bottom"/>
            <w:tcBorders>
              <w:bottom w:val="single" w:sz="8" w:color="D7282F"/>
            </w:tcBorders>
          </w:tcPr>
          <w:p>
            <w:pPr>
              <w:jc w:val="right"/>
              <w:ind w:right="42"/>
              <w:spacing w:after="0"/>
              <w:rPr>
                <w:sz w:val="20"/>
                <w:szCs w:val="20"/>
                <w:color w:val="auto"/>
              </w:rPr>
            </w:pPr>
            <w:r>
              <w:rPr>
                <w:rFonts w:ascii="Arial" w:cs="Arial" w:eastAsia="Arial" w:hAnsi="Arial"/>
                <w:sz w:val="11"/>
                <w:szCs w:val="11"/>
                <w:b w:val="1"/>
                <w:bCs w:val="1"/>
                <w:color w:val="auto"/>
              </w:rPr>
              <w:t>(d)</w:t>
            </w:r>
            <w:r>
              <w:rPr>
                <w:rFonts w:ascii="Arial" w:cs="Arial" w:eastAsia="Arial" w:hAnsi="Arial"/>
                <w:sz w:val="14"/>
                <w:szCs w:val="14"/>
                <w:b w:val="1"/>
                <w:bCs w:val="1"/>
                <w:color w:val="auto"/>
                <w:vertAlign w:val="superscript"/>
              </w:rPr>
              <w:t>(1)</w:t>
            </w:r>
          </w:p>
        </w:tc>
        <w:tc>
          <w:tcPr>
            <w:tcW w:w="280" w:type="dxa"/>
            <w:vAlign w:val="bottom"/>
            <w:tcBorders>
              <w:bottom w:val="single" w:sz="8" w:color="D7282F"/>
            </w:tcBorders>
          </w:tcPr>
          <w:p>
            <w:pPr>
              <w:spacing w:after="0"/>
              <w:rPr>
                <w:sz w:val="14"/>
                <w:szCs w:val="14"/>
                <w:color w:val="auto"/>
              </w:rPr>
            </w:pPr>
          </w:p>
        </w:tc>
        <w:tc>
          <w:tcPr>
            <w:tcW w:w="780" w:type="dxa"/>
            <w:vAlign w:val="bottom"/>
            <w:tcBorders>
              <w:bottom w:val="single" w:sz="8" w:color="D7282F"/>
            </w:tcBorders>
          </w:tcPr>
          <w:p>
            <w:pPr>
              <w:jc w:val="right"/>
              <w:spacing w:after="0" w:line="162" w:lineRule="exact"/>
              <w:rPr>
                <w:sz w:val="20"/>
                <w:szCs w:val="20"/>
                <w:color w:val="auto"/>
              </w:rPr>
            </w:pPr>
            <w:r>
              <w:rPr>
                <w:rFonts w:ascii="Arial" w:cs="Arial" w:eastAsia="Arial" w:hAnsi="Arial"/>
                <w:sz w:val="18"/>
                <w:szCs w:val="18"/>
                <w:b w:val="1"/>
                <w:bCs w:val="1"/>
                <w:color w:val="auto"/>
                <w:vertAlign w:val="subscript"/>
              </w:rPr>
              <w:t>(e)</w:t>
            </w:r>
            <w:r>
              <w:rPr>
                <w:rFonts w:ascii="Arial" w:cs="Arial" w:eastAsia="Arial" w:hAnsi="Arial"/>
                <w:sz w:val="6"/>
                <w:szCs w:val="6"/>
                <w:b w:val="1"/>
                <w:bCs w:val="1"/>
                <w:color w:val="auto"/>
              </w:rPr>
              <w:t>(2),(3),(6)</w:t>
            </w:r>
          </w:p>
        </w:tc>
        <w:tc>
          <w:tcPr>
            <w:tcW w:w="1140" w:type="dxa"/>
            <w:vAlign w:val="bottom"/>
            <w:tcBorders>
              <w:bottom w:val="single" w:sz="8" w:color="D7282F"/>
            </w:tcBorders>
          </w:tcPr>
          <w:p>
            <w:pPr>
              <w:spacing w:after="0"/>
              <w:rPr>
                <w:sz w:val="14"/>
                <w:szCs w:val="14"/>
                <w:color w:val="auto"/>
              </w:rPr>
            </w:pP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(Composite) (g)</w:t>
            </w:r>
          </w:p>
        </w:tc>
        <w:tc>
          <w:tcPr>
            <w:tcW w:w="1180" w:type="dxa"/>
            <w:vAlign w:val="bottom"/>
            <w:tcBorders>
              <w:bottom w:val="single" w:sz="8" w:color="D7282F"/>
            </w:tcBorders>
          </w:tcPr>
          <w:p>
            <w:pPr>
              <w:jc w:val="right"/>
              <w:ind w:right="161"/>
              <w:spacing w:after="0"/>
              <w:rPr>
                <w:sz w:val="20"/>
                <w:szCs w:val="20"/>
                <w:color w:val="auto"/>
              </w:rPr>
            </w:pPr>
            <w:r>
              <w:rPr>
                <w:rFonts w:ascii="Arial" w:cs="Arial" w:eastAsia="Arial" w:hAnsi="Arial"/>
                <w:sz w:val="11"/>
                <w:szCs w:val="11"/>
                <w:b w:val="1"/>
                <w:bCs w:val="1"/>
                <w:color w:val="auto"/>
              </w:rPr>
              <w:t>(h)</w:t>
            </w: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1"/>
                <w:szCs w:val="11"/>
                <w:b w:val="1"/>
                <w:bCs w:val="1"/>
                <w:color w:val="auto"/>
              </w:rPr>
              <w:t>(i)</w:t>
            </w:r>
          </w:p>
        </w:tc>
      </w:tr>
      <w:tr>
        <w:trPr>
          <w:trHeight w:val="168"/>
        </w:trPr>
        <w:tc>
          <w:tcPr>
            <w:tcW w:w="680" w:type="dxa"/>
            <w:vAlign w:val="bottom"/>
          </w:tcPr>
          <w:p>
            <w:pPr>
              <w:ind w:left="20"/>
              <w:spacing w:after="0"/>
              <w:rPr>
                <w:sz w:val="20"/>
                <w:szCs w:val="20"/>
                <w:color w:val="auto"/>
              </w:rPr>
            </w:pPr>
            <w:r>
              <w:rPr>
                <w:rFonts w:ascii="Arial" w:cs="Arial" w:eastAsia="Arial" w:hAnsi="Arial"/>
                <w:sz w:val="13"/>
                <w:szCs w:val="13"/>
                <w:color w:val="auto"/>
              </w:rPr>
              <w:t>2023</w:t>
            </w:r>
          </w:p>
        </w:tc>
        <w:tc>
          <w:tcPr>
            <w:tcW w:w="1220" w:type="dxa"/>
            <w:vAlign w:val="bottom"/>
          </w:tcPr>
          <w:p>
            <w:pPr>
              <w:jc w:val="right"/>
              <w:ind w:right="102"/>
              <w:spacing w:after="0"/>
              <w:rPr>
                <w:sz w:val="20"/>
                <w:szCs w:val="20"/>
                <w:color w:val="auto"/>
              </w:rPr>
            </w:pPr>
            <w:r>
              <w:rPr>
                <w:rFonts w:ascii="Arial" w:cs="Arial" w:eastAsia="Arial" w:hAnsi="Arial"/>
                <w:sz w:val="13"/>
                <w:szCs w:val="13"/>
                <w:color w:val="auto"/>
              </w:rPr>
              <w:t>$14,401,630</w:t>
            </w:r>
          </w:p>
        </w:tc>
        <w:tc>
          <w:tcPr>
            <w:tcW w:w="940" w:type="dxa"/>
            <w:vAlign w:val="bottom"/>
          </w:tcPr>
          <w:p>
            <w:pPr>
              <w:jc w:val="right"/>
              <w:ind w:right="64"/>
              <w:spacing w:after="0"/>
              <w:rPr>
                <w:sz w:val="20"/>
                <w:szCs w:val="20"/>
                <w:color w:val="auto"/>
              </w:rPr>
            </w:pPr>
            <w:r>
              <w:rPr>
                <w:rFonts w:ascii="Arial" w:cs="Arial" w:eastAsia="Arial" w:hAnsi="Arial"/>
                <w:sz w:val="13"/>
                <w:szCs w:val="13"/>
                <w:color w:val="auto"/>
              </w:rPr>
              <w:t>$14,757,418</w:t>
            </w:r>
          </w:p>
        </w:tc>
        <w:tc>
          <w:tcPr>
            <w:tcW w:w="2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
              <w:spacing w:after="0"/>
              <w:rPr>
                <w:sz w:val="20"/>
                <w:szCs w:val="20"/>
                <w:color w:val="auto"/>
              </w:rPr>
            </w:pPr>
            <w:r>
              <w:rPr>
                <w:rFonts w:ascii="Arial" w:cs="Arial" w:eastAsia="Arial" w:hAnsi="Arial"/>
                <w:sz w:val="13"/>
                <w:szCs w:val="13"/>
                <w:color w:val="auto"/>
              </w:rPr>
              <w:t>23,029,368</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204"/>
              <w:spacing w:after="0"/>
              <w:rPr>
                <w:sz w:val="20"/>
                <w:szCs w:val="20"/>
                <w:color w:val="auto"/>
              </w:rPr>
            </w:pPr>
            <w:r>
              <w:rPr>
                <w:rFonts w:ascii="Arial" w:cs="Arial" w:eastAsia="Arial" w:hAnsi="Arial"/>
                <w:sz w:val="13"/>
                <w:szCs w:val="13"/>
                <w:color w:val="auto"/>
              </w:rPr>
              <w:t>21,520,786</w:t>
            </w:r>
          </w:p>
        </w:tc>
        <w:tc>
          <w:tcPr>
            <w:tcW w:w="1080" w:type="dxa"/>
            <w:vAlign w:val="bottom"/>
          </w:tcPr>
          <w:p>
            <w:pPr>
              <w:jc w:val="right"/>
              <w:ind w:right="82"/>
              <w:spacing w:after="0"/>
              <w:rPr>
                <w:sz w:val="20"/>
                <w:szCs w:val="20"/>
                <w:color w:val="auto"/>
              </w:rPr>
            </w:pPr>
            <w:r>
              <w:rPr>
                <w:rFonts w:ascii="Arial" w:cs="Arial" w:eastAsia="Arial" w:hAnsi="Arial"/>
                <w:sz w:val="13"/>
                <w:szCs w:val="13"/>
                <w:color w:val="auto"/>
              </w:rPr>
              <w:t>$6,531,247</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
              <w:spacing w:after="0"/>
              <w:rPr>
                <w:sz w:val="20"/>
                <w:szCs w:val="20"/>
                <w:color w:val="auto"/>
              </w:rPr>
            </w:pPr>
            <w:r>
              <w:rPr>
                <w:rFonts w:ascii="Arial" w:cs="Arial" w:eastAsia="Arial" w:hAnsi="Arial"/>
                <w:sz w:val="13"/>
                <w:szCs w:val="13"/>
                <w:color w:val="auto"/>
              </w:rPr>
              <w:t>6,230,330</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  128.65</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   149.80</w:t>
            </w:r>
          </w:p>
        </w:tc>
        <w:tc>
          <w:tcPr>
            <w:tcW w:w="1180" w:type="dxa"/>
            <w:vAlign w:val="bottom"/>
          </w:tcPr>
          <w:p>
            <w:pPr>
              <w:jc w:val="right"/>
              <w:ind w:right="221"/>
              <w:spacing w:after="0"/>
              <w:rPr>
                <w:sz w:val="20"/>
                <w:szCs w:val="20"/>
                <w:color w:val="auto"/>
              </w:rPr>
            </w:pPr>
            <w:r>
              <w:rPr>
                <w:rFonts w:ascii="Arial" w:cs="Arial" w:eastAsia="Arial" w:hAnsi="Arial"/>
                <w:sz w:val="13"/>
                <w:szCs w:val="13"/>
                <w:color w:val="auto"/>
              </w:rPr>
              <w:t>$   5,672</w:t>
            </w:r>
          </w:p>
        </w:tc>
        <w:tc>
          <w:tcPr>
            <w:tcW w:w="700" w:type="dxa"/>
            <w:vAlign w:val="bottom"/>
          </w:tcPr>
          <w:p>
            <w:pPr>
              <w:jc w:val="right"/>
              <w:spacing w:after="0"/>
              <w:rPr>
                <w:sz w:val="20"/>
                <w:szCs w:val="20"/>
                <w:color w:val="auto"/>
              </w:rPr>
            </w:pPr>
            <w:r>
              <w:rPr>
                <w:rFonts w:ascii="Arial" w:cs="Arial" w:eastAsia="Arial" w:hAnsi="Arial"/>
                <w:sz w:val="13"/>
                <w:szCs w:val="13"/>
                <w:color w:val="auto"/>
              </w:rPr>
              <w:t>22.7 %</w:t>
            </w:r>
          </w:p>
        </w:tc>
      </w:tr>
      <w:tr>
        <w:trPr>
          <w:trHeight w:val="28"/>
        </w:trPr>
        <w:tc>
          <w:tcPr>
            <w:tcW w:w="6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r>
      <w:tr>
        <w:trPr>
          <w:trHeight w:val="168"/>
        </w:trPr>
        <w:tc>
          <w:tcPr>
            <w:tcW w:w="680" w:type="dxa"/>
            <w:vAlign w:val="bottom"/>
          </w:tcPr>
          <w:p>
            <w:pPr>
              <w:ind w:left="20"/>
              <w:spacing w:after="0"/>
              <w:rPr>
                <w:sz w:val="20"/>
                <w:szCs w:val="20"/>
                <w:color w:val="auto"/>
              </w:rPr>
            </w:pPr>
            <w:r>
              <w:rPr>
                <w:rFonts w:ascii="Arial" w:cs="Arial" w:eastAsia="Arial" w:hAnsi="Arial"/>
                <w:sz w:val="13"/>
                <w:szCs w:val="13"/>
                <w:color w:val="auto"/>
              </w:rPr>
              <w:t>2022</w:t>
            </w:r>
          </w:p>
        </w:tc>
        <w:tc>
          <w:tcPr>
            <w:tcW w:w="1220" w:type="dxa"/>
            <w:vAlign w:val="bottom"/>
          </w:tcPr>
          <w:p>
            <w:pPr>
              <w:jc w:val="right"/>
              <w:ind w:right="62"/>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Arial" w:cs="Arial" w:eastAsia="Arial" w:hAnsi="Arial"/>
                <w:sz w:val="13"/>
                <w:szCs w:val="13"/>
                <w:color w:val="auto"/>
              </w:rPr>
              <w:t>25,437,598</w:t>
            </w:r>
          </w:p>
        </w:tc>
        <w:tc>
          <w:tcPr>
            <w:tcW w:w="200" w:type="dxa"/>
            <w:vAlign w:val="bottom"/>
          </w:tcPr>
          <w:p>
            <w:pPr>
              <w:spacing w:after="0"/>
              <w:rPr>
                <w:sz w:val="14"/>
                <w:szCs w:val="14"/>
                <w:color w:val="auto"/>
              </w:rPr>
            </w:pPr>
          </w:p>
        </w:tc>
        <w:tc>
          <w:tcPr>
            <w:tcW w:w="980" w:type="dxa"/>
            <w:vAlign w:val="bottom"/>
          </w:tcPr>
          <w:p>
            <w:pPr>
              <w:jc w:val="right"/>
              <w:ind w:right="204"/>
              <w:spacing w:after="0"/>
              <w:rPr>
                <w:sz w:val="20"/>
                <w:szCs w:val="20"/>
                <w:color w:val="auto"/>
              </w:rPr>
            </w:pPr>
            <w:r>
              <w:rPr>
                <w:rFonts w:ascii="Arial" w:cs="Arial" w:eastAsia="Arial" w:hAnsi="Arial"/>
                <w:sz w:val="13"/>
                <w:szCs w:val="13"/>
                <w:color w:val="auto"/>
              </w:rPr>
              <w:t>36,729,811</w:t>
            </w:r>
          </w:p>
        </w:tc>
        <w:tc>
          <w:tcPr>
            <w:tcW w:w="1080" w:type="dxa"/>
            <w:vAlign w:val="bottom"/>
          </w:tcPr>
          <w:p>
            <w:pPr>
              <w:jc w:val="right"/>
              <w:ind w:right="82"/>
              <w:spacing w:after="0"/>
              <w:rPr>
                <w:sz w:val="20"/>
                <w:szCs w:val="20"/>
                <w:color w:val="auto"/>
              </w:rPr>
            </w:pPr>
            <w:r>
              <w:rPr>
                <w:rFonts w:ascii="Arial" w:cs="Arial" w:eastAsia="Arial" w:hAnsi="Arial"/>
                <w:sz w:val="13"/>
                <w:szCs w:val="13"/>
                <w:color w:val="auto"/>
              </w:rPr>
              <w:t>8,310,085</w:t>
            </w:r>
          </w:p>
        </w:tc>
        <w:tc>
          <w:tcPr>
            <w:tcW w:w="280" w:type="dxa"/>
            <w:vAlign w:val="bottom"/>
          </w:tcPr>
          <w:p>
            <w:pPr>
              <w:spacing w:after="0"/>
              <w:rPr>
                <w:sz w:val="14"/>
                <w:szCs w:val="14"/>
                <w:color w:val="auto"/>
              </w:rPr>
            </w:pPr>
          </w:p>
        </w:tc>
        <w:tc>
          <w:tcPr>
            <w:tcW w:w="780" w:type="dxa"/>
            <w:vAlign w:val="bottom"/>
          </w:tcPr>
          <w:p>
            <w:pPr>
              <w:jc w:val="right"/>
              <w:ind w:right="4"/>
              <w:spacing w:after="0"/>
              <w:rPr>
                <w:sz w:val="20"/>
                <w:szCs w:val="20"/>
                <w:color w:val="auto"/>
              </w:rPr>
            </w:pPr>
            <w:r>
              <w:rPr>
                <w:rFonts w:ascii="Arial" w:cs="Arial" w:eastAsia="Arial" w:hAnsi="Arial"/>
                <w:sz w:val="13"/>
                <w:szCs w:val="13"/>
                <w:color w:val="auto"/>
              </w:rPr>
              <w:t>11,405,134</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128.62</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126.81</w:t>
            </w:r>
          </w:p>
        </w:tc>
        <w:tc>
          <w:tcPr>
            <w:tcW w:w="1180" w:type="dxa"/>
            <w:vAlign w:val="bottom"/>
          </w:tcPr>
          <w:p>
            <w:pPr>
              <w:jc w:val="right"/>
              <w:ind w:right="221"/>
              <w:spacing w:after="0"/>
              <w:rPr>
                <w:sz w:val="20"/>
                <w:szCs w:val="20"/>
                <w:color w:val="auto"/>
              </w:rPr>
            </w:pPr>
            <w:r>
              <w:rPr>
                <w:rFonts w:ascii="Arial" w:cs="Arial" w:eastAsia="Arial" w:hAnsi="Arial"/>
                <w:sz w:val="13"/>
                <w:szCs w:val="13"/>
                <w:color w:val="auto"/>
              </w:rPr>
              <w:t>4,967</w:t>
            </w:r>
          </w:p>
        </w:tc>
        <w:tc>
          <w:tcPr>
            <w:tcW w:w="700" w:type="dxa"/>
            <w:vAlign w:val="bottom"/>
          </w:tcPr>
          <w:p>
            <w:pPr>
              <w:jc w:val="right"/>
              <w:spacing w:after="0"/>
              <w:rPr>
                <w:sz w:val="20"/>
                <w:szCs w:val="20"/>
                <w:color w:val="auto"/>
              </w:rPr>
            </w:pPr>
            <w:r>
              <w:rPr>
                <w:rFonts w:ascii="Arial" w:cs="Arial" w:eastAsia="Arial" w:hAnsi="Arial"/>
                <w:sz w:val="13"/>
                <w:szCs w:val="13"/>
                <w:color w:val="auto"/>
              </w:rPr>
              <w:t>21.7 %</w:t>
            </w:r>
          </w:p>
        </w:tc>
      </w:tr>
      <w:tr>
        <w:trPr>
          <w:trHeight w:val="28"/>
        </w:trPr>
        <w:tc>
          <w:tcPr>
            <w:tcW w:w="6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r>
      <w:tr>
        <w:trPr>
          <w:trHeight w:val="168"/>
        </w:trPr>
        <w:tc>
          <w:tcPr>
            <w:tcW w:w="680" w:type="dxa"/>
            <w:vAlign w:val="bottom"/>
          </w:tcPr>
          <w:p>
            <w:pPr>
              <w:ind w:left="20"/>
              <w:spacing w:after="0"/>
              <w:rPr>
                <w:sz w:val="20"/>
                <w:szCs w:val="20"/>
                <w:color w:val="auto"/>
              </w:rPr>
            </w:pPr>
            <w:r>
              <w:rPr>
                <w:rFonts w:ascii="Arial" w:cs="Arial" w:eastAsia="Arial" w:hAnsi="Arial"/>
                <w:sz w:val="13"/>
                <w:szCs w:val="13"/>
                <w:color w:val="auto"/>
              </w:rPr>
              <w:t>2021</w:t>
            </w:r>
          </w:p>
        </w:tc>
        <w:tc>
          <w:tcPr>
            <w:tcW w:w="1220" w:type="dxa"/>
            <w:vAlign w:val="bottom"/>
          </w:tcPr>
          <w:p>
            <w:pPr>
              <w:jc w:val="right"/>
              <w:ind w:right="62"/>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Arial" w:cs="Arial" w:eastAsia="Arial" w:hAnsi="Arial"/>
                <w:sz w:val="13"/>
                <w:szCs w:val="13"/>
                <w:color w:val="auto"/>
              </w:rPr>
              <w:t>26,100,120</w:t>
            </w:r>
          </w:p>
        </w:tc>
        <w:tc>
          <w:tcPr>
            <w:tcW w:w="200" w:type="dxa"/>
            <w:vAlign w:val="bottom"/>
          </w:tcPr>
          <w:p>
            <w:pPr>
              <w:spacing w:after="0"/>
              <w:rPr>
                <w:sz w:val="14"/>
                <w:szCs w:val="14"/>
                <w:color w:val="auto"/>
              </w:rPr>
            </w:pPr>
          </w:p>
        </w:tc>
        <w:tc>
          <w:tcPr>
            <w:tcW w:w="980" w:type="dxa"/>
            <w:vAlign w:val="bottom"/>
          </w:tcPr>
          <w:p>
            <w:pPr>
              <w:jc w:val="right"/>
              <w:ind w:right="204"/>
              <w:spacing w:after="0"/>
              <w:rPr>
                <w:sz w:val="20"/>
                <w:szCs w:val="20"/>
                <w:color w:val="auto"/>
              </w:rPr>
            </w:pPr>
            <w:r>
              <w:rPr>
                <w:rFonts w:ascii="Arial" w:cs="Arial" w:eastAsia="Arial" w:hAnsi="Arial"/>
                <w:sz w:val="13"/>
                <w:szCs w:val="13"/>
                <w:color w:val="auto"/>
              </w:rPr>
              <w:t>15,687,973</w:t>
            </w:r>
          </w:p>
        </w:tc>
        <w:tc>
          <w:tcPr>
            <w:tcW w:w="1080" w:type="dxa"/>
            <w:vAlign w:val="bottom"/>
          </w:tcPr>
          <w:p>
            <w:pPr>
              <w:jc w:val="right"/>
              <w:ind w:right="82"/>
              <w:spacing w:after="0"/>
              <w:rPr>
                <w:sz w:val="20"/>
                <w:szCs w:val="20"/>
                <w:color w:val="auto"/>
              </w:rPr>
            </w:pPr>
            <w:r>
              <w:rPr>
                <w:rFonts w:ascii="Arial" w:cs="Arial" w:eastAsia="Arial" w:hAnsi="Arial"/>
                <w:sz w:val="13"/>
                <w:szCs w:val="13"/>
                <w:color w:val="auto"/>
              </w:rPr>
              <w:t>7,489,516</w:t>
            </w:r>
          </w:p>
        </w:tc>
        <w:tc>
          <w:tcPr>
            <w:tcW w:w="280" w:type="dxa"/>
            <w:vAlign w:val="bottom"/>
          </w:tcPr>
          <w:p>
            <w:pPr>
              <w:spacing w:after="0"/>
              <w:rPr>
                <w:sz w:val="14"/>
                <w:szCs w:val="14"/>
                <w:color w:val="auto"/>
              </w:rPr>
            </w:pPr>
          </w:p>
        </w:tc>
        <w:tc>
          <w:tcPr>
            <w:tcW w:w="780" w:type="dxa"/>
            <w:vAlign w:val="bottom"/>
          </w:tcPr>
          <w:p>
            <w:pPr>
              <w:jc w:val="right"/>
              <w:ind w:right="4"/>
              <w:spacing w:after="0"/>
              <w:rPr>
                <w:sz w:val="20"/>
                <w:szCs w:val="20"/>
                <w:color w:val="auto"/>
              </w:rPr>
            </w:pPr>
            <w:r>
              <w:rPr>
                <w:rFonts w:ascii="Arial" w:cs="Arial" w:eastAsia="Arial" w:hAnsi="Arial"/>
                <w:sz w:val="13"/>
                <w:szCs w:val="13"/>
                <w:color w:val="auto"/>
              </w:rPr>
              <w:t>5,024,129</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122.61</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134.29</w:t>
            </w:r>
          </w:p>
        </w:tc>
        <w:tc>
          <w:tcPr>
            <w:tcW w:w="1180" w:type="dxa"/>
            <w:vAlign w:val="bottom"/>
          </w:tcPr>
          <w:p>
            <w:pPr>
              <w:jc w:val="right"/>
              <w:ind w:right="221"/>
              <w:spacing w:after="0"/>
              <w:rPr>
                <w:sz w:val="20"/>
                <w:szCs w:val="20"/>
                <w:color w:val="auto"/>
              </w:rPr>
            </w:pPr>
            <w:r>
              <w:rPr>
                <w:rFonts w:ascii="Arial" w:cs="Arial" w:eastAsia="Arial" w:hAnsi="Arial"/>
                <w:sz w:val="13"/>
                <w:szCs w:val="13"/>
                <w:color w:val="auto"/>
              </w:rPr>
              <w:t>5,610</w:t>
            </w:r>
          </w:p>
        </w:tc>
        <w:tc>
          <w:tcPr>
            <w:tcW w:w="700" w:type="dxa"/>
            <w:vAlign w:val="bottom"/>
          </w:tcPr>
          <w:p>
            <w:pPr>
              <w:jc w:val="right"/>
              <w:spacing w:after="0"/>
              <w:rPr>
                <w:sz w:val="20"/>
                <w:szCs w:val="20"/>
                <w:color w:val="auto"/>
              </w:rPr>
            </w:pPr>
            <w:r>
              <w:rPr>
                <w:rFonts w:ascii="Arial" w:cs="Arial" w:eastAsia="Arial" w:hAnsi="Arial"/>
                <w:sz w:val="13"/>
                <w:szCs w:val="13"/>
                <w:color w:val="auto"/>
              </w:rPr>
              <w:t>21.0 %</w:t>
            </w:r>
          </w:p>
        </w:tc>
      </w:tr>
      <w:tr>
        <w:trPr>
          <w:trHeight w:val="28"/>
        </w:trPr>
        <w:tc>
          <w:tcPr>
            <w:tcW w:w="680" w:type="dxa"/>
            <w:vAlign w:val="bottom"/>
            <w:tcBorders>
              <w:bottom w:val="single" w:sz="8" w:color="939598"/>
            </w:tcBorders>
          </w:tcPr>
          <w:p>
            <w:pPr>
              <w:spacing w:after="0"/>
              <w:rPr>
                <w:sz w:val="2"/>
                <w:szCs w:val="2"/>
                <w:color w:val="auto"/>
              </w:rPr>
            </w:pPr>
          </w:p>
        </w:tc>
        <w:tc>
          <w:tcPr>
            <w:tcW w:w="1220" w:type="dxa"/>
            <w:vAlign w:val="bottom"/>
            <w:tcBorders>
              <w:bottom w:val="single" w:sz="8" w:color="939598"/>
            </w:tcBorders>
          </w:tcPr>
          <w:p>
            <w:pPr>
              <w:spacing w:after="0"/>
              <w:rPr>
                <w:sz w:val="2"/>
                <w:szCs w:val="2"/>
                <w:color w:val="auto"/>
              </w:rPr>
            </w:pPr>
          </w:p>
        </w:tc>
        <w:tc>
          <w:tcPr>
            <w:tcW w:w="94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0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980" w:type="dxa"/>
            <w:vAlign w:val="bottom"/>
            <w:tcBorders>
              <w:bottom w:val="single" w:sz="8" w:color="939598"/>
            </w:tcBorders>
          </w:tcPr>
          <w:p>
            <w:pPr>
              <w:spacing w:after="0"/>
              <w:rPr>
                <w:sz w:val="2"/>
                <w:szCs w:val="2"/>
                <w:color w:val="auto"/>
              </w:rPr>
            </w:pPr>
          </w:p>
        </w:tc>
        <w:tc>
          <w:tcPr>
            <w:tcW w:w="108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780" w:type="dxa"/>
            <w:vAlign w:val="bottom"/>
            <w:tcBorders>
              <w:bottom w:val="single" w:sz="8" w:color="939598"/>
            </w:tcBorders>
          </w:tcPr>
          <w:p>
            <w:pPr>
              <w:spacing w:after="0"/>
              <w:rPr>
                <w:sz w:val="2"/>
                <w:szCs w:val="2"/>
                <w:color w:val="auto"/>
              </w:rPr>
            </w:pPr>
          </w:p>
        </w:tc>
        <w:tc>
          <w:tcPr>
            <w:tcW w:w="1140" w:type="dxa"/>
            <w:vAlign w:val="bottom"/>
            <w:tcBorders>
              <w:bottom w:val="single" w:sz="8" w:color="939598"/>
            </w:tcBorders>
          </w:tcPr>
          <w:p>
            <w:pPr>
              <w:spacing w:after="0"/>
              <w:rPr>
                <w:sz w:val="2"/>
                <w:szCs w:val="2"/>
                <w:color w:val="auto"/>
              </w:rPr>
            </w:pPr>
          </w:p>
        </w:tc>
        <w:tc>
          <w:tcPr>
            <w:tcW w:w="1000" w:type="dxa"/>
            <w:vAlign w:val="bottom"/>
            <w:tcBorders>
              <w:bottom w:val="single" w:sz="8" w:color="939598"/>
            </w:tcBorders>
          </w:tcPr>
          <w:p>
            <w:pPr>
              <w:spacing w:after="0"/>
              <w:rPr>
                <w:sz w:val="2"/>
                <w:szCs w:val="2"/>
                <w:color w:val="auto"/>
              </w:rPr>
            </w:pPr>
          </w:p>
        </w:tc>
        <w:tc>
          <w:tcPr>
            <w:tcW w:w="1180" w:type="dxa"/>
            <w:vAlign w:val="bottom"/>
            <w:tcBorders>
              <w:bottom w:val="single" w:sz="8" w:color="939598"/>
            </w:tcBorders>
          </w:tcPr>
          <w:p>
            <w:pPr>
              <w:spacing w:after="0"/>
              <w:rPr>
                <w:sz w:val="2"/>
                <w:szCs w:val="2"/>
                <w:color w:val="auto"/>
              </w:rPr>
            </w:pPr>
          </w:p>
        </w:tc>
        <w:tc>
          <w:tcPr>
            <w:tcW w:w="700" w:type="dxa"/>
            <w:vAlign w:val="bottom"/>
            <w:tcBorders>
              <w:bottom w:val="single" w:sz="8" w:color="939598"/>
            </w:tcBorders>
          </w:tcPr>
          <w:p>
            <w:pPr>
              <w:spacing w:after="0"/>
              <w:rPr>
                <w:sz w:val="2"/>
                <w:szCs w:val="2"/>
                <w:color w:val="auto"/>
              </w:rPr>
            </w:pPr>
          </w:p>
        </w:tc>
      </w:tr>
      <w:tr>
        <w:trPr>
          <w:trHeight w:val="169"/>
        </w:trPr>
        <w:tc>
          <w:tcPr>
            <w:tcW w:w="680" w:type="dxa"/>
            <w:vAlign w:val="bottom"/>
          </w:tcPr>
          <w:p>
            <w:pPr>
              <w:ind w:left="20"/>
              <w:spacing w:after="0"/>
              <w:rPr>
                <w:sz w:val="20"/>
                <w:szCs w:val="20"/>
                <w:color w:val="auto"/>
              </w:rPr>
            </w:pPr>
            <w:r>
              <w:rPr>
                <w:rFonts w:ascii="Arial" w:cs="Arial" w:eastAsia="Arial" w:hAnsi="Arial"/>
                <w:sz w:val="13"/>
                <w:szCs w:val="13"/>
                <w:color w:val="auto"/>
              </w:rPr>
              <w:t>2020</w:t>
            </w:r>
          </w:p>
        </w:tc>
        <w:tc>
          <w:tcPr>
            <w:tcW w:w="1220" w:type="dxa"/>
            <w:vAlign w:val="bottom"/>
          </w:tcPr>
          <w:p>
            <w:pPr>
              <w:jc w:val="right"/>
              <w:ind w:right="62"/>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Arial" w:cs="Arial" w:eastAsia="Arial" w:hAnsi="Arial"/>
                <w:sz w:val="13"/>
                <w:szCs w:val="13"/>
                <w:color w:val="auto"/>
              </w:rPr>
              <w:t>19,075,281</w:t>
            </w:r>
          </w:p>
        </w:tc>
        <w:tc>
          <w:tcPr>
            <w:tcW w:w="200" w:type="dxa"/>
            <w:vAlign w:val="bottom"/>
          </w:tcPr>
          <w:p>
            <w:pPr>
              <w:spacing w:after="0"/>
              <w:rPr>
                <w:sz w:val="14"/>
                <w:szCs w:val="14"/>
                <w:color w:val="auto"/>
              </w:rPr>
            </w:pPr>
          </w:p>
        </w:tc>
        <w:tc>
          <w:tcPr>
            <w:tcW w:w="980" w:type="dxa"/>
            <w:vAlign w:val="bottom"/>
          </w:tcPr>
          <w:p>
            <w:pPr>
              <w:jc w:val="right"/>
              <w:ind w:right="204"/>
              <w:spacing w:after="0"/>
              <w:rPr>
                <w:sz w:val="20"/>
                <w:szCs w:val="20"/>
                <w:color w:val="auto"/>
              </w:rPr>
            </w:pPr>
            <w:r>
              <w:rPr>
                <w:rFonts w:ascii="Arial" w:cs="Arial" w:eastAsia="Arial" w:hAnsi="Arial"/>
                <w:sz w:val="13"/>
                <w:szCs w:val="13"/>
                <w:color w:val="auto"/>
              </w:rPr>
              <w:t>34,603,009</w:t>
            </w:r>
          </w:p>
        </w:tc>
        <w:tc>
          <w:tcPr>
            <w:tcW w:w="1080" w:type="dxa"/>
            <w:vAlign w:val="bottom"/>
          </w:tcPr>
          <w:p>
            <w:pPr>
              <w:jc w:val="right"/>
              <w:ind w:right="82"/>
              <w:spacing w:after="0"/>
              <w:rPr>
                <w:sz w:val="20"/>
                <w:szCs w:val="20"/>
                <w:color w:val="auto"/>
              </w:rPr>
            </w:pPr>
            <w:r>
              <w:rPr>
                <w:rFonts w:ascii="Arial" w:cs="Arial" w:eastAsia="Arial" w:hAnsi="Arial"/>
                <w:sz w:val="13"/>
                <w:szCs w:val="13"/>
                <w:color w:val="auto"/>
              </w:rPr>
              <w:t>6,138,970</w:t>
            </w:r>
          </w:p>
        </w:tc>
        <w:tc>
          <w:tcPr>
            <w:tcW w:w="280" w:type="dxa"/>
            <w:vAlign w:val="bottom"/>
          </w:tcPr>
          <w:p>
            <w:pPr>
              <w:spacing w:after="0"/>
              <w:rPr>
                <w:sz w:val="14"/>
                <w:szCs w:val="14"/>
                <w:color w:val="auto"/>
              </w:rPr>
            </w:pPr>
          </w:p>
        </w:tc>
        <w:tc>
          <w:tcPr>
            <w:tcW w:w="780" w:type="dxa"/>
            <w:vAlign w:val="bottom"/>
          </w:tcPr>
          <w:p>
            <w:pPr>
              <w:jc w:val="right"/>
              <w:ind w:right="4"/>
              <w:spacing w:after="0"/>
              <w:rPr>
                <w:sz w:val="20"/>
                <w:szCs w:val="20"/>
                <w:color w:val="auto"/>
              </w:rPr>
            </w:pPr>
            <w:r>
              <w:rPr>
                <w:rFonts w:ascii="Arial" w:cs="Arial" w:eastAsia="Arial" w:hAnsi="Arial"/>
                <w:sz w:val="13"/>
                <w:szCs w:val="13"/>
                <w:color w:val="auto"/>
              </w:rPr>
              <w:t>11,366,412</w:t>
            </w:r>
          </w:p>
        </w:tc>
        <w:tc>
          <w:tcPr>
            <w:tcW w:w="1140" w:type="dxa"/>
            <w:vAlign w:val="bottom"/>
          </w:tcPr>
          <w:p>
            <w:pPr>
              <w:jc w:val="right"/>
              <w:ind w:right="162"/>
              <w:spacing w:after="0"/>
              <w:rPr>
                <w:sz w:val="20"/>
                <w:szCs w:val="20"/>
                <w:color w:val="auto"/>
              </w:rPr>
            </w:pPr>
            <w:r>
              <w:rPr>
                <w:rFonts w:ascii="Arial" w:cs="Arial" w:eastAsia="Arial" w:hAnsi="Arial"/>
                <w:sz w:val="13"/>
                <w:szCs w:val="13"/>
                <w:color w:val="auto"/>
              </w:rPr>
              <w:t>122.97</w:t>
            </w:r>
          </w:p>
        </w:tc>
        <w:tc>
          <w:tcPr>
            <w:tcW w:w="1000" w:type="dxa"/>
            <w:vAlign w:val="bottom"/>
          </w:tcPr>
          <w:p>
            <w:pPr>
              <w:jc w:val="right"/>
              <w:ind w:right="2"/>
              <w:spacing w:after="0"/>
              <w:rPr>
                <w:sz w:val="20"/>
                <w:szCs w:val="20"/>
                <w:color w:val="auto"/>
              </w:rPr>
            </w:pPr>
            <w:r>
              <w:rPr>
                <w:rFonts w:ascii="Arial" w:cs="Arial" w:eastAsia="Arial" w:hAnsi="Arial"/>
                <w:sz w:val="13"/>
                <w:szCs w:val="13"/>
                <w:color w:val="auto"/>
              </w:rPr>
              <w:t>110.91</w:t>
            </w:r>
          </w:p>
        </w:tc>
        <w:tc>
          <w:tcPr>
            <w:tcW w:w="1180" w:type="dxa"/>
            <w:vAlign w:val="bottom"/>
          </w:tcPr>
          <w:p>
            <w:pPr>
              <w:jc w:val="right"/>
              <w:ind w:right="221"/>
              <w:spacing w:after="0"/>
              <w:rPr>
                <w:sz w:val="20"/>
                <w:szCs w:val="20"/>
                <w:color w:val="auto"/>
              </w:rPr>
            </w:pPr>
            <w:r>
              <w:rPr>
                <w:rFonts w:ascii="Arial" w:cs="Arial" w:eastAsia="Arial" w:hAnsi="Arial"/>
                <w:sz w:val="13"/>
                <w:szCs w:val="13"/>
                <w:color w:val="auto"/>
              </w:rPr>
              <w:t>4,865</w:t>
            </w:r>
          </w:p>
        </w:tc>
        <w:tc>
          <w:tcPr>
            <w:tcW w:w="700" w:type="dxa"/>
            <w:vAlign w:val="bottom"/>
          </w:tcPr>
          <w:p>
            <w:pPr>
              <w:jc w:val="right"/>
              <w:spacing w:after="0"/>
              <w:rPr>
                <w:sz w:val="20"/>
                <w:szCs w:val="20"/>
                <w:color w:val="auto"/>
              </w:rPr>
            </w:pPr>
            <w:r>
              <w:rPr>
                <w:rFonts w:ascii="Arial" w:cs="Arial" w:eastAsia="Arial" w:hAnsi="Arial"/>
                <w:sz w:val="13"/>
                <w:szCs w:val="13"/>
                <w:color w:val="auto"/>
              </w:rPr>
              <w:t>20.4 %</w:t>
            </w:r>
          </w:p>
        </w:tc>
      </w:tr>
      <w:tr>
        <w:trPr>
          <w:trHeight w:val="28"/>
        </w:trPr>
        <w:tc>
          <w:tcPr>
            <w:tcW w:w="680" w:type="dxa"/>
            <w:vAlign w:val="bottom"/>
            <w:tcBorders>
              <w:bottom w:val="single" w:sz="8" w:color="D7282F"/>
            </w:tcBorders>
          </w:tcPr>
          <w:p>
            <w:pPr>
              <w:spacing w:after="0"/>
              <w:rPr>
                <w:sz w:val="2"/>
                <w:szCs w:val="2"/>
                <w:color w:val="auto"/>
              </w:rPr>
            </w:pPr>
          </w:p>
        </w:tc>
        <w:tc>
          <w:tcPr>
            <w:tcW w:w="1220" w:type="dxa"/>
            <w:vAlign w:val="bottom"/>
            <w:tcBorders>
              <w:bottom w:val="single" w:sz="8" w:color="D7282F"/>
            </w:tcBorders>
          </w:tcPr>
          <w:p>
            <w:pPr>
              <w:spacing w:after="0"/>
              <w:rPr>
                <w:sz w:val="2"/>
                <w:szCs w:val="2"/>
                <w:color w:val="auto"/>
              </w:rPr>
            </w:pPr>
          </w:p>
        </w:tc>
        <w:tc>
          <w:tcPr>
            <w:tcW w:w="94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800" w:type="dxa"/>
            <w:vAlign w:val="bottom"/>
            <w:tcBorders>
              <w:bottom w:val="single" w:sz="8" w:color="D7282F"/>
            </w:tcBorders>
          </w:tcPr>
          <w:p>
            <w:pPr>
              <w:spacing w:after="0"/>
              <w:rPr>
                <w:sz w:val="2"/>
                <w:szCs w:val="2"/>
                <w:color w:val="auto"/>
              </w:rPr>
            </w:pPr>
          </w:p>
        </w:tc>
        <w:tc>
          <w:tcPr>
            <w:tcW w:w="200" w:type="dxa"/>
            <w:vAlign w:val="bottom"/>
            <w:tcBorders>
              <w:bottom w:val="single" w:sz="8" w:color="D7282F"/>
            </w:tcBorders>
          </w:tcPr>
          <w:p>
            <w:pPr>
              <w:spacing w:after="0"/>
              <w:rPr>
                <w:sz w:val="2"/>
                <w:szCs w:val="2"/>
                <w:color w:val="auto"/>
              </w:rPr>
            </w:pPr>
          </w:p>
        </w:tc>
        <w:tc>
          <w:tcPr>
            <w:tcW w:w="980" w:type="dxa"/>
            <w:vAlign w:val="bottom"/>
            <w:tcBorders>
              <w:bottom w:val="single" w:sz="8" w:color="D7282F"/>
            </w:tcBorders>
          </w:tcPr>
          <w:p>
            <w:pPr>
              <w:spacing w:after="0"/>
              <w:rPr>
                <w:sz w:val="2"/>
                <w:szCs w:val="2"/>
                <w:color w:val="auto"/>
              </w:rPr>
            </w:pPr>
          </w:p>
        </w:tc>
        <w:tc>
          <w:tcPr>
            <w:tcW w:w="1080" w:type="dxa"/>
            <w:vAlign w:val="bottom"/>
            <w:tcBorders>
              <w:bottom w:val="single" w:sz="8" w:color="D7282F"/>
            </w:tcBorders>
          </w:tcPr>
          <w:p>
            <w:pPr>
              <w:spacing w:after="0"/>
              <w:rPr>
                <w:sz w:val="2"/>
                <w:szCs w:val="2"/>
                <w:color w:val="auto"/>
              </w:rPr>
            </w:pPr>
          </w:p>
        </w:tc>
        <w:tc>
          <w:tcPr>
            <w:tcW w:w="280" w:type="dxa"/>
            <w:vAlign w:val="bottom"/>
            <w:tcBorders>
              <w:bottom w:val="single" w:sz="8" w:color="D7282F"/>
            </w:tcBorders>
          </w:tcPr>
          <w:p>
            <w:pPr>
              <w:spacing w:after="0"/>
              <w:rPr>
                <w:sz w:val="2"/>
                <w:szCs w:val="2"/>
                <w:color w:val="auto"/>
              </w:rPr>
            </w:pPr>
          </w:p>
        </w:tc>
        <w:tc>
          <w:tcPr>
            <w:tcW w:w="780" w:type="dxa"/>
            <w:vAlign w:val="bottom"/>
            <w:tcBorders>
              <w:bottom w:val="single" w:sz="8" w:color="D7282F"/>
            </w:tcBorders>
          </w:tcPr>
          <w:p>
            <w:pPr>
              <w:spacing w:after="0"/>
              <w:rPr>
                <w:sz w:val="2"/>
                <w:szCs w:val="2"/>
                <w:color w:val="auto"/>
              </w:rPr>
            </w:pPr>
          </w:p>
        </w:tc>
        <w:tc>
          <w:tcPr>
            <w:tcW w:w="1140" w:type="dxa"/>
            <w:vAlign w:val="bottom"/>
            <w:tcBorders>
              <w:bottom w:val="single" w:sz="8" w:color="D7282F"/>
            </w:tcBorders>
          </w:tcPr>
          <w:p>
            <w:pPr>
              <w:spacing w:after="0"/>
              <w:rPr>
                <w:sz w:val="2"/>
                <w:szCs w:val="2"/>
                <w:color w:val="auto"/>
              </w:rPr>
            </w:pPr>
          </w:p>
        </w:tc>
        <w:tc>
          <w:tcPr>
            <w:tcW w:w="1000" w:type="dxa"/>
            <w:vAlign w:val="bottom"/>
            <w:tcBorders>
              <w:bottom w:val="single" w:sz="8" w:color="D7282F"/>
            </w:tcBorders>
          </w:tcPr>
          <w:p>
            <w:pPr>
              <w:spacing w:after="0"/>
              <w:rPr>
                <w:sz w:val="2"/>
                <w:szCs w:val="2"/>
                <w:color w:val="auto"/>
              </w:rPr>
            </w:pPr>
          </w:p>
        </w:tc>
        <w:tc>
          <w:tcPr>
            <w:tcW w:w="1180" w:type="dxa"/>
            <w:vAlign w:val="bottom"/>
            <w:tcBorders>
              <w:bottom w:val="single" w:sz="8" w:color="D7282F"/>
            </w:tcBorders>
          </w:tcPr>
          <w:p>
            <w:pPr>
              <w:spacing w:after="0"/>
              <w:rPr>
                <w:sz w:val="2"/>
                <w:szCs w:val="2"/>
                <w:color w:val="auto"/>
              </w:rPr>
            </w:pPr>
          </w:p>
        </w:tc>
        <w:tc>
          <w:tcPr>
            <w:tcW w:w="700" w:type="dxa"/>
            <w:vAlign w:val="bottom"/>
            <w:tcBorders>
              <w:bottom w:val="single" w:sz="8" w:color="D7282F"/>
            </w:tcBorders>
          </w:tcPr>
          <w:p>
            <w:pPr>
              <w:spacing w:after="0"/>
              <w:rPr>
                <w:sz w:val="2"/>
                <w:szCs w:val="2"/>
                <w:color w:val="auto"/>
              </w:rPr>
            </w:pPr>
          </w:p>
        </w:tc>
      </w:tr>
    </w:tbl>
    <w:p>
      <w:pPr>
        <w:spacing w:after="0" w:line="167" w:lineRule="exact"/>
        <w:rPr>
          <w:sz w:val="20"/>
          <w:szCs w:val="20"/>
          <w:color w:val="auto"/>
        </w:rPr>
      </w:pPr>
    </w:p>
    <w:p>
      <w:pPr>
        <w:ind w:left="200" w:hanging="192"/>
        <w:spacing w:after="0"/>
        <w:tabs>
          <w:tab w:leader="none" w:pos="200" w:val="left"/>
        </w:tabs>
        <w:numPr>
          <w:ilvl w:val="0"/>
          <w:numId w:val="197"/>
        </w:numPr>
        <w:rPr>
          <w:rFonts w:ascii="Arial" w:cs="Arial" w:eastAsia="Arial" w:hAnsi="Arial"/>
          <w:sz w:val="16"/>
          <w:szCs w:val="16"/>
          <w:color w:val="auto"/>
          <w:vertAlign w:val="superscript"/>
        </w:rPr>
      </w:pPr>
      <w:r>
        <w:rPr>
          <w:rFonts w:ascii="Arial" w:cs="Arial" w:eastAsia="Arial" w:hAnsi="Arial"/>
          <w:sz w:val="13"/>
          <w:szCs w:val="13"/>
          <w:color w:val="auto"/>
        </w:rPr>
        <w:t>The PEO(s) and Non-PEO NEOs included in the above compensation columns reflect the following:</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1060" w:type="dxa"/>
            <w:vAlign w:val="bottom"/>
          </w:tcPr>
          <w:p>
            <w:pPr>
              <w:ind w:left="20"/>
              <w:spacing w:after="0"/>
              <w:rPr>
                <w:sz w:val="20"/>
                <w:szCs w:val="20"/>
                <w:color w:val="auto"/>
              </w:rPr>
            </w:pPr>
            <w:r>
              <w:rPr>
                <w:rFonts w:ascii="Arial" w:cs="Arial" w:eastAsia="Arial" w:hAnsi="Arial"/>
                <w:sz w:val="13"/>
                <w:szCs w:val="13"/>
                <w:b w:val="1"/>
                <w:bCs w:val="1"/>
                <w:color w:val="auto"/>
              </w:rPr>
              <w:t>Year</w:t>
            </w:r>
          </w:p>
        </w:tc>
        <w:tc>
          <w:tcPr>
            <w:tcW w:w="3400" w:type="dxa"/>
            <w:vAlign w:val="bottom"/>
          </w:tcPr>
          <w:p>
            <w:pPr>
              <w:ind w:left="2060"/>
              <w:spacing w:after="0"/>
              <w:rPr>
                <w:sz w:val="20"/>
                <w:szCs w:val="20"/>
                <w:color w:val="auto"/>
              </w:rPr>
            </w:pPr>
            <w:r>
              <w:rPr>
                <w:rFonts w:ascii="Arial" w:cs="Arial" w:eastAsia="Arial" w:hAnsi="Arial"/>
                <w:sz w:val="13"/>
                <w:szCs w:val="13"/>
                <w:b w:val="1"/>
                <w:bCs w:val="1"/>
                <w:color w:val="auto"/>
              </w:rPr>
              <w:t>PEO (CEO)</w:t>
            </w:r>
          </w:p>
        </w:tc>
        <w:tc>
          <w:tcPr>
            <w:tcW w:w="6300" w:type="dxa"/>
            <w:vAlign w:val="bottom"/>
          </w:tcPr>
          <w:p>
            <w:pPr>
              <w:ind w:left="3020"/>
              <w:spacing w:after="0"/>
              <w:rPr>
                <w:sz w:val="20"/>
                <w:szCs w:val="20"/>
                <w:color w:val="auto"/>
              </w:rPr>
            </w:pPr>
            <w:r>
              <w:rPr>
                <w:rFonts w:ascii="Arial" w:cs="Arial" w:eastAsia="Arial" w:hAnsi="Arial"/>
                <w:sz w:val="13"/>
                <w:szCs w:val="13"/>
                <w:b w:val="1"/>
                <w:bCs w:val="1"/>
                <w:color w:val="auto"/>
              </w:rPr>
              <w:t>Non-PEO NEOs</w:t>
            </w:r>
          </w:p>
        </w:tc>
        <w:tc>
          <w:tcPr>
            <w:tcW w:w="0" w:type="dxa"/>
            <w:vAlign w:val="bottom"/>
          </w:tcPr>
          <w:p>
            <w:pPr>
              <w:spacing w:after="0"/>
              <w:rPr>
                <w:sz w:val="1"/>
                <w:szCs w:val="1"/>
                <w:color w:val="auto"/>
              </w:rPr>
            </w:pPr>
          </w:p>
        </w:tc>
      </w:tr>
      <w:tr>
        <w:trPr>
          <w:trHeight w:val="22"/>
        </w:trPr>
        <w:tc>
          <w:tcPr>
            <w:tcW w:w="1060" w:type="dxa"/>
            <w:vAlign w:val="bottom"/>
            <w:tcBorders>
              <w:bottom w:val="single" w:sz="8" w:color="D7282F"/>
            </w:tcBorders>
          </w:tcPr>
          <w:p>
            <w:pPr>
              <w:spacing w:after="0" w:line="20" w:lineRule="exact"/>
              <w:rPr>
                <w:sz w:val="1"/>
                <w:szCs w:val="1"/>
                <w:color w:val="auto"/>
              </w:rPr>
            </w:pPr>
          </w:p>
        </w:tc>
        <w:tc>
          <w:tcPr>
            <w:tcW w:w="3400" w:type="dxa"/>
            <w:vAlign w:val="bottom"/>
            <w:tcBorders>
              <w:bottom w:val="single" w:sz="8" w:color="D7282F"/>
            </w:tcBorders>
          </w:tcPr>
          <w:p>
            <w:pPr>
              <w:spacing w:after="0" w:line="20" w:lineRule="exact"/>
              <w:rPr>
                <w:sz w:val="1"/>
                <w:szCs w:val="1"/>
                <w:color w:val="auto"/>
              </w:rPr>
            </w:pPr>
          </w:p>
        </w:tc>
        <w:tc>
          <w:tcPr>
            <w:tcW w:w="6300" w:type="dxa"/>
            <w:vAlign w:val="bottom"/>
            <w:tcBorders>
              <w:bottom w:val="single" w:sz="8" w:color="D7282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2023</w:t>
            </w:r>
          </w:p>
        </w:tc>
        <w:tc>
          <w:tcPr>
            <w:tcW w:w="3400" w:type="dxa"/>
            <w:vAlign w:val="bottom"/>
            <w:vMerge w:val="restart"/>
          </w:tcPr>
          <w:p>
            <w:pPr>
              <w:ind w:left="760"/>
              <w:spacing w:after="0"/>
              <w:rPr>
                <w:sz w:val="20"/>
                <w:szCs w:val="20"/>
                <w:color w:val="auto"/>
              </w:rPr>
            </w:pPr>
            <w:r>
              <w:rPr>
                <w:rFonts w:ascii="Arial" w:cs="Arial" w:eastAsia="Arial" w:hAnsi="Arial"/>
                <w:sz w:val="13"/>
                <w:szCs w:val="13"/>
                <w:color w:val="auto"/>
              </w:rPr>
              <w:t>Vimal Kapur, Darius Adamczyk</w:t>
            </w:r>
          </w:p>
        </w:tc>
        <w:tc>
          <w:tcPr>
            <w:tcW w:w="6300" w:type="dxa"/>
            <w:vAlign w:val="bottom"/>
          </w:tcPr>
          <w:p>
            <w:pPr>
              <w:ind w:left="660"/>
              <w:spacing w:after="0"/>
              <w:rPr>
                <w:sz w:val="20"/>
                <w:szCs w:val="20"/>
                <w:color w:val="auto"/>
              </w:rPr>
            </w:pPr>
            <w:r>
              <w:rPr>
                <w:rFonts w:ascii="Arial" w:cs="Arial" w:eastAsia="Arial" w:hAnsi="Arial"/>
                <w:sz w:val="13"/>
                <w:szCs w:val="13"/>
                <w:color w:val="auto"/>
              </w:rPr>
              <w:t>Gregory P. Lewis, Anne T. Madden, Lucian Boldea, James Currier</w:t>
            </w:r>
          </w:p>
        </w:tc>
        <w:tc>
          <w:tcPr>
            <w:tcW w:w="0" w:type="dxa"/>
            <w:vAlign w:val="bottom"/>
          </w:tcPr>
          <w:p>
            <w:pPr>
              <w:spacing w:after="0"/>
              <w:rPr>
                <w:sz w:val="1"/>
                <w:szCs w:val="1"/>
                <w:color w:val="auto"/>
              </w:rPr>
            </w:pPr>
          </w:p>
        </w:tc>
      </w:tr>
      <w:tr>
        <w:trPr>
          <w:trHeight w:val="108"/>
        </w:trPr>
        <w:tc>
          <w:tcPr>
            <w:tcW w:w="1060" w:type="dxa"/>
            <w:vAlign w:val="bottom"/>
          </w:tcPr>
          <w:p>
            <w:pPr>
              <w:spacing w:after="0"/>
              <w:rPr>
                <w:sz w:val="9"/>
                <w:szCs w:val="9"/>
                <w:color w:val="auto"/>
              </w:rPr>
            </w:pPr>
          </w:p>
        </w:tc>
        <w:tc>
          <w:tcPr>
            <w:tcW w:w="3400" w:type="dxa"/>
            <w:vAlign w:val="bottom"/>
            <w:vMerge w:val="continue"/>
          </w:tcPr>
          <w:p>
            <w:pPr>
              <w:spacing w:after="0"/>
              <w:rPr>
                <w:sz w:val="9"/>
                <w:szCs w:val="9"/>
                <w:color w:val="auto"/>
              </w:rPr>
            </w:pPr>
          </w:p>
        </w:tc>
        <w:tc>
          <w:tcPr>
            <w:tcW w:w="6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060" w:type="dxa"/>
            <w:vAlign w:val="bottom"/>
            <w:tcBorders>
              <w:bottom w:val="single" w:sz="8" w:color="939598"/>
            </w:tcBorders>
          </w:tcPr>
          <w:p>
            <w:pPr>
              <w:spacing w:after="0"/>
              <w:rPr>
                <w:sz w:val="11"/>
                <w:szCs w:val="11"/>
                <w:color w:val="auto"/>
              </w:rPr>
            </w:pPr>
          </w:p>
        </w:tc>
        <w:tc>
          <w:tcPr>
            <w:tcW w:w="3400" w:type="dxa"/>
            <w:vAlign w:val="bottom"/>
            <w:tcBorders>
              <w:bottom w:val="single" w:sz="8" w:color="939598"/>
            </w:tcBorders>
          </w:tcPr>
          <w:p>
            <w:pPr>
              <w:spacing w:after="0"/>
              <w:rPr>
                <w:sz w:val="11"/>
                <w:szCs w:val="11"/>
                <w:color w:val="auto"/>
              </w:rPr>
            </w:pPr>
          </w:p>
        </w:tc>
        <w:tc>
          <w:tcPr>
            <w:tcW w:w="6300" w:type="dxa"/>
            <w:vAlign w:val="bottom"/>
            <w:tcBorders>
              <w:bottom w:val="single" w:sz="8" w:color="939598"/>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2022</w:t>
            </w:r>
          </w:p>
        </w:tc>
        <w:tc>
          <w:tcPr>
            <w:tcW w:w="3400" w:type="dxa"/>
            <w:vAlign w:val="bottom"/>
          </w:tcPr>
          <w:p>
            <w:pPr>
              <w:ind w:left="760"/>
              <w:spacing w:after="0"/>
              <w:rPr>
                <w:sz w:val="20"/>
                <w:szCs w:val="20"/>
                <w:color w:val="auto"/>
              </w:rPr>
            </w:pPr>
            <w:r>
              <w:rPr>
                <w:rFonts w:ascii="Arial" w:cs="Arial" w:eastAsia="Arial" w:hAnsi="Arial"/>
                <w:sz w:val="13"/>
                <w:szCs w:val="13"/>
                <w:color w:val="auto"/>
              </w:rPr>
              <w:t>Darius Adamczyk</w:t>
            </w:r>
          </w:p>
        </w:tc>
        <w:tc>
          <w:tcPr>
            <w:tcW w:w="6300" w:type="dxa"/>
            <w:vAlign w:val="bottom"/>
          </w:tcPr>
          <w:p>
            <w:pPr>
              <w:ind w:left="660"/>
              <w:spacing w:after="0"/>
              <w:rPr>
                <w:sz w:val="20"/>
                <w:szCs w:val="20"/>
                <w:color w:val="auto"/>
              </w:rPr>
            </w:pPr>
            <w:r>
              <w:rPr>
                <w:rFonts w:ascii="Arial" w:cs="Arial" w:eastAsia="Arial" w:hAnsi="Arial"/>
                <w:sz w:val="13"/>
                <w:szCs w:val="13"/>
                <w:color w:val="auto"/>
              </w:rPr>
              <w:t>Gregory P. Lewis, Anne T. Madden, Vimal Kapur, Lucian Boldea</w:t>
            </w:r>
          </w:p>
        </w:tc>
        <w:tc>
          <w:tcPr>
            <w:tcW w:w="0" w:type="dxa"/>
            <w:vAlign w:val="bottom"/>
          </w:tcPr>
          <w:p>
            <w:pPr>
              <w:spacing w:after="0"/>
              <w:rPr>
                <w:sz w:val="1"/>
                <w:szCs w:val="1"/>
                <w:color w:val="auto"/>
              </w:rPr>
            </w:pPr>
          </w:p>
        </w:tc>
      </w:tr>
      <w:tr>
        <w:trPr>
          <w:trHeight w:val="28"/>
        </w:trPr>
        <w:tc>
          <w:tcPr>
            <w:tcW w:w="1060" w:type="dxa"/>
            <w:vAlign w:val="bottom"/>
            <w:tcBorders>
              <w:bottom w:val="single" w:sz="8" w:color="939598"/>
            </w:tcBorders>
          </w:tcPr>
          <w:p>
            <w:pPr>
              <w:spacing w:after="0"/>
              <w:rPr>
                <w:sz w:val="2"/>
                <w:szCs w:val="2"/>
                <w:color w:val="auto"/>
              </w:rPr>
            </w:pPr>
          </w:p>
        </w:tc>
        <w:tc>
          <w:tcPr>
            <w:tcW w:w="3400" w:type="dxa"/>
            <w:vAlign w:val="bottom"/>
            <w:tcBorders>
              <w:bottom w:val="single" w:sz="8" w:color="939598"/>
            </w:tcBorders>
          </w:tcPr>
          <w:p>
            <w:pPr>
              <w:spacing w:after="0"/>
              <w:rPr>
                <w:sz w:val="2"/>
                <w:szCs w:val="2"/>
                <w:color w:val="auto"/>
              </w:rPr>
            </w:pPr>
          </w:p>
        </w:tc>
        <w:tc>
          <w:tcPr>
            <w:tcW w:w="63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060" w:type="dxa"/>
            <w:vAlign w:val="bottom"/>
          </w:tcPr>
          <w:p>
            <w:pPr>
              <w:ind w:left="20"/>
              <w:spacing w:after="0"/>
              <w:rPr>
                <w:sz w:val="20"/>
                <w:szCs w:val="20"/>
                <w:color w:val="auto"/>
              </w:rPr>
            </w:pPr>
            <w:r>
              <w:rPr>
                <w:rFonts w:ascii="Arial" w:cs="Arial" w:eastAsia="Arial" w:hAnsi="Arial"/>
                <w:sz w:val="13"/>
                <w:szCs w:val="13"/>
                <w:color w:val="auto"/>
              </w:rPr>
              <w:t>2021</w:t>
            </w:r>
          </w:p>
        </w:tc>
        <w:tc>
          <w:tcPr>
            <w:tcW w:w="3400" w:type="dxa"/>
            <w:vAlign w:val="bottom"/>
          </w:tcPr>
          <w:p>
            <w:pPr>
              <w:ind w:left="760"/>
              <w:spacing w:after="0"/>
              <w:rPr>
                <w:sz w:val="20"/>
                <w:szCs w:val="20"/>
                <w:color w:val="auto"/>
              </w:rPr>
            </w:pPr>
            <w:r>
              <w:rPr>
                <w:rFonts w:ascii="Arial" w:cs="Arial" w:eastAsia="Arial" w:hAnsi="Arial"/>
                <w:sz w:val="13"/>
                <w:szCs w:val="13"/>
                <w:color w:val="auto"/>
              </w:rPr>
              <w:t>Darius Adamczyk</w:t>
            </w:r>
          </w:p>
        </w:tc>
        <w:tc>
          <w:tcPr>
            <w:tcW w:w="6300" w:type="dxa"/>
            <w:vAlign w:val="bottom"/>
          </w:tcPr>
          <w:p>
            <w:pPr>
              <w:ind w:left="660"/>
              <w:spacing w:after="0"/>
              <w:rPr>
                <w:sz w:val="20"/>
                <w:szCs w:val="20"/>
                <w:color w:val="auto"/>
              </w:rPr>
            </w:pPr>
            <w:r>
              <w:rPr>
                <w:rFonts w:ascii="Arial" w:cs="Arial" w:eastAsia="Arial" w:hAnsi="Arial"/>
                <w:sz w:val="13"/>
                <w:szCs w:val="13"/>
                <w:color w:val="auto"/>
              </w:rPr>
              <w:t>Gregory P. Lewis, Anne T. Madden, Que Thanh Dallara, Michael R. Madsen</w:t>
            </w:r>
          </w:p>
        </w:tc>
        <w:tc>
          <w:tcPr>
            <w:tcW w:w="0" w:type="dxa"/>
            <w:vAlign w:val="bottom"/>
          </w:tcPr>
          <w:p>
            <w:pPr>
              <w:spacing w:after="0"/>
              <w:rPr>
                <w:sz w:val="1"/>
                <w:szCs w:val="1"/>
                <w:color w:val="auto"/>
              </w:rPr>
            </w:pPr>
          </w:p>
        </w:tc>
      </w:tr>
      <w:tr>
        <w:trPr>
          <w:trHeight w:val="28"/>
        </w:trPr>
        <w:tc>
          <w:tcPr>
            <w:tcW w:w="1060" w:type="dxa"/>
            <w:vAlign w:val="bottom"/>
            <w:tcBorders>
              <w:bottom w:val="single" w:sz="8" w:color="939598"/>
            </w:tcBorders>
          </w:tcPr>
          <w:p>
            <w:pPr>
              <w:spacing w:after="0"/>
              <w:rPr>
                <w:sz w:val="2"/>
                <w:szCs w:val="2"/>
                <w:color w:val="auto"/>
              </w:rPr>
            </w:pPr>
          </w:p>
        </w:tc>
        <w:tc>
          <w:tcPr>
            <w:tcW w:w="3400" w:type="dxa"/>
            <w:vAlign w:val="bottom"/>
            <w:tcBorders>
              <w:bottom w:val="single" w:sz="8" w:color="939598"/>
            </w:tcBorders>
          </w:tcPr>
          <w:p>
            <w:pPr>
              <w:spacing w:after="0"/>
              <w:rPr>
                <w:sz w:val="2"/>
                <w:szCs w:val="2"/>
                <w:color w:val="auto"/>
              </w:rPr>
            </w:pPr>
          </w:p>
        </w:tc>
        <w:tc>
          <w:tcPr>
            <w:tcW w:w="6300" w:type="dxa"/>
            <w:vAlign w:val="bottom"/>
            <w:tcBorders>
              <w:bottom w:val="single" w:sz="8" w:color="939598"/>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60" w:type="dxa"/>
            <w:vAlign w:val="bottom"/>
          </w:tcPr>
          <w:p>
            <w:pPr>
              <w:ind w:left="20"/>
              <w:spacing w:after="0"/>
              <w:rPr>
                <w:sz w:val="20"/>
                <w:szCs w:val="20"/>
                <w:color w:val="auto"/>
              </w:rPr>
            </w:pPr>
            <w:r>
              <w:rPr>
                <w:rFonts w:ascii="Arial" w:cs="Arial" w:eastAsia="Arial" w:hAnsi="Arial"/>
                <w:sz w:val="13"/>
                <w:szCs w:val="13"/>
                <w:color w:val="auto"/>
              </w:rPr>
              <w:t>2020</w:t>
            </w:r>
          </w:p>
        </w:tc>
        <w:tc>
          <w:tcPr>
            <w:tcW w:w="3400" w:type="dxa"/>
            <w:vAlign w:val="bottom"/>
          </w:tcPr>
          <w:p>
            <w:pPr>
              <w:ind w:left="760"/>
              <w:spacing w:after="0"/>
              <w:rPr>
                <w:sz w:val="20"/>
                <w:szCs w:val="20"/>
                <w:color w:val="auto"/>
              </w:rPr>
            </w:pPr>
            <w:r>
              <w:rPr>
                <w:rFonts w:ascii="Arial" w:cs="Arial" w:eastAsia="Arial" w:hAnsi="Arial"/>
                <w:sz w:val="13"/>
                <w:szCs w:val="13"/>
                <w:color w:val="auto"/>
              </w:rPr>
              <w:t>Darius Adamczyk</w:t>
            </w:r>
          </w:p>
        </w:tc>
        <w:tc>
          <w:tcPr>
            <w:tcW w:w="6300" w:type="dxa"/>
            <w:vAlign w:val="bottom"/>
          </w:tcPr>
          <w:p>
            <w:pPr>
              <w:ind w:left="660"/>
              <w:spacing w:after="0"/>
              <w:rPr>
                <w:sz w:val="20"/>
                <w:szCs w:val="20"/>
                <w:color w:val="auto"/>
              </w:rPr>
            </w:pPr>
            <w:r>
              <w:rPr>
                <w:rFonts w:ascii="Arial" w:cs="Arial" w:eastAsia="Arial" w:hAnsi="Arial"/>
                <w:sz w:val="13"/>
                <w:szCs w:val="13"/>
                <w:color w:val="auto"/>
              </w:rPr>
              <w:t>Gregory P. Lewis, Anne T. Madden, Rajeev Gautam, John F. Waldron</w:t>
            </w:r>
          </w:p>
        </w:tc>
        <w:tc>
          <w:tcPr>
            <w:tcW w:w="0" w:type="dxa"/>
            <w:vAlign w:val="bottom"/>
          </w:tcPr>
          <w:p>
            <w:pPr>
              <w:spacing w:after="0"/>
              <w:rPr>
                <w:sz w:val="1"/>
                <w:szCs w:val="1"/>
                <w:color w:val="auto"/>
              </w:rPr>
            </w:pPr>
          </w:p>
        </w:tc>
      </w:tr>
      <w:tr>
        <w:trPr>
          <w:trHeight w:val="28"/>
        </w:trPr>
        <w:tc>
          <w:tcPr>
            <w:tcW w:w="1060" w:type="dxa"/>
            <w:vAlign w:val="bottom"/>
            <w:tcBorders>
              <w:bottom w:val="single" w:sz="8" w:color="D7282F"/>
            </w:tcBorders>
          </w:tcPr>
          <w:p>
            <w:pPr>
              <w:spacing w:after="0"/>
              <w:rPr>
                <w:sz w:val="2"/>
                <w:szCs w:val="2"/>
                <w:color w:val="auto"/>
              </w:rPr>
            </w:pPr>
          </w:p>
        </w:tc>
        <w:tc>
          <w:tcPr>
            <w:tcW w:w="3400" w:type="dxa"/>
            <w:vAlign w:val="bottom"/>
            <w:tcBorders>
              <w:bottom w:val="single" w:sz="8" w:color="D7282F"/>
            </w:tcBorders>
          </w:tcPr>
          <w:p>
            <w:pPr>
              <w:spacing w:after="0"/>
              <w:rPr>
                <w:sz w:val="2"/>
                <w:szCs w:val="2"/>
                <w:color w:val="auto"/>
              </w:rPr>
            </w:pPr>
          </w:p>
        </w:tc>
        <w:tc>
          <w:tcPr>
            <w:tcW w:w="630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00" w:hanging="192"/>
        <w:spacing w:after="0" w:line="237" w:lineRule="auto"/>
        <w:tabs>
          <w:tab w:leader="none" w:pos="200" w:val="left"/>
        </w:tabs>
        <w:numPr>
          <w:ilvl w:val="0"/>
          <w:numId w:val="198"/>
        </w:numPr>
        <w:rPr>
          <w:rFonts w:ascii="Arial" w:cs="Arial" w:eastAsia="Arial" w:hAnsi="Arial"/>
          <w:sz w:val="16"/>
          <w:szCs w:val="16"/>
          <w:color w:val="auto"/>
          <w:vertAlign w:val="superscript"/>
        </w:rPr>
      </w:pPr>
      <w:r>
        <w:rPr>
          <w:rFonts w:ascii="Arial" w:cs="Arial" w:eastAsia="Arial" w:hAnsi="Arial"/>
          <w:sz w:val="13"/>
          <w:szCs w:val="13"/>
          <w:color w:val="auto"/>
        </w:rPr>
        <w:t>Fair value or change in fair value, as applicable, of equity awards in the “Compensation Actually Paid” columns was determined by reference to (1) for RSU awards, including reinvested dividend equivalent units, closing price on applicable year-end dates or, in the case of vesting dates, the actual vesting price, (2) for PSU awards (excluding TSR portion of the PSU award), the same valuation methodology as RSU awards above except year-end and vesting date values are multiplied by the forecasted performance factor as of each such date, and include reinvested dividend equivalent units, (3) for the TSR-based portion of the PSU awards, the fair value calculated by a Monte Carlo simulation model as of the applicable year-end date(s) or, in the case of vesting date, the actual vesting price and performance factor, and (4) for stock options, the fair value calculated by a Black-Scholes model as of the applicable year-end or vesting date(s), determined based on the same methodology as used to determine grant date fair values but using the closing stock price on the applicable revaluation date as the current market price, and in all cases based on volatility, dividend rates, and risk free rates determined as of the revaluation date.</w:t>
      </w:r>
    </w:p>
    <w:p>
      <w:pPr>
        <w:spacing w:after="0" w:line="54"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198"/>
        </w:numPr>
        <w:rPr>
          <w:rFonts w:ascii="Arial" w:cs="Arial" w:eastAsia="Arial" w:hAnsi="Arial"/>
          <w:sz w:val="15"/>
          <w:szCs w:val="15"/>
          <w:color w:val="auto"/>
          <w:vertAlign w:val="superscript"/>
        </w:rPr>
      </w:pPr>
      <w:r>
        <w:rPr>
          <w:rFonts w:ascii="Arial" w:cs="Arial" w:eastAsia="Arial" w:hAnsi="Arial"/>
          <w:sz w:val="12"/>
          <w:szCs w:val="12"/>
          <w:color w:val="auto"/>
        </w:rPr>
        <w:t>For the portion of “Compensation Actually Paid” that is based on year-end stock prices, the following prices were used: for 2023: $209.71 (2.1% decrease from prior year), for 2022: $214.30 (2.8%</w:t>
      </w:r>
    </w:p>
    <w:p>
      <w:pPr>
        <w:ind w:left="200"/>
        <w:spacing w:after="0"/>
        <w:rPr>
          <w:rFonts w:ascii="Arial" w:cs="Arial" w:eastAsia="Arial" w:hAnsi="Arial"/>
          <w:sz w:val="15"/>
          <w:szCs w:val="15"/>
          <w:color w:val="auto"/>
          <w:vertAlign w:val="superscript"/>
        </w:rPr>
      </w:pPr>
      <w:r>
        <w:rPr>
          <w:rFonts w:ascii="Arial" w:cs="Arial" w:eastAsia="Arial" w:hAnsi="Arial"/>
          <w:sz w:val="13"/>
          <w:szCs w:val="13"/>
          <w:color w:val="auto"/>
        </w:rPr>
        <w:t>increase from prior year), for 2021: $208.51 (2.0% decrease from prior year), and for 2020: $212.70 (20.2% increase from prior year).</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360"/>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0" w:hanging="192"/>
        <w:spacing w:after="0" w:line="230" w:lineRule="auto"/>
        <w:tabs>
          <w:tab w:leader="none" w:pos="200" w:val="left"/>
        </w:tabs>
        <w:numPr>
          <w:ilvl w:val="0"/>
          <w:numId w:val="199"/>
        </w:numPr>
        <w:rPr>
          <w:rFonts w:ascii="Arial" w:cs="Arial" w:eastAsia="Arial" w:hAnsi="Arial"/>
          <w:sz w:val="16"/>
          <w:szCs w:val="16"/>
          <w:color w:val="auto"/>
          <w:vertAlign w:val="superscript"/>
        </w:rPr>
      </w:pPr>
      <w:r>
        <w:rPr>
          <w:rFonts w:ascii="Arial" w:cs="Arial" w:eastAsia="Arial" w:hAnsi="Arial"/>
          <w:sz w:val="13"/>
          <w:szCs w:val="13"/>
          <w:color w:val="auto"/>
        </w:rPr>
        <w:t>The dollar amounts reported for Mr. Kapur under “Compensation Actually Paid” represent the amount of “compensation actually paid” to Mr. Kapur for 2023, as computed in accordance with Item 402(v) of Regulation S-K. The dollar amounts do not reflect the actual amount of compensation earned by or paid to Mr. Kapur during the applicable year. In accordance with the requirements of Item 402(v) of Regulation S-K, the adjustments in the table below were made to Mr. Kapur's compensation for each year to determine the compensation actually paid:</w:t>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9340" w:type="dxa"/>
            <w:vAlign w:val="bottom"/>
          </w:tcPr>
          <w:p>
            <w:pPr>
              <w:spacing w:after="0"/>
              <w:rPr>
                <w:sz w:val="14"/>
                <w:szCs w:val="14"/>
                <w:color w:val="auto"/>
              </w:rPr>
            </w:pPr>
          </w:p>
        </w:tc>
        <w:tc>
          <w:tcPr>
            <w:tcW w:w="1420" w:type="dxa"/>
            <w:vAlign w:val="bottom"/>
          </w:tcPr>
          <w:p>
            <w:pPr>
              <w:jc w:val="right"/>
              <w:ind w:right="137"/>
              <w:spacing w:after="0"/>
              <w:rPr>
                <w:sz w:val="20"/>
                <w:szCs w:val="20"/>
                <w:color w:val="auto"/>
              </w:rPr>
            </w:pPr>
            <w:r>
              <w:rPr>
                <w:rFonts w:ascii="Arial" w:cs="Arial" w:eastAsia="Arial" w:hAnsi="Arial"/>
                <w:sz w:val="13"/>
                <w:szCs w:val="13"/>
                <w:b w:val="1"/>
                <w:bCs w:val="1"/>
                <w:color w:val="auto"/>
              </w:rPr>
              <w:t>PEO — Kapur ($)</w:t>
            </w:r>
          </w:p>
        </w:tc>
      </w:tr>
      <w:tr>
        <w:trPr>
          <w:trHeight w:val="22"/>
        </w:trPr>
        <w:tc>
          <w:tcPr>
            <w:tcW w:w="9340" w:type="dxa"/>
            <w:vAlign w:val="bottom"/>
          </w:tcPr>
          <w:p>
            <w:pPr>
              <w:spacing w:after="0" w:line="20" w:lineRule="exact"/>
              <w:rPr>
                <w:sz w:val="1"/>
                <w:szCs w:val="1"/>
                <w:color w:val="auto"/>
              </w:rPr>
            </w:pPr>
          </w:p>
        </w:tc>
        <w:tc>
          <w:tcPr>
            <w:tcW w:w="1420" w:type="dxa"/>
            <w:vAlign w:val="bottom"/>
            <w:tcBorders>
              <w:bottom w:val="single" w:sz="8" w:color="EE2724"/>
            </w:tcBorders>
          </w:tcPr>
          <w:p>
            <w:pPr>
              <w:spacing w:after="0" w:line="20" w:lineRule="exact"/>
              <w:rPr>
                <w:sz w:val="1"/>
                <w:szCs w:val="1"/>
                <w:color w:val="auto"/>
              </w:rPr>
            </w:pPr>
          </w:p>
        </w:tc>
      </w:tr>
      <w:tr>
        <w:trPr>
          <w:trHeight w:val="174"/>
        </w:trPr>
        <w:tc>
          <w:tcPr>
            <w:tcW w:w="9340" w:type="dxa"/>
            <w:vAlign w:val="bottom"/>
          </w:tcPr>
          <w:p>
            <w:pPr>
              <w:spacing w:after="0"/>
              <w:rPr>
                <w:sz w:val="15"/>
                <w:szCs w:val="15"/>
                <w:color w:val="auto"/>
              </w:rPr>
            </w:pPr>
          </w:p>
        </w:tc>
        <w:tc>
          <w:tcPr>
            <w:tcW w:w="1420" w:type="dxa"/>
            <w:vAlign w:val="bottom"/>
          </w:tcPr>
          <w:p>
            <w:pPr>
              <w:jc w:val="right"/>
              <w:ind w:right="497"/>
              <w:spacing w:after="0"/>
              <w:rPr>
                <w:sz w:val="20"/>
                <w:szCs w:val="20"/>
                <w:color w:val="auto"/>
              </w:rPr>
            </w:pPr>
            <w:r>
              <w:rPr>
                <w:rFonts w:ascii="Arial" w:cs="Arial" w:eastAsia="Arial" w:hAnsi="Arial"/>
                <w:sz w:val="13"/>
                <w:szCs w:val="13"/>
                <w:b w:val="1"/>
                <w:bCs w:val="1"/>
                <w:color w:val="auto"/>
              </w:rPr>
              <w:t>2023</w:t>
            </w:r>
          </w:p>
        </w:tc>
      </w:tr>
      <w:tr>
        <w:trPr>
          <w:trHeight w:val="22"/>
        </w:trPr>
        <w:tc>
          <w:tcPr>
            <w:tcW w:w="9340" w:type="dxa"/>
            <w:vAlign w:val="bottom"/>
            <w:tcBorders>
              <w:bottom w:val="single" w:sz="8" w:color="D7282F"/>
            </w:tcBorders>
          </w:tcPr>
          <w:p>
            <w:pPr>
              <w:spacing w:after="0" w:line="20" w:lineRule="exact"/>
              <w:rPr>
                <w:sz w:val="1"/>
                <w:szCs w:val="1"/>
                <w:color w:val="auto"/>
              </w:rPr>
            </w:pPr>
          </w:p>
        </w:tc>
        <w:tc>
          <w:tcPr>
            <w:tcW w:w="1420" w:type="dxa"/>
            <w:vAlign w:val="bottom"/>
            <w:tcBorders>
              <w:bottom w:val="single" w:sz="8" w:color="D7282F"/>
            </w:tcBorders>
          </w:tcPr>
          <w:p>
            <w:pPr>
              <w:spacing w:after="0" w:line="20" w:lineRule="exact"/>
              <w:rPr>
                <w:sz w:val="1"/>
                <w:szCs w:val="1"/>
                <w:color w:val="auto"/>
              </w:rPr>
            </w:pPr>
          </w:p>
        </w:tc>
      </w:tr>
      <w:tr>
        <w:trPr>
          <w:trHeight w:val="174"/>
        </w:trPr>
        <w:tc>
          <w:tcPr>
            <w:tcW w:w="9340" w:type="dxa"/>
            <w:vAlign w:val="bottom"/>
          </w:tcPr>
          <w:p>
            <w:pPr>
              <w:ind w:left="20"/>
              <w:spacing w:after="0"/>
              <w:rPr>
                <w:sz w:val="20"/>
                <w:szCs w:val="20"/>
                <w:color w:val="auto"/>
              </w:rPr>
            </w:pPr>
            <w:r>
              <w:rPr>
                <w:rFonts w:ascii="Arial" w:cs="Arial" w:eastAsia="Arial" w:hAnsi="Arial"/>
                <w:sz w:val="13"/>
                <w:szCs w:val="13"/>
                <w:b w:val="1"/>
                <w:bCs w:val="1"/>
                <w:color w:val="auto"/>
              </w:rPr>
              <w:t>Total Reported in Summary Compensation Table (SCT)</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$14,401,630</w:t>
            </w:r>
          </w:p>
        </w:tc>
      </w:tr>
      <w:tr>
        <w:trPr>
          <w:trHeight w:val="22"/>
        </w:trPr>
        <w:tc>
          <w:tcPr>
            <w:tcW w:w="9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Less, Value of Stock &amp; Option Awards Reported in SCT</w:t>
            </w:r>
          </w:p>
        </w:tc>
        <w:tc>
          <w:tcPr>
            <w:tcW w:w="1420" w:type="dxa"/>
            <w:vAlign w:val="bottom"/>
          </w:tcPr>
          <w:p>
            <w:pPr>
              <w:jc w:val="right"/>
              <w:spacing w:after="0"/>
              <w:rPr>
                <w:sz w:val="20"/>
                <w:szCs w:val="20"/>
                <w:color w:val="auto"/>
              </w:rPr>
            </w:pPr>
            <w:r>
              <w:rPr>
                <w:rFonts w:ascii="Arial" w:cs="Arial" w:eastAsia="Arial" w:hAnsi="Arial"/>
                <w:sz w:val="13"/>
                <w:szCs w:val="13"/>
                <w:color w:val="auto"/>
              </w:rPr>
              <w:t>(10,040,327)</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Less, Change in Pension Value and Non-Qualified Deferred Compensation Earnings in SCT</w:t>
            </w:r>
          </w:p>
        </w:tc>
        <w:tc>
          <w:tcPr>
            <w:tcW w:w="1420" w:type="dxa"/>
            <w:vAlign w:val="bottom"/>
          </w:tcPr>
          <w:p>
            <w:pPr>
              <w:jc w:val="right"/>
              <w:spacing w:after="0"/>
              <w:rPr>
                <w:sz w:val="20"/>
                <w:szCs w:val="20"/>
                <w:color w:val="auto"/>
              </w:rPr>
            </w:pPr>
            <w:r>
              <w:rPr>
                <w:rFonts w:ascii="Arial" w:cs="Arial" w:eastAsia="Arial" w:hAnsi="Arial"/>
                <w:sz w:val="13"/>
                <w:szCs w:val="13"/>
                <w:color w:val="auto"/>
              </w:rPr>
              <w:t>(283,838)</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Plus, Pension Service Cost</w:t>
            </w:r>
          </w:p>
        </w:tc>
        <w:tc>
          <w:tcPr>
            <w:tcW w:w="1420" w:type="dxa"/>
            <w:vAlign w:val="bottom"/>
          </w:tcPr>
          <w:p>
            <w:pPr>
              <w:jc w:val="right"/>
              <w:spacing w:after="0"/>
              <w:rPr>
                <w:sz w:val="20"/>
                <w:szCs w:val="20"/>
                <w:color w:val="auto"/>
              </w:rPr>
            </w:pPr>
            <w:r>
              <w:rPr>
                <w:rFonts w:ascii="Arial" w:cs="Arial" w:eastAsia="Arial" w:hAnsi="Arial"/>
                <w:sz w:val="13"/>
                <w:szCs w:val="13"/>
                <w:color w:val="auto"/>
              </w:rPr>
              <w:t>94,485</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9"/>
        </w:trPr>
        <w:tc>
          <w:tcPr>
            <w:tcW w:w="9340" w:type="dxa"/>
            <w:vAlign w:val="bottom"/>
          </w:tcPr>
          <w:p>
            <w:pPr>
              <w:ind w:left="20"/>
              <w:spacing w:after="0"/>
              <w:rPr>
                <w:sz w:val="20"/>
                <w:szCs w:val="20"/>
                <w:color w:val="auto"/>
              </w:rPr>
            </w:pPr>
            <w:r>
              <w:rPr>
                <w:rFonts w:ascii="Arial" w:cs="Arial" w:eastAsia="Arial" w:hAnsi="Arial"/>
                <w:sz w:val="13"/>
                <w:szCs w:val="13"/>
                <w:color w:val="auto"/>
              </w:rPr>
              <w:t>Plus, Year-End Value of Awards Granted in Fiscal Year that are Unvested and Outstanding</w:t>
            </w:r>
          </w:p>
        </w:tc>
        <w:tc>
          <w:tcPr>
            <w:tcW w:w="1420" w:type="dxa"/>
            <w:vAlign w:val="bottom"/>
          </w:tcPr>
          <w:p>
            <w:pPr>
              <w:jc w:val="right"/>
              <w:spacing w:after="0"/>
              <w:rPr>
                <w:sz w:val="20"/>
                <w:szCs w:val="20"/>
                <w:color w:val="auto"/>
              </w:rPr>
            </w:pPr>
            <w:r>
              <w:rPr>
                <w:rFonts w:ascii="Arial" w:cs="Arial" w:eastAsia="Arial" w:hAnsi="Arial"/>
                <w:sz w:val="13"/>
                <w:szCs w:val="13"/>
                <w:color w:val="auto"/>
              </w:rPr>
              <w:t>10,811,208</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Plus, Change in Fair Value of Prior Year Awards that are Outstanding and Unvested</w:t>
            </w:r>
          </w:p>
        </w:tc>
        <w:tc>
          <w:tcPr>
            <w:tcW w:w="1420" w:type="dxa"/>
            <w:vAlign w:val="bottom"/>
          </w:tcPr>
          <w:p>
            <w:pPr>
              <w:jc w:val="right"/>
              <w:spacing w:after="0"/>
              <w:rPr>
                <w:sz w:val="20"/>
                <w:szCs w:val="20"/>
                <w:color w:val="auto"/>
              </w:rPr>
            </w:pPr>
            <w:r>
              <w:rPr>
                <w:rFonts w:ascii="Arial" w:cs="Arial" w:eastAsia="Arial" w:hAnsi="Arial"/>
                <w:sz w:val="13"/>
                <w:szCs w:val="13"/>
                <w:color w:val="auto"/>
              </w:rPr>
              <w:t>467,763</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Plus, FMV of Awards Granted this Year and that Vested this Year</w:t>
            </w: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Plus, Change in Fair Value (from Prior Year-End) of Prior Year Awards that Vested this Year</w:t>
            </w:r>
          </w:p>
        </w:tc>
        <w:tc>
          <w:tcPr>
            <w:tcW w:w="1420" w:type="dxa"/>
            <w:vAlign w:val="bottom"/>
          </w:tcPr>
          <w:p>
            <w:pPr>
              <w:jc w:val="right"/>
              <w:spacing w:after="0"/>
              <w:rPr>
                <w:sz w:val="20"/>
                <w:szCs w:val="20"/>
                <w:color w:val="auto"/>
              </w:rPr>
            </w:pPr>
            <w:r>
              <w:rPr>
                <w:rFonts w:ascii="Arial" w:cs="Arial" w:eastAsia="Arial" w:hAnsi="Arial"/>
                <w:sz w:val="13"/>
                <w:szCs w:val="13"/>
                <w:color w:val="auto"/>
              </w:rPr>
              <w:t>(693,504)</w:t>
            </w:r>
          </w:p>
        </w:tc>
      </w:tr>
      <w:tr>
        <w:trPr>
          <w:trHeight w:val="28"/>
        </w:trPr>
        <w:tc>
          <w:tcPr>
            <w:tcW w:w="9340" w:type="dxa"/>
            <w:vAlign w:val="bottom"/>
            <w:tcBorders>
              <w:bottom w:val="single" w:sz="8" w:color="939598"/>
            </w:tcBorders>
          </w:tcPr>
          <w:p>
            <w:pPr>
              <w:spacing w:after="0"/>
              <w:rPr>
                <w:sz w:val="2"/>
                <w:szCs w:val="2"/>
                <w:color w:val="auto"/>
              </w:rPr>
            </w:pPr>
          </w:p>
        </w:tc>
        <w:tc>
          <w:tcPr>
            <w:tcW w:w="1420" w:type="dxa"/>
            <w:vAlign w:val="bottom"/>
            <w:tcBorders>
              <w:bottom w:val="single" w:sz="8" w:color="939598"/>
            </w:tcBorders>
          </w:tcPr>
          <w:p>
            <w:pPr>
              <w:spacing w:after="0"/>
              <w:rPr>
                <w:sz w:val="2"/>
                <w:szCs w:val="2"/>
                <w:color w:val="auto"/>
              </w:rPr>
            </w:pPr>
          </w:p>
        </w:tc>
      </w:tr>
      <w:tr>
        <w:trPr>
          <w:trHeight w:val="168"/>
        </w:trPr>
        <w:tc>
          <w:tcPr>
            <w:tcW w:w="9340" w:type="dxa"/>
            <w:vAlign w:val="bottom"/>
          </w:tcPr>
          <w:p>
            <w:pPr>
              <w:ind w:left="20"/>
              <w:spacing w:after="0"/>
              <w:rPr>
                <w:sz w:val="20"/>
                <w:szCs w:val="20"/>
                <w:color w:val="auto"/>
              </w:rPr>
            </w:pPr>
            <w:r>
              <w:rPr>
                <w:rFonts w:ascii="Arial" w:cs="Arial" w:eastAsia="Arial" w:hAnsi="Arial"/>
                <w:sz w:val="13"/>
                <w:szCs w:val="13"/>
                <w:color w:val="auto"/>
              </w:rPr>
              <w:t>Less, Prior Year Fair Value of Prior Year Awards that Failed to Vest this Year</w:t>
            </w: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9340" w:type="dxa"/>
            <w:vAlign w:val="bottom"/>
            <w:tcBorders>
              <w:bottom w:val="single" w:sz="8" w:color="D7282F"/>
            </w:tcBorders>
          </w:tcPr>
          <w:p>
            <w:pPr>
              <w:spacing w:after="0"/>
              <w:rPr>
                <w:sz w:val="2"/>
                <w:szCs w:val="2"/>
                <w:color w:val="auto"/>
              </w:rPr>
            </w:pPr>
          </w:p>
        </w:tc>
        <w:tc>
          <w:tcPr>
            <w:tcW w:w="1420" w:type="dxa"/>
            <w:vAlign w:val="bottom"/>
            <w:tcBorders>
              <w:bottom w:val="single" w:sz="8" w:color="D7282F"/>
            </w:tcBorders>
          </w:tcPr>
          <w:p>
            <w:pPr>
              <w:spacing w:after="0"/>
              <w:rPr>
                <w:sz w:val="2"/>
                <w:szCs w:val="2"/>
                <w:color w:val="auto"/>
              </w:rPr>
            </w:pPr>
          </w:p>
        </w:tc>
      </w:tr>
      <w:tr>
        <w:trPr>
          <w:trHeight w:val="169"/>
        </w:trPr>
        <w:tc>
          <w:tcPr>
            <w:tcW w:w="934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1420" w:type="dxa"/>
            <w:vAlign w:val="bottom"/>
          </w:tcPr>
          <w:p>
            <w:pPr>
              <w:jc w:val="right"/>
              <w:spacing w:after="0"/>
              <w:rPr>
                <w:sz w:val="20"/>
                <w:szCs w:val="20"/>
                <w:color w:val="auto"/>
              </w:rPr>
            </w:pPr>
            <w:r>
              <w:rPr>
                <w:rFonts w:ascii="Arial" w:cs="Arial" w:eastAsia="Arial" w:hAnsi="Arial"/>
                <w:sz w:val="13"/>
                <w:szCs w:val="13"/>
                <w:color w:val="auto"/>
              </w:rPr>
              <w:t>355,788</w:t>
            </w:r>
          </w:p>
        </w:tc>
      </w:tr>
      <w:tr>
        <w:trPr>
          <w:trHeight w:val="28"/>
        </w:trPr>
        <w:tc>
          <w:tcPr>
            <w:tcW w:w="9340" w:type="dxa"/>
            <w:vAlign w:val="bottom"/>
            <w:tcBorders>
              <w:bottom w:val="single" w:sz="8" w:color="D7282F"/>
            </w:tcBorders>
          </w:tcPr>
          <w:p>
            <w:pPr>
              <w:spacing w:after="0"/>
              <w:rPr>
                <w:sz w:val="2"/>
                <w:szCs w:val="2"/>
                <w:color w:val="auto"/>
              </w:rPr>
            </w:pPr>
          </w:p>
        </w:tc>
        <w:tc>
          <w:tcPr>
            <w:tcW w:w="1420" w:type="dxa"/>
            <w:vAlign w:val="bottom"/>
            <w:tcBorders>
              <w:bottom w:val="single" w:sz="8" w:color="D7282F"/>
            </w:tcBorders>
          </w:tcPr>
          <w:p>
            <w:pPr>
              <w:spacing w:after="0"/>
              <w:rPr>
                <w:sz w:val="2"/>
                <w:szCs w:val="2"/>
                <w:color w:val="auto"/>
              </w:rPr>
            </w:pPr>
          </w:p>
        </w:tc>
      </w:tr>
      <w:tr>
        <w:trPr>
          <w:trHeight w:val="174"/>
        </w:trPr>
        <w:tc>
          <w:tcPr>
            <w:tcW w:w="9340" w:type="dxa"/>
            <w:vAlign w:val="bottom"/>
          </w:tcPr>
          <w:p>
            <w:pPr>
              <w:ind w:left="20"/>
              <w:spacing w:after="0"/>
              <w:rPr>
                <w:sz w:val="20"/>
                <w:szCs w:val="20"/>
                <w:color w:val="auto"/>
              </w:rPr>
            </w:pPr>
            <w:r>
              <w:rPr>
                <w:rFonts w:ascii="Arial" w:cs="Arial" w:eastAsia="Arial" w:hAnsi="Arial"/>
                <w:sz w:val="13"/>
                <w:szCs w:val="13"/>
                <w:b w:val="1"/>
                <w:bCs w:val="1"/>
                <w:color w:val="auto"/>
              </w:rPr>
              <w:t>“Compensation Actually Paid” to PEO — Kapur</w:t>
            </w: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14,757,418</w:t>
            </w:r>
          </w:p>
        </w:tc>
      </w:tr>
      <w:tr>
        <w:trPr>
          <w:trHeight w:val="22"/>
        </w:trPr>
        <w:tc>
          <w:tcPr>
            <w:tcW w:w="9340" w:type="dxa"/>
            <w:vAlign w:val="bottom"/>
            <w:tcBorders>
              <w:bottom w:val="single" w:sz="8" w:color="D7282F"/>
            </w:tcBorders>
          </w:tcPr>
          <w:p>
            <w:pPr>
              <w:spacing w:after="0" w:line="20" w:lineRule="exact"/>
              <w:rPr>
                <w:sz w:val="1"/>
                <w:szCs w:val="1"/>
                <w:color w:val="auto"/>
              </w:rPr>
            </w:pPr>
          </w:p>
        </w:tc>
        <w:tc>
          <w:tcPr>
            <w:tcW w:w="1420" w:type="dxa"/>
            <w:vAlign w:val="bottom"/>
            <w:tcBorders>
              <w:bottom w:val="single" w:sz="8" w:color="D7282F"/>
            </w:tcBorders>
          </w:tcPr>
          <w:p>
            <w:pPr>
              <w:spacing w:after="0" w:line="20" w:lineRule="exact"/>
              <w:rPr>
                <w:sz w:val="1"/>
                <w:szCs w:val="1"/>
                <w:color w:val="auto"/>
              </w:rPr>
            </w:pPr>
          </w:p>
        </w:tc>
      </w:tr>
    </w:tbl>
    <w:p>
      <w:pPr>
        <w:spacing w:after="0" w:line="171" w:lineRule="exact"/>
        <w:rPr>
          <w:sz w:val="20"/>
          <w:szCs w:val="20"/>
          <w:color w:val="auto"/>
        </w:rPr>
      </w:pPr>
    </w:p>
    <w:p>
      <w:pPr>
        <w:ind w:left="200" w:right="40" w:hanging="192"/>
        <w:spacing w:after="0" w:line="261" w:lineRule="auto"/>
        <w:tabs>
          <w:tab w:leader="none" w:pos="200" w:val="left"/>
        </w:tabs>
        <w:numPr>
          <w:ilvl w:val="0"/>
          <w:numId w:val="200"/>
        </w:numPr>
        <w:rPr>
          <w:rFonts w:ascii="Arial" w:cs="Arial" w:eastAsia="Arial" w:hAnsi="Arial"/>
          <w:sz w:val="15"/>
          <w:szCs w:val="15"/>
          <w:color w:val="auto"/>
          <w:vertAlign w:val="superscript"/>
        </w:rPr>
      </w:pPr>
      <w:r>
        <w:rPr>
          <w:rFonts w:ascii="Arial" w:cs="Arial" w:eastAsia="Arial" w:hAnsi="Arial"/>
          <w:sz w:val="12"/>
          <w:szCs w:val="12"/>
          <w:color w:val="auto"/>
        </w:rPr>
        <w:t>The dollar amounts reported for Mr. Adamczyk under “Compensation Actually Paid” represent the amount of “compensation actually paid” to Mr. Adamczyk, as computed in accordance with Item 402(v) of Regulation S-K. The dollar amounts do not reflect the actual amount of compensation earned by or paid to Mr. Adamczyk during the applicable year. In accordance with the requirements of Item 402(v) of Regulation S-K, the adjustments in the table below were made to Mr. Adamczyk’s total compensation for each year to determine the compensation actually paid:</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PEO — Adamczyk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
        </w:trPr>
        <w:tc>
          <w:tcPr>
            <w:tcW w:w="6500" w:type="dxa"/>
            <w:vAlign w:val="bottom"/>
          </w:tcPr>
          <w:p>
            <w:pPr>
              <w:spacing w:after="0" w:line="20" w:lineRule="exact"/>
              <w:rPr>
                <w:sz w:val="1"/>
                <w:szCs w:val="1"/>
                <w:color w:val="auto"/>
              </w:rPr>
            </w:pPr>
          </w:p>
        </w:tc>
        <w:tc>
          <w:tcPr>
            <w:tcW w:w="220" w:type="dxa"/>
            <w:vAlign w:val="bottom"/>
            <w:tcBorders>
              <w:bottom w:val="single" w:sz="8" w:color="EE2724"/>
            </w:tcBorders>
          </w:tcPr>
          <w:p>
            <w:pPr>
              <w:spacing w:after="0" w:line="20" w:lineRule="exact"/>
              <w:rPr>
                <w:sz w:val="1"/>
                <w:szCs w:val="1"/>
                <w:color w:val="auto"/>
              </w:rPr>
            </w:pPr>
          </w:p>
        </w:tc>
        <w:tc>
          <w:tcPr>
            <w:tcW w:w="860" w:type="dxa"/>
            <w:vAlign w:val="bottom"/>
            <w:tcBorders>
              <w:bottom w:val="single" w:sz="8" w:color="EE2724"/>
            </w:tcBorders>
          </w:tcPr>
          <w:p>
            <w:pPr>
              <w:spacing w:after="0" w:line="20" w:lineRule="exact"/>
              <w:rPr>
                <w:sz w:val="1"/>
                <w:szCs w:val="1"/>
                <w:color w:val="auto"/>
              </w:rPr>
            </w:pPr>
          </w:p>
        </w:tc>
        <w:tc>
          <w:tcPr>
            <w:tcW w:w="200" w:type="dxa"/>
            <w:vAlign w:val="bottom"/>
            <w:tcBorders>
              <w:bottom w:val="single" w:sz="8" w:color="EE2724"/>
            </w:tcBorders>
          </w:tcPr>
          <w:p>
            <w:pPr>
              <w:spacing w:after="0" w:line="20" w:lineRule="exact"/>
              <w:rPr>
                <w:sz w:val="1"/>
                <w:szCs w:val="1"/>
                <w:color w:val="auto"/>
              </w:rPr>
            </w:pPr>
          </w:p>
        </w:tc>
        <w:tc>
          <w:tcPr>
            <w:tcW w:w="860" w:type="dxa"/>
            <w:vAlign w:val="bottom"/>
            <w:tcBorders>
              <w:bottom w:val="single" w:sz="8" w:color="EE2724"/>
            </w:tcBorders>
          </w:tcPr>
          <w:p>
            <w:pPr>
              <w:spacing w:after="0" w:line="20" w:lineRule="exact"/>
              <w:rPr>
                <w:sz w:val="1"/>
                <w:szCs w:val="1"/>
                <w:color w:val="auto"/>
              </w:rPr>
            </w:pPr>
          </w:p>
        </w:tc>
        <w:tc>
          <w:tcPr>
            <w:tcW w:w="200" w:type="dxa"/>
            <w:vAlign w:val="bottom"/>
            <w:tcBorders>
              <w:bottom w:val="single" w:sz="8" w:color="EE2724"/>
            </w:tcBorders>
          </w:tcPr>
          <w:p>
            <w:pPr>
              <w:spacing w:after="0" w:line="20" w:lineRule="exact"/>
              <w:rPr>
                <w:sz w:val="1"/>
                <w:szCs w:val="1"/>
                <w:color w:val="auto"/>
              </w:rPr>
            </w:pPr>
          </w:p>
        </w:tc>
        <w:tc>
          <w:tcPr>
            <w:tcW w:w="860" w:type="dxa"/>
            <w:vAlign w:val="bottom"/>
            <w:tcBorders>
              <w:bottom w:val="single" w:sz="8" w:color="EE2724"/>
            </w:tcBorders>
          </w:tcPr>
          <w:p>
            <w:pPr>
              <w:spacing w:after="0" w:line="20" w:lineRule="exact"/>
              <w:rPr>
                <w:sz w:val="1"/>
                <w:szCs w:val="1"/>
                <w:color w:val="auto"/>
              </w:rPr>
            </w:pPr>
          </w:p>
        </w:tc>
        <w:tc>
          <w:tcPr>
            <w:tcW w:w="220" w:type="dxa"/>
            <w:vAlign w:val="bottom"/>
            <w:tcBorders>
              <w:bottom w:val="single" w:sz="8" w:color="EE2724"/>
            </w:tcBorders>
          </w:tcPr>
          <w:p>
            <w:pPr>
              <w:spacing w:after="0" w:line="20" w:lineRule="exact"/>
              <w:rPr>
                <w:sz w:val="1"/>
                <w:szCs w:val="1"/>
                <w:color w:val="auto"/>
              </w:rPr>
            </w:pPr>
          </w:p>
        </w:tc>
        <w:tc>
          <w:tcPr>
            <w:tcW w:w="840" w:type="dxa"/>
            <w:vAlign w:val="bottom"/>
            <w:tcBorders>
              <w:bottom w:val="single" w:sz="8" w:color="EE2724"/>
            </w:tcBorders>
          </w:tcPr>
          <w:p>
            <w:pPr>
              <w:spacing w:after="0" w:line="20" w:lineRule="exact"/>
              <w:rPr>
                <w:sz w:val="1"/>
                <w:szCs w:val="1"/>
                <w:color w:val="auto"/>
              </w:rPr>
            </w:pPr>
          </w:p>
        </w:tc>
      </w:tr>
      <w:tr>
        <w:trPr>
          <w:trHeight w:val="175"/>
        </w:trPr>
        <w:tc>
          <w:tcPr>
            <w:tcW w:w="6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r>
      <w:tr>
        <w:trPr>
          <w:trHeight w:val="22"/>
        </w:trPr>
        <w:tc>
          <w:tcPr>
            <w:tcW w:w="6500" w:type="dxa"/>
            <w:vAlign w:val="bottom"/>
            <w:tcBorders>
              <w:bottom w:val="single" w:sz="8" w:color="D7282F"/>
            </w:tcBorders>
          </w:tcPr>
          <w:p>
            <w:pPr>
              <w:spacing w:after="0" w:line="20" w:lineRule="exact"/>
              <w:rPr>
                <w:sz w:val="1"/>
                <w:szCs w:val="1"/>
                <w:color w:val="auto"/>
              </w:rPr>
            </w:pPr>
          </w:p>
        </w:tc>
        <w:tc>
          <w:tcPr>
            <w:tcW w:w="22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20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20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22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Total Reported in Summary Compensation Table (SCT)</w:t>
            </w: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23,029,368</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25,437,598</w:t>
            </w:r>
          </w:p>
        </w:tc>
        <w:tc>
          <w:tcPr>
            <w:tcW w:w="20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26,100,120</w:t>
            </w:r>
          </w:p>
        </w:tc>
        <w:tc>
          <w:tcPr>
            <w:tcW w:w="2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19,075,281</w:t>
            </w:r>
          </w:p>
        </w:tc>
      </w:tr>
      <w:tr>
        <w:trPr>
          <w:trHeight w:val="22"/>
        </w:trPr>
        <w:tc>
          <w:tcPr>
            <w:tcW w:w="6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Less, Value of Stock &amp; Option Awards Reported in SCT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(18,000,300)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(18,994,812)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(19,734,739)</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(14,012,084)</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Less, Change in Pension Value and Non-Qualified Deferred Compensation Earnings in SCT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(515,490)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(757,453)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(608,232)</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(810,840)</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Plus, Pension Service Cost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59,709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189,227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337,104</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302,024</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Plus, Year-End Value of Awards Granted in Fiscal Year that are Unvested and Outstanding</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18,914,098</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22,196,690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14,602,954</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22,994,843</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Plus, Change in Fair Value of Prior Year Awards that are Outstanding and Unvested</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2,029,201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9,053,140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(1,770,930)</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11,314,396</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Plus, FMV of Awards Granted this Year and that Vested this Year</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Plus, Change in Fair Value (from Prior Year-End) of Prior Year Awards that Vested this Year</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(3,995,801)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(394,579)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(3,238,305)</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(4,260,611)</w:t>
            </w:r>
          </w:p>
        </w:tc>
      </w:tr>
      <w:tr>
        <w:trPr>
          <w:trHeight w:val="28"/>
        </w:trPr>
        <w:tc>
          <w:tcPr>
            <w:tcW w:w="650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860" w:type="dxa"/>
            <w:vAlign w:val="bottom"/>
            <w:tcBorders>
              <w:bottom w:val="single" w:sz="8" w:color="939598"/>
            </w:tcBorders>
          </w:tcPr>
          <w:p>
            <w:pPr>
              <w:spacing w:after="0"/>
              <w:rPr>
                <w:sz w:val="2"/>
                <w:szCs w:val="2"/>
                <w:color w:val="auto"/>
              </w:rPr>
            </w:pPr>
          </w:p>
        </w:tc>
        <w:tc>
          <w:tcPr>
            <w:tcW w:w="220" w:type="dxa"/>
            <w:vAlign w:val="bottom"/>
            <w:tcBorders>
              <w:bottom w:val="single" w:sz="8" w:color="939598"/>
            </w:tcBorders>
          </w:tcPr>
          <w:p>
            <w:pPr>
              <w:spacing w:after="0"/>
              <w:rPr>
                <w:sz w:val="2"/>
                <w:szCs w:val="2"/>
                <w:color w:val="auto"/>
              </w:rPr>
            </w:pPr>
          </w:p>
        </w:tc>
        <w:tc>
          <w:tcPr>
            <w:tcW w:w="84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Less, Prior Year Fair Value of Prior Year Awards that Failed to Vest this Year</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650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860" w:type="dxa"/>
            <w:vAlign w:val="bottom"/>
            <w:tcBorders>
              <w:bottom w:val="single" w:sz="8" w:color="D7282F"/>
            </w:tcBorders>
          </w:tcPr>
          <w:p>
            <w:pPr>
              <w:spacing w:after="0"/>
              <w:rPr>
                <w:sz w:val="2"/>
                <w:szCs w:val="2"/>
                <w:color w:val="auto"/>
              </w:rPr>
            </w:pPr>
          </w:p>
        </w:tc>
        <w:tc>
          <w:tcPr>
            <w:tcW w:w="200" w:type="dxa"/>
            <w:vAlign w:val="bottom"/>
            <w:tcBorders>
              <w:bottom w:val="single" w:sz="8" w:color="D7282F"/>
            </w:tcBorders>
          </w:tcPr>
          <w:p>
            <w:pPr>
              <w:spacing w:after="0"/>
              <w:rPr>
                <w:sz w:val="2"/>
                <w:szCs w:val="2"/>
                <w:color w:val="auto"/>
              </w:rPr>
            </w:pPr>
          </w:p>
        </w:tc>
        <w:tc>
          <w:tcPr>
            <w:tcW w:w="860" w:type="dxa"/>
            <w:vAlign w:val="bottom"/>
            <w:tcBorders>
              <w:bottom w:val="single" w:sz="8" w:color="D7282F"/>
            </w:tcBorders>
          </w:tcPr>
          <w:p>
            <w:pPr>
              <w:spacing w:after="0"/>
              <w:rPr>
                <w:sz w:val="2"/>
                <w:szCs w:val="2"/>
                <w:color w:val="auto"/>
              </w:rPr>
            </w:pPr>
          </w:p>
        </w:tc>
        <w:tc>
          <w:tcPr>
            <w:tcW w:w="200" w:type="dxa"/>
            <w:vAlign w:val="bottom"/>
            <w:tcBorders>
              <w:bottom w:val="single" w:sz="8" w:color="D7282F"/>
            </w:tcBorders>
          </w:tcPr>
          <w:p>
            <w:pPr>
              <w:spacing w:after="0"/>
              <w:rPr>
                <w:sz w:val="2"/>
                <w:szCs w:val="2"/>
                <w:color w:val="auto"/>
              </w:rPr>
            </w:pPr>
          </w:p>
        </w:tc>
        <w:tc>
          <w:tcPr>
            <w:tcW w:w="86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(1,508,582)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11,292,213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(10,412,147)</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15,527,728</w:t>
            </w:r>
          </w:p>
        </w:tc>
      </w:tr>
      <w:tr>
        <w:trPr>
          <w:trHeight w:val="28"/>
        </w:trPr>
        <w:tc>
          <w:tcPr>
            <w:tcW w:w="650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860" w:type="dxa"/>
            <w:vAlign w:val="bottom"/>
            <w:tcBorders>
              <w:bottom w:val="single" w:sz="8" w:color="D7282F"/>
            </w:tcBorders>
          </w:tcPr>
          <w:p>
            <w:pPr>
              <w:spacing w:after="0"/>
              <w:rPr>
                <w:sz w:val="2"/>
                <w:szCs w:val="2"/>
                <w:color w:val="auto"/>
              </w:rPr>
            </w:pPr>
          </w:p>
        </w:tc>
        <w:tc>
          <w:tcPr>
            <w:tcW w:w="200" w:type="dxa"/>
            <w:vAlign w:val="bottom"/>
            <w:tcBorders>
              <w:bottom w:val="single" w:sz="8" w:color="D7282F"/>
            </w:tcBorders>
          </w:tcPr>
          <w:p>
            <w:pPr>
              <w:spacing w:after="0"/>
              <w:rPr>
                <w:sz w:val="2"/>
                <w:szCs w:val="2"/>
                <w:color w:val="auto"/>
              </w:rPr>
            </w:pPr>
          </w:p>
        </w:tc>
        <w:tc>
          <w:tcPr>
            <w:tcW w:w="860" w:type="dxa"/>
            <w:vAlign w:val="bottom"/>
            <w:tcBorders>
              <w:bottom w:val="single" w:sz="8" w:color="D7282F"/>
            </w:tcBorders>
          </w:tcPr>
          <w:p>
            <w:pPr>
              <w:spacing w:after="0"/>
              <w:rPr>
                <w:sz w:val="2"/>
                <w:szCs w:val="2"/>
                <w:color w:val="auto"/>
              </w:rPr>
            </w:pPr>
          </w:p>
        </w:tc>
        <w:tc>
          <w:tcPr>
            <w:tcW w:w="200" w:type="dxa"/>
            <w:vAlign w:val="bottom"/>
            <w:tcBorders>
              <w:bottom w:val="single" w:sz="8" w:color="D7282F"/>
            </w:tcBorders>
          </w:tcPr>
          <w:p>
            <w:pPr>
              <w:spacing w:after="0"/>
              <w:rPr>
                <w:sz w:val="2"/>
                <w:szCs w:val="2"/>
                <w:color w:val="auto"/>
              </w:rPr>
            </w:pPr>
          </w:p>
        </w:tc>
        <w:tc>
          <w:tcPr>
            <w:tcW w:w="86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r>
      <w:tr>
        <w:trPr>
          <w:trHeight w:val="174"/>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“Compensation Actually Paid” to PEO — Adamczyk</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21,520,786</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36,729,811</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15,687,973</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34,603,009</w:t>
            </w:r>
          </w:p>
        </w:tc>
      </w:tr>
      <w:tr>
        <w:trPr>
          <w:trHeight w:val="22"/>
        </w:trPr>
        <w:tc>
          <w:tcPr>
            <w:tcW w:w="6500" w:type="dxa"/>
            <w:vAlign w:val="bottom"/>
            <w:tcBorders>
              <w:bottom w:val="single" w:sz="8" w:color="D7282F"/>
            </w:tcBorders>
          </w:tcPr>
          <w:p>
            <w:pPr>
              <w:spacing w:after="0" w:line="20" w:lineRule="exact"/>
              <w:rPr>
                <w:sz w:val="1"/>
                <w:szCs w:val="1"/>
                <w:color w:val="auto"/>
              </w:rPr>
            </w:pPr>
          </w:p>
        </w:tc>
        <w:tc>
          <w:tcPr>
            <w:tcW w:w="22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20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20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22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r>
    </w:tbl>
    <w:p>
      <w:pPr>
        <w:spacing w:after="0" w:line="171" w:lineRule="exact"/>
        <w:rPr>
          <w:sz w:val="20"/>
          <w:szCs w:val="20"/>
          <w:color w:val="auto"/>
        </w:rPr>
      </w:pPr>
    </w:p>
    <w:p>
      <w:pPr>
        <w:ind w:left="200" w:right="120" w:hanging="192"/>
        <w:spacing w:after="0" w:line="237" w:lineRule="auto"/>
        <w:tabs>
          <w:tab w:leader="none" w:pos="200" w:val="left"/>
        </w:tabs>
        <w:numPr>
          <w:ilvl w:val="0"/>
          <w:numId w:val="201"/>
        </w:numPr>
        <w:rPr>
          <w:rFonts w:ascii="Arial" w:cs="Arial" w:eastAsia="Arial" w:hAnsi="Arial"/>
          <w:sz w:val="16"/>
          <w:szCs w:val="16"/>
          <w:color w:val="auto"/>
          <w:vertAlign w:val="superscript"/>
        </w:rPr>
      </w:pPr>
      <w:r>
        <w:rPr>
          <w:rFonts w:ascii="Arial" w:cs="Arial" w:eastAsia="Arial" w:hAnsi="Arial"/>
          <w:sz w:val="13"/>
          <w:szCs w:val="13"/>
          <w:color w:val="auto"/>
        </w:rPr>
        <w:t>The dollar amounts reported under Average Compensation Actually Paid for Non-PEO NEOs represent the average amount of "compensation actually paid" to the Non-PEO NEOs as a group (excluding the PEOs), as computed in accordance with Items 402(v) of Regulation S-K. The dollar amounts do not reflect the actual average amount of compensation earned by or paid to the Non-PEO NEOs as a group during the applicable year. In accordance with the requirements of Item 402(v) of Regulation S-K, the adjustments in the table below were made to the Non-PEO NEOs' total compensation for each year to determine the compensation actually paid:</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177"/>
              <w:spacing w:after="0"/>
              <w:rPr>
                <w:sz w:val="20"/>
                <w:szCs w:val="20"/>
                <w:color w:val="auto"/>
              </w:rPr>
            </w:pPr>
            <w:r>
              <w:rPr>
                <w:rFonts w:ascii="Arial" w:cs="Arial" w:eastAsia="Arial" w:hAnsi="Arial"/>
                <w:sz w:val="13"/>
                <w:szCs w:val="13"/>
                <w:b w:val="1"/>
                <w:bCs w:val="1"/>
                <w:color w:val="auto"/>
                <w:w w:val="99"/>
              </w:rPr>
              <w:t>Non-PEO NEOs Average ($)</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
        </w:trPr>
        <w:tc>
          <w:tcPr>
            <w:tcW w:w="6500" w:type="dxa"/>
            <w:vAlign w:val="bottom"/>
          </w:tcPr>
          <w:p>
            <w:pPr>
              <w:spacing w:after="0" w:line="20" w:lineRule="exact"/>
              <w:rPr>
                <w:sz w:val="1"/>
                <w:szCs w:val="1"/>
                <w:color w:val="auto"/>
              </w:rPr>
            </w:pPr>
          </w:p>
        </w:tc>
        <w:tc>
          <w:tcPr>
            <w:tcW w:w="260" w:type="dxa"/>
            <w:vAlign w:val="bottom"/>
            <w:tcBorders>
              <w:bottom w:val="single" w:sz="8" w:color="EE2724"/>
            </w:tcBorders>
          </w:tcPr>
          <w:p>
            <w:pPr>
              <w:spacing w:after="0" w:line="20" w:lineRule="exact"/>
              <w:rPr>
                <w:sz w:val="1"/>
                <w:szCs w:val="1"/>
                <w:color w:val="auto"/>
              </w:rPr>
            </w:pPr>
          </w:p>
        </w:tc>
        <w:tc>
          <w:tcPr>
            <w:tcW w:w="820" w:type="dxa"/>
            <w:vAlign w:val="bottom"/>
            <w:tcBorders>
              <w:bottom w:val="single" w:sz="8" w:color="EE2724"/>
            </w:tcBorders>
          </w:tcPr>
          <w:p>
            <w:pPr>
              <w:spacing w:after="0" w:line="20" w:lineRule="exact"/>
              <w:rPr>
                <w:sz w:val="1"/>
                <w:szCs w:val="1"/>
                <w:color w:val="auto"/>
              </w:rPr>
            </w:pPr>
          </w:p>
        </w:tc>
        <w:tc>
          <w:tcPr>
            <w:tcW w:w="160" w:type="dxa"/>
            <w:vAlign w:val="bottom"/>
            <w:tcBorders>
              <w:bottom w:val="single" w:sz="8" w:color="EE2724"/>
            </w:tcBorders>
          </w:tcPr>
          <w:p>
            <w:pPr>
              <w:spacing w:after="0" w:line="20" w:lineRule="exact"/>
              <w:rPr>
                <w:sz w:val="1"/>
                <w:szCs w:val="1"/>
                <w:color w:val="auto"/>
              </w:rPr>
            </w:pPr>
          </w:p>
        </w:tc>
        <w:tc>
          <w:tcPr>
            <w:tcW w:w="900" w:type="dxa"/>
            <w:vAlign w:val="bottom"/>
            <w:tcBorders>
              <w:bottom w:val="single" w:sz="8" w:color="EE2724"/>
            </w:tcBorders>
          </w:tcPr>
          <w:p>
            <w:pPr>
              <w:spacing w:after="0" w:line="20" w:lineRule="exact"/>
              <w:rPr>
                <w:sz w:val="1"/>
                <w:szCs w:val="1"/>
                <w:color w:val="auto"/>
              </w:rPr>
            </w:pPr>
          </w:p>
        </w:tc>
        <w:tc>
          <w:tcPr>
            <w:tcW w:w="240" w:type="dxa"/>
            <w:vAlign w:val="bottom"/>
            <w:tcBorders>
              <w:bottom w:val="single" w:sz="8" w:color="EE2724"/>
            </w:tcBorders>
          </w:tcPr>
          <w:p>
            <w:pPr>
              <w:spacing w:after="0" w:line="20" w:lineRule="exact"/>
              <w:rPr>
                <w:sz w:val="1"/>
                <w:szCs w:val="1"/>
                <w:color w:val="auto"/>
              </w:rPr>
            </w:pPr>
          </w:p>
        </w:tc>
        <w:tc>
          <w:tcPr>
            <w:tcW w:w="820" w:type="dxa"/>
            <w:vAlign w:val="bottom"/>
            <w:tcBorders>
              <w:bottom w:val="single" w:sz="8" w:color="EE2724"/>
            </w:tcBorders>
          </w:tcPr>
          <w:p>
            <w:pPr>
              <w:spacing w:after="0" w:line="20" w:lineRule="exact"/>
              <w:rPr>
                <w:sz w:val="1"/>
                <w:szCs w:val="1"/>
                <w:color w:val="auto"/>
              </w:rPr>
            </w:pPr>
          </w:p>
        </w:tc>
        <w:tc>
          <w:tcPr>
            <w:tcW w:w="240" w:type="dxa"/>
            <w:vAlign w:val="bottom"/>
            <w:tcBorders>
              <w:bottom w:val="single" w:sz="8" w:color="EE2724"/>
            </w:tcBorders>
          </w:tcPr>
          <w:p>
            <w:pPr>
              <w:spacing w:after="0" w:line="20" w:lineRule="exact"/>
              <w:rPr>
                <w:sz w:val="1"/>
                <w:szCs w:val="1"/>
                <w:color w:val="auto"/>
              </w:rPr>
            </w:pPr>
          </w:p>
        </w:tc>
        <w:tc>
          <w:tcPr>
            <w:tcW w:w="820" w:type="dxa"/>
            <w:vAlign w:val="bottom"/>
            <w:tcBorders>
              <w:bottom w:val="single" w:sz="8" w:color="EE2724"/>
            </w:tcBorders>
          </w:tcPr>
          <w:p>
            <w:pPr>
              <w:spacing w:after="0" w:line="20" w:lineRule="exact"/>
              <w:rPr>
                <w:sz w:val="1"/>
                <w:szCs w:val="1"/>
                <w:color w:val="auto"/>
              </w:rPr>
            </w:pPr>
          </w:p>
        </w:tc>
      </w:tr>
      <w:tr>
        <w:trPr>
          <w:trHeight w:val="174"/>
        </w:trPr>
        <w:tc>
          <w:tcPr>
            <w:tcW w:w="6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r>
      <w:tr>
        <w:trPr>
          <w:trHeight w:val="22"/>
        </w:trPr>
        <w:tc>
          <w:tcPr>
            <w:tcW w:w="6500" w:type="dxa"/>
            <w:vAlign w:val="bottom"/>
            <w:tcBorders>
              <w:bottom w:val="single" w:sz="8" w:color="D7282F"/>
            </w:tcBorders>
          </w:tcPr>
          <w:p>
            <w:pPr>
              <w:spacing w:after="0" w:line="20" w:lineRule="exact"/>
              <w:rPr>
                <w:sz w:val="1"/>
                <w:szCs w:val="1"/>
                <w:color w:val="auto"/>
              </w:rPr>
            </w:pPr>
          </w:p>
        </w:tc>
        <w:tc>
          <w:tcPr>
            <w:tcW w:w="26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160" w:type="dxa"/>
            <w:vAlign w:val="bottom"/>
            <w:tcBorders>
              <w:bottom w:val="single" w:sz="8" w:color="D7282F"/>
            </w:tcBorders>
          </w:tcPr>
          <w:p>
            <w:pPr>
              <w:spacing w:after="0" w:line="20" w:lineRule="exact"/>
              <w:rPr>
                <w:sz w:val="1"/>
                <w:szCs w:val="1"/>
                <w:color w:val="auto"/>
              </w:rPr>
            </w:pPr>
          </w:p>
        </w:tc>
        <w:tc>
          <w:tcPr>
            <w:tcW w:w="900" w:type="dxa"/>
            <w:vAlign w:val="bottom"/>
            <w:tcBorders>
              <w:bottom w:val="single" w:sz="8" w:color="D7282F"/>
            </w:tcBorders>
          </w:tcPr>
          <w:p>
            <w:pPr>
              <w:spacing w:after="0" w:line="20" w:lineRule="exact"/>
              <w:rPr>
                <w:sz w:val="1"/>
                <w:szCs w:val="1"/>
                <w:color w:val="auto"/>
              </w:rPr>
            </w:pPr>
          </w:p>
        </w:tc>
        <w:tc>
          <w:tcPr>
            <w:tcW w:w="24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24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r>
      <w:tr>
        <w:trPr>
          <w:trHeight w:val="175"/>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Total Reported in Summary Compensation Table (SCT)</w:t>
            </w:r>
          </w:p>
        </w:tc>
        <w:tc>
          <w:tcPr>
            <w:tcW w:w="260" w:type="dxa"/>
            <w:vAlign w:val="bottom"/>
          </w:tcPr>
          <w:p>
            <w:pPr>
              <w:jc w:val="right"/>
              <w:ind w:right="9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6,531,247</w:t>
            </w:r>
          </w:p>
        </w:tc>
        <w:tc>
          <w:tcPr>
            <w:tcW w:w="160" w:type="dxa"/>
            <w:vAlign w:val="bottom"/>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8,310,085</w:t>
            </w:r>
          </w:p>
        </w:tc>
        <w:tc>
          <w:tcPr>
            <w:tcW w:w="2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7,489,516</w:t>
            </w:r>
          </w:p>
        </w:tc>
        <w:tc>
          <w:tcPr>
            <w:tcW w:w="2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6,138,970</w:t>
            </w:r>
          </w:p>
        </w:tc>
      </w:tr>
      <w:tr>
        <w:trPr>
          <w:trHeight w:val="22"/>
        </w:trPr>
        <w:tc>
          <w:tcPr>
            <w:tcW w:w="650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160" w:type="dxa"/>
            <w:vAlign w:val="bottom"/>
            <w:tcBorders>
              <w:bottom w:val="single" w:sz="8" w:color="939598"/>
            </w:tcBorders>
          </w:tcPr>
          <w:p>
            <w:pPr>
              <w:spacing w:after="0" w:line="20" w:lineRule="exact"/>
              <w:rPr>
                <w:sz w:val="1"/>
                <w:szCs w:val="1"/>
                <w:color w:val="auto"/>
              </w:rPr>
            </w:pPr>
          </w:p>
        </w:tc>
        <w:tc>
          <w:tcPr>
            <w:tcW w:w="900" w:type="dxa"/>
            <w:vAlign w:val="bottom"/>
            <w:tcBorders>
              <w:bottom w:val="single" w:sz="8" w:color="939598"/>
            </w:tcBorders>
          </w:tcPr>
          <w:p>
            <w:pPr>
              <w:spacing w:after="0" w:line="20" w:lineRule="exact"/>
              <w:rPr>
                <w:sz w:val="1"/>
                <w:szCs w:val="1"/>
                <w:color w:val="auto"/>
              </w:rPr>
            </w:pPr>
          </w:p>
        </w:tc>
        <w:tc>
          <w:tcPr>
            <w:tcW w:w="2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c>
          <w:tcPr>
            <w:tcW w:w="240" w:type="dxa"/>
            <w:vAlign w:val="bottom"/>
            <w:tcBorders>
              <w:bottom w:val="single" w:sz="8" w:color="939598"/>
            </w:tcBorders>
          </w:tcPr>
          <w:p>
            <w:pPr>
              <w:spacing w:after="0" w:line="20" w:lineRule="exact"/>
              <w:rPr>
                <w:sz w:val="1"/>
                <w:szCs w:val="1"/>
                <w:color w:val="auto"/>
              </w:rPr>
            </w:pPr>
          </w:p>
        </w:tc>
        <w:tc>
          <w:tcPr>
            <w:tcW w:w="820" w:type="dxa"/>
            <w:vAlign w:val="bottom"/>
            <w:tcBorders>
              <w:bottom w:val="single" w:sz="8" w:color="939598"/>
            </w:tcBorders>
          </w:tcPr>
          <w:p>
            <w:pPr>
              <w:spacing w:after="0" w:line="20" w:lineRule="exact"/>
              <w:rPr>
                <w:sz w:val="1"/>
                <w:szCs w:val="1"/>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Less, Value of Stock &amp; Option Awards Reported in SCT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(4,410,961)</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(6,206,612)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(5,394,884)</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(4,077,093)</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Less, Change in Pension Value and Non-Qualified Deferred Compensation Earnings in SCT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(228,752)</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(257,602)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(151,402)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(327,288)</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Plus, Pension Service Cost</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61,265</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44,745</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82,389</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92,707</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Plus, Year-End Value of Awards Granted in Fiscal Year that are Unvested and Outstanding</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4,710,290</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7,905,172</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3,998,779</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6,691,235</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Plus, Change in Fair Value of Prior Year Awards that are Outstanding and Unvested</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282,769</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1,771,263</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(475,089)</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3,704,102</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Plus, FMV of Awards Granted this Year and that Vested this Year</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Plus, Change in Fair Value (from Prior Year-End) of Prior Year Awards that Vested this Year</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(715,527)</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(161,917)</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(525,181)</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(856,220)</w:t>
            </w:r>
          </w:p>
        </w:tc>
      </w:tr>
      <w:tr>
        <w:trPr>
          <w:trHeight w:val="28"/>
        </w:trPr>
        <w:tc>
          <w:tcPr>
            <w:tcW w:w="6500" w:type="dxa"/>
            <w:vAlign w:val="bottom"/>
            <w:tcBorders>
              <w:bottom w:val="single" w:sz="8" w:color="939598"/>
            </w:tcBorders>
          </w:tcPr>
          <w:p>
            <w:pPr>
              <w:spacing w:after="0"/>
              <w:rPr>
                <w:sz w:val="2"/>
                <w:szCs w:val="2"/>
                <w:color w:val="auto"/>
              </w:rPr>
            </w:pPr>
          </w:p>
        </w:tc>
        <w:tc>
          <w:tcPr>
            <w:tcW w:w="26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160" w:type="dxa"/>
            <w:vAlign w:val="bottom"/>
            <w:tcBorders>
              <w:bottom w:val="single" w:sz="8" w:color="939598"/>
            </w:tcBorders>
          </w:tcPr>
          <w:p>
            <w:pPr>
              <w:spacing w:after="0"/>
              <w:rPr>
                <w:sz w:val="2"/>
                <w:szCs w:val="2"/>
                <w:color w:val="auto"/>
              </w:rPr>
            </w:pPr>
          </w:p>
        </w:tc>
        <w:tc>
          <w:tcPr>
            <w:tcW w:w="90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820" w:type="dxa"/>
            <w:vAlign w:val="bottom"/>
            <w:tcBorders>
              <w:bottom w:val="single" w:sz="8" w:color="939598"/>
            </w:tcBorders>
          </w:tcPr>
          <w:p>
            <w:pPr>
              <w:spacing w:after="0"/>
              <w:rPr>
                <w:sz w:val="2"/>
                <w:szCs w:val="2"/>
                <w:color w:val="auto"/>
              </w:rPr>
            </w:pPr>
          </w:p>
        </w:tc>
      </w:tr>
      <w:tr>
        <w:trPr>
          <w:trHeight w:val="169"/>
        </w:trPr>
        <w:tc>
          <w:tcPr>
            <w:tcW w:w="6500" w:type="dxa"/>
            <w:vAlign w:val="bottom"/>
          </w:tcPr>
          <w:p>
            <w:pPr>
              <w:ind w:left="20"/>
              <w:spacing w:after="0"/>
              <w:rPr>
                <w:sz w:val="20"/>
                <w:szCs w:val="20"/>
                <w:color w:val="auto"/>
              </w:rPr>
            </w:pPr>
            <w:r>
              <w:rPr>
                <w:rFonts w:ascii="Arial" w:cs="Arial" w:eastAsia="Arial" w:hAnsi="Arial"/>
                <w:sz w:val="13"/>
                <w:szCs w:val="13"/>
                <w:color w:val="auto"/>
              </w:rPr>
              <w:t>Less, Prior Year Fair Value of Prior Year Awards that Failed to Vest this Year</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650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90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r>
      <w:tr>
        <w:trPr>
          <w:trHeight w:val="168"/>
        </w:trPr>
        <w:tc>
          <w:tcPr>
            <w:tcW w:w="6500" w:type="dxa"/>
            <w:vAlign w:val="bottom"/>
          </w:tcPr>
          <w:p>
            <w:pPr>
              <w:ind w:left="20"/>
              <w:spacing w:after="0"/>
              <w:rPr>
                <w:sz w:val="20"/>
                <w:szCs w:val="20"/>
                <w:color w:val="auto"/>
              </w:rPr>
            </w:pPr>
            <w:r>
              <w:rPr>
                <w:rFonts w:ascii="Arial" w:cs="Arial" w:eastAsia="Arial" w:hAnsi="Arial"/>
                <w:sz w:val="13"/>
                <w:szCs w:val="13"/>
                <w:color w:val="auto"/>
              </w:rPr>
              <w:t>Total Adjustments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(300,916)</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3,095,050</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(2,465,387)</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5,227,443</w:t>
            </w:r>
          </w:p>
        </w:tc>
      </w:tr>
      <w:tr>
        <w:trPr>
          <w:trHeight w:val="28"/>
        </w:trPr>
        <w:tc>
          <w:tcPr>
            <w:tcW w:w="650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90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c>
          <w:tcPr>
            <w:tcW w:w="240" w:type="dxa"/>
            <w:vAlign w:val="bottom"/>
            <w:tcBorders>
              <w:bottom w:val="single" w:sz="8" w:color="D7282F"/>
            </w:tcBorders>
          </w:tcPr>
          <w:p>
            <w:pPr>
              <w:spacing w:after="0"/>
              <w:rPr>
                <w:sz w:val="2"/>
                <w:szCs w:val="2"/>
                <w:color w:val="auto"/>
              </w:rPr>
            </w:pPr>
          </w:p>
        </w:tc>
        <w:tc>
          <w:tcPr>
            <w:tcW w:w="820" w:type="dxa"/>
            <w:vAlign w:val="bottom"/>
            <w:tcBorders>
              <w:bottom w:val="single" w:sz="8" w:color="D7282F"/>
            </w:tcBorders>
          </w:tcPr>
          <w:p>
            <w:pPr>
              <w:spacing w:after="0"/>
              <w:rPr>
                <w:sz w:val="2"/>
                <w:szCs w:val="2"/>
                <w:color w:val="auto"/>
              </w:rPr>
            </w:pPr>
          </w:p>
        </w:tc>
      </w:tr>
      <w:tr>
        <w:trPr>
          <w:trHeight w:val="175"/>
        </w:trPr>
        <w:tc>
          <w:tcPr>
            <w:tcW w:w="6500" w:type="dxa"/>
            <w:vAlign w:val="bottom"/>
          </w:tcPr>
          <w:p>
            <w:pPr>
              <w:ind w:left="20"/>
              <w:spacing w:after="0"/>
              <w:rPr>
                <w:sz w:val="20"/>
                <w:szCs w:val="20"/>
                <w:color w:val="auto"/>
              </w:rPr>
            </w:pPr>
            <w:r>
              <w:rPr>
                <w:rFonts w:ascii="Arial" w:cs="Arial" w:eastAsia="Arial" w:hAnsi="Arial"/>
                <w:sz w:val="13"/>
                <w:szCs w:val="13"/>
                <w:b w:val="1"/>
                <w:bCs w:val="1"/>
                <w:color w:val="auto"/>
              </w:rPr>
              <w:t>Average “Compensation Actually Paid” to Non-PEO NEOs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6,230,330</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11,405,134</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5,024,129</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11,366,412</w:t>
            </w:r>
          </w:p>
        </w:tc>
      </w:tr>
      <w:tr>
        <w:trPr>
          <w:trHeight w:val="21"/>
        </w:trPr>
        <w:tc>
          <w:tcPr>
            <w:tcW w:w="6500" w:type="dxa"/>
            <w:vAlign w:val="bottom"/>
            <w:tcBorders>
              <w:bottom w:val="single" w:sz="8" w:color="D7282F"/>
            </w:tcBorders>
          </w:tcPr>
          <w:p>
            <w:pPr>
              <w:spacing w:after="0" w:line="20" w:lineRule="exact"/>
              <w:rPr>
                <w:sz w:val="1"/>
                <w:szCs w:val="1"/>
                <w:color w:val="auto"/>
              </w:rPr>
            </w:pPr>
          </w:p>
        </w:tc>
        <w:tc>
          <w:tcPr>
            <w:tcW w:w="26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160" w:type="dxa"/>
            <w:vAlign w:val="bottom"/>
            <w:tcBorders>
              <w:bottom w:val="single" w:sz="8" w:color="D7282F"/>
            </w:tcBorders>
          </w:tcPr>
          <w:p>
            <w:pPr>
              <w:spacing w:after="0" w:line="20" w:lineRule="exact"/>
              <w:rPr>
                <w:sz w:val="1"/>
                <w:szCs w:val="1"/>
                <w:color w:val="auto"/>
              </w:rPr>
            </w:pPr>
          </w:p>
        </w:tc>
        <w:tc>
          <w:tcPr>
            <w:tcW w:w="900" w:type="dxa"/>
            <w:vAlign w:val="bottom"/>
            <w:tcBorders>
              <w:bottom w:val="single" w:sz="8" w:color="D7282F"/>
            </w:tcBorders>
          </w:tcPr>
          <w:p>
            <w:pPr>
              <w:spacing w:after="0" w:line="20" w:lineRule="exact"/>
              <w:rPr>
                <w:sz w:val="1"/>
                <w:szCs w:val="1"/>
                <w:color w:val="auto"/>
              </w:rPr>
            </w:pPr>
          </w:p>
        </w:tc>
        <w:tc>
          <w:tcPr>
            <w:tcW w:w="24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c>
          <w:tcPr>
            <w:tcW w:w="240" w:type="dxa"/>
            <w:vAlign w:val="bottom"/>
            <w:tcBorders>
              <w:bottom w:val="single" w:sz="8" w:color="D7282F"/>
            </w:tcBorders>
          </w:tcPr>
          <w:p>
            <w:pPr>
              <w:spacing w:after="0" w:line="20" w:lineRule="exact"/>
              <w:rPr>
                <w:sz w:val="1"/>
                <w:szCs w:val="1"/>
                <w:color w:val="auto"/>
              </w:rPr>
            </w:pPr>
          </w:p>
        </w:tc>
        <w:tc>
          <w:tcPr>
            <w:tcW w:w="820" w:type="dxa"/>
            <w:vAlign w:val="bottom"/>
            <w:tcBorders>
              <w:bottom w:val="single" w:sz="8" w:color="D7282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473" w:val="left"/>
          <w:tab w:leader="none" w:pos="18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sz w:val="1"/>
          <w:szCs w:val="1"/>
          <w:color w:val="auto"/>
        </w:rPr>
        <w:drawing>
          <wp:inline distT="0" distB="0" distL="0" distR="0">
            <wp:extent cx="548640" cy="10287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0" w:right="3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six items listed below represent the most important financial performance metrics we used to determine CAP for FY2023 as further described in our Compensation Discussion and Analysis within the sections titled “Annual Incentive Compensation Plan Decisions” and “Long-Term Incentive Compensation Decisions.”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Most Important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2343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Segment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Cumulative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Average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2343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graphs below illustrate the relationships between, respectively, our TSR and the TSR of our peer group, CAP and our TSR, CAP and our net income, and CAP and the CSM (segment margin).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TSR: Company versus Peer Group</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Company’s TSR as well as that of our comparator index, the Nasdaq Industrial Select Sector Index (XLI), over a 4-year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D6E71"/>
        </w:rPr>
        <w:t>TOTAL SHAREHOLDER RETURN: HONEYWELL vs XLI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89535</wp:posOffset>
            </wp:positionV>
            <wp:extent cx="3789045" cy="166306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78904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CAP versus TSR</w:t>
      </w:r>
    </w:p>
    <w:p>
      <w:pPr>
        <w:spacing w:after="0" w:line="12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 shown in the chart below, the PEO’s and average non-PEO NEOs’ CAP values are reasonably aligned with Honeywell's TSR. This is primarily due to the Honeywell’s use of Performance Shares (PSUs), NQSOs, and Restricted Stock Units (RSUs), which are tied directly to stock price and the Company’s financial performance. The lower CAP values for 2023 are reflective of annual 2023 TSR being flat as of the December 31, 2023 measurement 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6D6E71"/>
        </w:rPr>
        <w:t>CAP vs HONEYWELL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80645</wp:posOffset>
            </wp:positionV>
            <wp:extent cx="5717540" cy="17741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71754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30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99</w:t>
            </w:r>
          </w:p>
        </w:tc>
      </w:tr>
      <w:tr>
        <w:trPr>
          <w:trHeight w:val="373"/>
        </w:trPr>
        <w:tc>
          <w:tcPr>
            <w:tcW w:w="10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color w:val="6D6E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CAP versus Net Income</w:t>
      </w:r>
    </w:p>
    <w:p>
      <w:pPr>
        <w:spacing w:after="0" w:line="11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charts below reflect the relationship between PEO CAP and Average Non-PEO NEOs CAP and Honeywell’s GAAP net income. The Company does not use net income to determine compensation levels, incentive plan payouts, or as a metric in our long-term incentive plans. Since long-term incentives comprise the largest portion of our NEOsʼ pay, and CAP values include multiple years of LTI awards, and only one year of annual incentives, the relationship between CAP and net income is less evident.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6D6E71"/>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80645</wp:posOffset>
            </wp:positionV>
            <wp:extent cx="5717540" cy="178308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71754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CAP versus Segment Margin</w:t>
      </w:r>
    </w:p>
    <w:p>
      <w:pPr>
        <w:spacing w:after="0" w:line="11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chart below reflects the relationship between the PEO CAP and Average Non-PEO NEOs CAP and Honeywell’s segment margin for the applicable reporting year. We continue to execute in delivering meaningful year-over-year improvements in our segment margin rate performance. We consider segment margin to be the most important financial measure used to link pay to performance due to the strong correlation with long-term share price growth.</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6D6E71"/>
        </w:rPr>
        <w:t>CAP vs SEGMENT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80645</wp:posOffset>
            </wp:positionV>
            <wp:extent cx="5717540" cy="17913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7175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100  </w:t>
      </w:r>
      <w:r>
        <w:rPr>
          <w:sz w:val="1"/>
          <w:szCs w:val="1"/>
          <w:color w:val="auto"/>
        </w:rPr>
        <w:drawing>
          <wp:inline distT="0" distB="0" distL="0" distR="0">
            <wp:extent cx="548640" cy="10287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7" w:name="page108"/>
    <w:bookmarkEnd w:id="107"/>
    <w:p>
      <w:pPr>
        <w:spacing w:after="0"/>
        <w:rPr>
          <w:sz w:val="20"/>
          <w:szCs w:val="20"/>
          <w:color w:val="auto"/>
        </w:rPr>
      </w:pPr>
      <w:r>
        <w:rPr>
          <w:rFonts w:ascii="Arial" w:cs="Arial" w:eastAsia="Arial" w:hAnsi="Arial"/>
          <w:sz w:val="45"/>
          <w:szCs w:val="45"/>
          <w:b w:val="1"/>
          <w:bCs w:val="1"/>
          <w:color w:val="auto"/>
        </w:rPr>
        <w:t>PROPOSAL 3:</w:t>
      </w:r>
    </w:p>
    <w:p>
      <w:pPr>
        <w:spacing w:after="0" w:line="69" w:lineRule="exact"/>
        <w:rPr>
          <w:sz w:val="20"/>
          <w:szCs w:val="20"/>
          <w:color w:val="auto"/>
        </w:rPr>
      </w:pPr>
    </w:p>
    <w:p>
      <w:pPr>
        <w:spacing w:after="0"/>
        <w:rPr>
          <w:sz w:val="20"/>
          <w:szCs w:val="20"/>
          <w:color w:val="auto"/>
        </w:rPr>
      </w:pPr>
      <w:r>
        <w:rPr>
          <w:rFonts w:ascii="Arial" w:cs="Arial" w:eastAsia="Arial" w:hAnsi="Arial"/>
          <w:sz w:val="45"/>
          <w:szCs w:val="45"/>
          <w:b w:val="1"/>
          <w:bCs w:val="1"/>
          <w:color w:val="auto"/>
        </w:rPr>
        <w:t>APPROVAL OF INDEPENDENT ACCOUNTANTS</w:t>
      </w:r>
    </w:p>
    <w:p>
      <w:pPr>
        <w:spacing w:after="0" w:line="200" w:lineRule="exact"/>
        <w:rPr>
          <w:sz w:val="20"/>
          <w:szCs w:val="20"/>
          <w:color w:val="auto"/>
        </w:rPr>
      </w:pPr>
    </w:p>
    <w:p>
      <w:pPr>
        <w:spacing w:after="0" w:line="24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Audit Committee, which consists entirely of independent directors, is directly responsible for the appointment, compensation, retention, and oversight of the Company’s independent registered public accounting firm. The Audit Committee is recommending approval of its appointment of Deloitte &amp; Touche LLP (Deloitte) as independent accountants for Honeywell to audit its consolidated financial statements for 2024 and to perform audit-related services. These services include reviewing our quarterly interim financial information and periodic reports and registration statements filed with the SEC and consultation in connection with various accounting and financial reporting matters. If shareowners do not approve, the Audit Committee will reconsider the appointment.</w:t>
      </w:r>
    </w:p>
    <w:p>
      <w:pPr>
        <w:spacing w:after="0" w:line="6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Audit Committee, and Honeywell’s Board of Directors, believe that the continued retention of Deloitte as the Company’s independent registered public accounting firm is in the best interests of the Company and its shareowners. Honeywell has been advised by Deloitte that it will have a representative present virtually at the Annual Meeting who will be available to respond to appropriate questions. The representative will also have the opportunity to make a statement if he or she desires to do so.</w:t>
      </w:r>
    </w:p>
    <w:p>
      <w:pPr>
        <w:spacing w:after="0" w:line="25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INDEPENDENT ACCOUNTING FIRM FEES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Deloitte provided the following audit and other services during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 Millions of $)</w:t>
            </w:r>
          </w:p>
        </w:tc>
        <w:tc>
          <w:tcPr>
            <w:tcW w:w="52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7480" w:type="dxa"/>
            <w:vAlign w:val="bottom"/>
            <w:tcBorders>
              <w:bottom w:val="single" w:sz="8" w:color="D7282F"/>
            </w:tcBorders>
          </w:tcPr>
          <w:p>
            <w:pPr>
              <w:spacing w:after="0"/>
              <w:rPr>
                <w:sz w:val="17"/>
                <w:szCs w:val="17"/>
                <w:color w:val="auto"/>
              </w:rPr>
            </w:pPr>
          </w:p>
        </w:tc>
      </w:tr>
      <w:tr>
        <w:trPr>
          <w:trHeight w:val="193"/>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Audit Fees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17.58</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16.92</w:t>
            </w:r>
          </w:p>
        </w:tc>
        <w:tc>
          <w:tcPr>
            <w:tcW w:w="7480" w:type="dxa"/>
            <w:vAlign w:val="bottom"/>
          </w:tcPr>
          <w:p>
            <w:pPr>
              <w:ind w:left="60"/>
              <w:spacing w:after="0"/>
              <w:rPr>
                <w:sz w:val="20"/>
                <w:szCs w:val="20"/>
                <w:color w:val="auto"/>
              </w:rPr>
            </w:pPr>
            <w:r>
              <w:rPr>
                <w:rFonts w:ascii="Arial" w:cs="Arial" w:eastAsia="Arial" w:hAnsi="Arial"/>
                <w:sz w:val="14"/>
                <w:szCs w:val="14"/>
                <w:color w:val="auto"/>
              </w:rPr>
              <w:t>Annual integrated audit of the Company’s consolidated financial statements, and internal control over financial</w:t>
            </w:r>
          </w:p>
        </w:tc>
      </w:tr>
      <w:tr>
        <w:trPr>
          <w:trHeight w:val="190"/>
        </w:trPr>
        <w:tc>
          <w:tcPr>
            <w:tcW w:w="1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80" w:type="dxa"/>
            <w:vAlign w:val="bottom"/>
          </w:tcPr>
          <w:p>
            <w:pPr>
              <w:ind w:left="60"/>
              <w:spacing w:after="0"/>
              <w:rPr>
                <w:sz w:val="20"/>
                <w:szCs w:val="20"/>
                <w:color w:val="auto"/>
              </w:rPr>
            </w:pPr>
            <w:r>
              <w:rPr>
                <w:rFonts w:ascii="Arial" w:cs="Arial" w:eastAsia="Arial" w:hAnsi="Arial"/>
                <w:sz w:val="14"/>
                <w:szCs w:val="14"/>
                <w:color w:val="auto"/>
              </w:rPr>
              <w:t>reporting, statutory audits of foreign subsidiaries, attest services, and review of documents filed with the SEC.</w:t>
            </w:r>
          </w:p>
        </w:tc>
      </w:tr>
      <w:tr>
        <w:trPr>
          <w:trHeight w:val="22"/>
        </w:trPr>
        <w:tc>
          <w:tcPr>
            <w:tcW w:w="172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60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580" w:type="dxa"/>
            <w:vAlign w:val="bottom"/>
            <w:tcBorders>
              <w:bottom w:val="single" w:sz="8" w:color="939598"/>
            </w:tcBorders>
          </w:tcPr>
          <w:p>
            <w:pPr>
              <w:spacing w:after="0" w:line="20" w:lineRule="exact"/>
              <w:rPr>
                <w:sz w:val="1"/>
                <w:szCs w:val="1"/>
                <w:color w:val="auto"/>
              </w:rPr>
            </w:pPr>
          </w:p>
        </w:tc>
        <w:tc>
          <w:tcPr>
            <w:tcW w:w="7480" w:type="dxa"/>
            <w:vAlign w:val="bottom"/>
            <w:tcBorders>
              <w:bottom w:val="single" w:sz="8" w:color="939598"/>
            </w:tcBorders>
          </w:tcPr>
          <w:p>
            <w:pPr>
              <w:spacing w:after="0" w:line="20" w:lineRule="exact"/>
              <w:rPr>
                <w:sz w:val="1"/>
                <w:szCs w:val="1"/>
                <w:color w:val="auto"/>
              </w:rPr>
            </w:pPr>
          </w:p>
        </w:tc>
      </w:tr>
      <w:tr>
        <w:trPr>
          <w:trHeight w:val="187"/>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Audit-Related Fees</w:t>
            </w:r>
          </w:p>
        </w:tc>
        <w:tc>
          <w:tcPr>
            <w:tcW w:w="52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color w:val="auto"/>
              </w:rPr>
              <w:t>1.88</w:t>
            </w:r>
          </w:p>
        </w:tc>
        <w:tc>
          <w:tcPr>
            <w:tcW w:w="32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3.33</w:t>
            </w:r>
          </w:p>
        </w:tc>
        <w:tc>
          <w:tcPr>
            <w:tcW w:w="7480" w:type="dxa"/>
            <w:vAlign w:val="bottom"/>
          </w:tcPr>
          <w:p>
            <w:pPr>
              <w:ind w:left="60"/>
              <w:spacing w:after="0"/>
              <w:rPr>
                <w:sz w:val="20"/>
                <w:szCs w:val="20"/>
                <w:color w:val="auto"/>
              </w:rPr>
            </w:pPr>
            <w:r>
              <w:rPr>
                <w:rFonts w:ascii="Arial" w:cs="Arial" w:eastAsia="Arial" w:hAnsi="Arial"/>
                <w:sz w:val="14"/>
                <w:szCs w:val="14"/>
                <w:color w:val="auto"/>
              </w:rPr>
              <w:t>Audit-related services in both 2023 and 2022 related primarily to carve out audits, consents, issuance of comfort</w:t>
            </w:r>
          </w:p>
        </w:tc>
      </w:tr>
      <w:tr>
        <w:trPr>
          <w:trHeight w:val="190"/>
        </w:trPr>
        <w:tc>
          <w:tcPr>
            <w:tcW w:w="1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80" w:type="dxa"/>
            <w:vAlign w:val="bottom"/>
          </w:tcPr>
          <w:p>
            <w:pPr>
              <w:ind w:left="60"/>
              <w:spacing w:after="0"/>
              <w:rPr>
                <w:sz w:val="20"/>
                <w:szCs w:val="20"/>
                <w:color w:val="auto"/>
              </w:rPr>
            </w:pPr>
            <w:r>
              <w:rPr>
                <w:rFonts w:ascii="Arial" w:cs="Arial" w:eastAsia="Arial" w:hAnsi="Arial"/>
                <w:sz w:val="14"/>
                <w:szCs w:val="14"/>
                <w:color w:val="auto"/>
              </w:rPr>
              <w:t>letters, and agreed upon procedures.</w:t>
            </w:r>
          </w:p>
        </w:tc>
      </w:tr>
      <w:tr>
        <w:trPr>
          <w:trHeight w:val="22"/>
        </w:trPr>
        <w:tc>
          <w:tcPr>
            <w:tcW w:w="1720" w:type="dxa"/>
            <w:vAlign w:val="bottom"/>
            <w:tcBorders>
              <w:bottom w:val="single" w:sz="8" w:color="939598"/>
            </w:tcBorders>
          </w:tcPr>
          <w:p>
            <w:pPr>
              <w:spacing w:after="0" w:line="20" w:lineRule="exact"/>
              <w:rPr>
                <w:sz w:val="1"/>
                <w:szCs w:val="1"/>
                <w:color w:val="auto"/>
              </w:rPr>
            </w:pPr>
          </w:p>
        </w:tc>
        <w:tc>
          <w:tcPr>
            <w:tcW w:w="520" w:type="dxa"/>
            <w:vAlign w:val="bottom"/>
            <w:tcBorders>
              <w:bottom w:val="single" w:sz="8" w:color="939598"/>
            </w:tcBorders>
          </w:tcPr>
          <w:p>
            <w:pPr>
              <w:spacing w:after="0" w:line="20" w:lineRule="exact"/>
              <w:rPr>
                <w:sz w:val="1"/>
                <w:szCs w:val="1"/>
                <w:color w:val="auto"/>
              </w:rPr>
            </w:pPr>
          </w:p>
        </w:tc>
        <w:tc>
          <w:tcPr>
            <w:tcW w:w="600" w:type="dxa"/>
            <w:vAlign w:val="bottom"/>
            <w:tcBorders>
              <w:bottom w:val="single" w:sz="8" w:color="939598"/>
            </w:tcBorders>
          </w:tcPr>
          <w:p>
            <w:pPr>
              <w:spacing w:after="0" w:line="20" w:lineRule="exact"/>
              <w:rPr>
                <w:sz w:val="1"/>
                <w:szCs w:val="1"/>
                <w:color w:val="auto"/>
              </w:rPr>
            </w:pPr>
          </w:p>
        </w:tc>
        <w:tc>
          <w:tcPr>
            <w:tcW w:w="320" w:type="dxa"/>
            <w:vAlign w:val="bottom"/>
            <w:tcBorders>
              <w:bottom w:val="single" w:sz="8" w:color="939598"/>
            </w:tcBorders>
          </w:tcPr>
          <w:p>
            <w:pPr>
              <w:spacing w:after="0" w:line="20" w:lineRule="exact"/>
              <w:rPr>
                <w:sz w:val="1"/>
                <w:szCs w:val="1"/>
                <w:color w:val="auto"/>
              </w:rPr>
            </w:pPr>
          </w:p>
        </w:tc>
        <w:tc>
          <w:tcPr>
            <w:tcW w:w="580" w:type="dxa"/>
            <w:vAlign w:val="bottom"/>
            <w:tcBorders>
              <w:bottom w:val="single" w:sz="8" w:color="939598"/>
            </w:tcBorders>
          </w:tcPr>
          <w:p>
            <w:pPr>
              <w:spacing w:after="0" w:line="20" w:lineRule="exact"/>
              <w:rPr>
                <w:sz w:val="1"/>
                <w:szCs w:val="1"/>
                <w:color w:val="auto"/>
              </w:rPr>
            </w:pPr>
          </w:p>
        </w:tc>
        <w:tc>
          <w:tcPr>
            <w:tcW w:w="7480" w:type="dxa"/>
            <w:vAlign w:val="bottom"/>
            <w:tcBorders>
              <w:bottom w:val="single" w:sz="8" w:color="939598"/>
            </w:tcBorders>
          </w:tcPr>
          <w:p>
            <w:pPr>
              <w:spacing w:after="0" w:line="20" w:lineRule="exact"/>
              <w:rPr>
                <w:sz w:val="1"/>
                <w:szCs w:val="1"/>
                <w:color w:val="auto"/>
              </w:rPr>
            </w:pPr>
          </w:p>
        </w:tc>
      </w:tr>
      <w:tr>
        <w:trPr>
          <w:trHeight w:val="216"/>
        </w:trPr>
        <w:tc>
          <w:tcPr>
            <w:tcW w:w="17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Tax Fees</w:t>
            </w:r>
          </w:p>
        </w:tc>
        <w:tc>
          <w:tcPr>
            <w:tcW w:w="520" w:type="dxa"/>
            <w:vAlign w:val="bottom"/>
            <w:tcBorders>
              <w:bottom w:val="single" w:sz="8" w:color="939598"/>
            </w:tcBorders>
          </w:tcPr>
          <w:p>
            <w:pPr>
              <w:spacing w:after="0"/>
              <w:rPr>
                <w:sz w:val="18"/>
                <w:szCs w:val="18"/>
                <w:color w:val="auto"/>
              </w:rPr>
            </w:pPr>
          </w:p>
        </w:tc>
        <w:tc>
          <w:tcPr>
            <w:tcW w:w="60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939598"/>
            </w:tcBorders>
          </w:tcPr>
          <w:p>
            <w:pPr>
              <w:spacing w:after="0"/>
              <w:rPr>
                <w:sz w:val="18"/>
                <w:szCs w:val="18"/>
                <w:color w:val="auto"/>
              </w:rPr>
            </w:pPr>
          </w:p>
        </w:tc>
        <w:tc>
          <w:tcPr>
            <w:tcW w:w="58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w:t>
            </w:r>
          </w:p>
        </w:tc>
        <w:tc>
          <w:tcPr>
            <w:tcW w:w="7480" w:type="dxa"/>
            <w:vAlign w:val="bottom"/>
            <w:tcBorders>
              <w:bottom w:val="single" w:sz="8" w:color="939598"/>
            </w:tcBorders>
          </w:tcPr>
          <w:p>
            <w:pPr>
              <w:ind w:left="60"/>
              <w:spacing w:after="0"/>
              <w:rPr>
                <w:sz w:val="20"/>
                <w:szCs w:val="20"/>
                <w:color w:val="auto"/>
              </w:rPr>
            </w:pPr>
            <w:r>
              <w:rPr>
                <w:rFonts w:ascii="Arial" w:cs="Arial" w:eastAsia="Arial" w:hAnsi="Arial"/>
                <w:sz w:val="14"/>
                <w:szCs w:val="14"/>
                <w:color w:val="auto"/>
              </w:rPr>
              <w:t>Fees related to tax compliance.</w:t>
            </w:r>
          </w:p>
        </w:tc>
      </w:tr>
      <w:tr>
        <w:trPr>
          <w:trHeight w:val="223"/>
        </w:trPr>
        <w:tc>
          <w:tcPr>
            <w:tcW w:w="17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All Other Fees</w:t>
            </w:r>
          </w:p>
        </w:tc>
        <w:tc>
          <w:tcPr>
            <w:tcW w:w="520" w:type="dxa"/>
            <w:vAlign w:val="bottom"/>
            <w:tcBorders>
              <w:bottom w:val="single" w:sz="8" w:color="D7282F"/>
            </w:tcBorders>
          </w:tcPr>
          <w:p>
            <w:pPr>
              <w:spacing w:after="0"/>
              <w:rPr>
                <w:sz w:val="19"/>
                <w:szCs w:val="19"/>
                <w:color w:val="auto"/>
              </w:rPr>
            </w:pP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0.05</w:t>
            </w:r>
          </w:p>
        </w:tc>
        <w:tc>
          <w:tcPr>
            <w:tcW w:w="320" w:type="dxa"/>
            <w:vAlign w:val="bottom"/>
            <w:tcBorders>
              <w:bottom w:val="single" w:sz="8" w:color="D7282F"/>
            </w:tcBorders>
          </w:tcPr>
          <w:p>
            <w:pPr>
              <w:spacing w:after="0"/>
              <w:rPr>
                <w:sz w:val="19"/>
                <w:szCs w:val="19"/>
                <w:color w:val="auto"/>
              </w:rPr>
            </w:pPr>
          </w:p>
        </w:tc>
        <w:tc>
          <w:tcPr>
            <w:tcW w:w="5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0.04</w:t>
            </w:r>
          </w:p>
        </w:tc>
        <w:tc>
          <w:tcPr>
            <w:tcW w:w="7480" w:type="dxa"/>
            <w:vAlign w:val="bottom"/>
            <w:tcBorders>
              <w:bottom w:val="single" w:sz="8" w:color="D7282F"/>
            </w:tcBorders>
          </w:tcPr>
          <w:p>
            <w:pPr>
              <w:ind w:left="60"/>
              <w:spacing w:after="0"/>
              <w:rPr>
                <w:sz w:val="20"/>
                <w:szCs w:val="20"/>
                <w:color w:val="auto"/>
              </w:rPr>
            </w:pPr>
            <w:r>
              <w:rPr>
                <w:rFonts w:ascii="Arial" w:cs="Arial" w:eastAsia="Arial" w:hAnsi="Arial"/>
                <w:sz w:val="14"/>
                <w:szCs w:val="14"/>
                <w:color w:val="auto"/>
              </w:rPr>
              <w:t>Fees related to advisory and consulting services.</w:t>
            </w:r>
          </w:p>
        </w:tc>
      </w:tr>
      <w:tr>
        <w:trPr>
          <w:trHeight w:val="223"/>
        </w:trPr>
        <w:tc>
          <w:tcPr>
            <w:tcW w:w="17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Fees</w:t>
            </w:r>
          </w:p>
        </w:tc>
        <w:tc>
          <w:tcPr>
            <w:tcW w:w="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19.51</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20.29</w:t>
            </w:r>
          </w:p>
        </w:tc>
        <w:tc>
          <w:tcPr>
            <w:tcW w:w="7480" w:type="dxa"/>
            <w:vAlign w:val="bottom"/>
            <w:tcBorders>
              <w:bottom w:val="single" w:sz="8" w:color="D7282F"/>
            </w:tcBorders>
          </w:tcPr>
          <w:p>
            <w:pPr>
              <w:spacing w:after="0"/>
              <w:rPr>
                <w:sz w:val="19"/>
                <w:szCs w:val="19"/>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NON-AUDIT SERVICES</w:t>
      </w:r>
    </w:p>
    <w:p>
      <w:pPr>
        <w:spacing w:after="0" w:line="141"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auto"/>
        </w:rPr>
        <w:t>The Audit Committee reviews non-audit services proposed to be provided by Deloitte to determine whether they would be compatible with maintaining Deloitte’s independence. The Audit Committee has established policies and procedures for the engagement of Deloitte to provide non-audit services. Specifically:</w:t>
      </w:r>
    </w:p>
    <w:p>
      <w:pPr>
        <w:spacing w:after="0" w:line="77" w:lineRule="exact"/>
        <w:rPr>
          <w:sz w:val="20"/>
          <w:szCs w:val="20"/>
          <w:color w:val="auto"/>
        </w:rPr>
      </w:pPr>
    </w:p>
    <w:p>
      <w:pPr>
        <w:ind w:left="200" w:right="180" w:hanging="192"/>
        <w:spacing w:after="0" w:line="265" w:lineRule="auto"/>
        <w:tabs>
          <w:tab w:leader="none" w:pos="197" w:val="left"/>
        </w:tabs>
        <w:numPr>
          <w:ilvl w:val="0"/>
          <w:numId w:val="202"/>
        </w:numPr>
        <w:rPr>
          <w:rFonts w:ascii="Arial" w:cs="Arial" w:eastAsia="Arial" w:hAnsi="Arial"/>
          <w:sz w:val="16"/>
          <w:szCs w:val="16"/>
          <w:b w:val="1"/>
          <w:bCs w:val="1"/>
          <w:color w:val="D7282F"/>
        </w:rPr>
      </w:pPr>
      <w:r>
        <w:rPr>
          <w:rFonts w:ascii="Arial" w:cs="Arial" w:eastAsia="Arial" w:hAnsi="Arial"/>
          <w:sz w:val="16"/>
          <w:szCs w:val="16"/>
          <w:color w:val="auto"/>
        </w:rPr>
        <w:t>The Audit Committee reviews and pre-approves an annual budget for specific categories of non-audit services (that are detailed as to the particular services), which Deloitte is to be permitted to provide (those categories do not include any of the prohibited services in the auditor independence provisions of the Sarbanes-Oxley Act of 2002). This review includes an evaluation of the possible impact of the provision of such services by Deloitte on the firm’s independence in performing its audit and audit-related services.</w:t>
      </w:r>
    </w:p>
    <w:p>
      <w:pPr>
        <w:spacing w:after="0" w:line="37" w:lineRule="exact"/>
        <w:rPr>
          <w:rFonts w:ascii="Arial" w:cs="Arial" w:eastAsia="Arial" w:hAnsi="Arial"/>
          <w:sz w:val="16"/>
          <w:szCs w:val="16"/>
          <w:b w:val="1"/>
          <w:bCs w:val="1"/>
          <w:color w:val="D7282F"/>
        </w:rPr>
      </w:pPr>
    </w:p>
    <w:p>
      <w:pPr>
        <w:ind w:left="200" w:right="220" w:hanging="192"/>
        <w:spacing w:after="0" w:line="286" w:lineRule="auto"/>
        <w:tabs>
          <w:tab w:leader="none" w:pos="197" w:val="left"/>
        </w:tabs>
        <w:numPr>
          <w:ilvl w:val="0"/>
          <w:numId w:val="202"/>
        </w:numPr>
        <w:rPr>
          <w:rFonts w:ascii="Arial" w:cs="Arial" w:eastAsia="Arial" w:hAnsi="Arial"/>
          <w:sz w:val="16"/>
          <w:szCs w:val="16"/>
          <w:b w:val="1"/>
          <w:bCs w:val="1"/>
          <w:color w:val="D7282F"/>
        </w:rPr>
      </w:pPr>
      <w:r>
        <w:rPr>
          <w:rFonts w:ascii="Arial" w:cs="Arial" w:eastAsia="Arial" w:hAnsi="Arial"/>
          <w:sz w:val="16"/>
          <w:szCs w:val="16"/>
          <w:color w:val="auto"/>
        </w:rPr>
        <w:t>The Audit Committee reviews the non-audit services performed by, and amount of fees paid to, Deloitte, by category in comparison to the pre-approved budget.</w:t>
      </w:r>
    </w:p>
    <w:p>
      <w:pPr>
        <w:spacing w:after="0" w:line="20" w:lineRule="exact"/>
        <w:rPr>
          <w:rFonts w:ascii="Arial" w:cs="Arial" w:eastAsia="Arial" w:hAnsi="Arial"/>
          <w:sz w:val="16"/>
          <w:szCs w:val="16"/>
          <w:b w:val="1"/>
          <w:bCs w:val="1"/>
          <w:color w:val="D7282F"/>
        </w:rPr>
      </w:pPr>
    </w:p>
    <w:p>
      <w:pPr>
        <w:ind w:left="200" w:right="180" w:hanging="192"/>
        <w:spacing w:after="0" w:line="265" w:lineRule="auto"/>
        <w:tabs>
          <w:tab w:leader="none" w:pos="197" w:val="left"/>
        </w:tabs>
        <w:numPr>
          <w:ilvl w:val="0"/>
          <w:numId w:val="202"/>
        </w:numPr>
        <w:rPr>
          <w:rFonts w:ascii="Arial" w:cs="Arial" w:eastAsia="Arial" w:hAnsi="Arial"/>
          <w:sz w:val="16"/>
          <w:szCs w:val="16"/>
          <w:b w:val="1"/>
          <w:bCs w:val="1"/>
          <w:color w:val="D7282F"/>
        </w:rPr>
      </w:pPr>
      <w:r>
        <w:rPr>
          <w:rFonts w:ascii="Arial" w:cs="Arial" w:eastAsia="Arial" w:hAnsi="Arial"/>
          <w:sz w:val="16"/>
          <w:szCs w:val="16"/>
          <w:color w:val="auto"/>
        </w:rPr>
        <w:t>The engagement of Deloitte to provide non-audit services that do not fall within a specific category of pre-approved services, or that would result in the total fees payable to Deloitte in any category to exceed the pre-approved amount, requires the prior approval of the Audit Committee. Between regularly scheduled meetings of the Audit Committee, the Audit Committee Chair may represent the entire committee for purposes of review and approval of any such engagement, and the Chair is required to report on all such interim reviews at the committee’s next regularly scheduled meeting.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101</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color w:val="6D6E71"/>
        </w:rPr>
        <w:t>PROPOSAL 3: APPROVAL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AUDIT COMMITTEE REPORT</w:t>
      </w:r>
    </w:p>
    <w:p>
      <w:pPr>
        <w:spacing w:after="0" w:line="127"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Audit Committee consists of the five directors named below. Each member of the Audit Committee is an independent director as defined by applicable SEC rules and stock exchange listing standards.</w:t>
      </w:r>
    </w:p>
    <w:p>
      <w:pPr>
        <w:spacing w:after="0" w:line="3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Management is responsible for Honeywell’s internal controls and preparing the Company’s consolidated financial statements. The Company’s independent accountants are responsible for performing an independent audit of the consolidated financial statements in accordance with the standards of the Public Company Accounting Oversight Board (United States) and issuing a report thereon. The Committee is responsible for overseeing the conduct of these activities and appointing the Company’s independent accountants. As stated above and in the Committee’s charter, the Committee’s responsibility is one of oversight. The Committee does not provide any expert or special assurance as to Honeywell’s financial statements concerning compliance with laws, regulations, or generally accepted accounting principles. In performing its oversight function, the Committee relies, without independent verification, on the information provided to it and on representations made by management and the independent accountants.</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Audit Committee reviewed and discussed Honeywell’s consolidated financial statements for the year ended December 31, 2023 with management and the independent accountants for 2023, Deloitte &amp; Touche LLP (Deloitte). Management represented to the Audit Committee that the Company’s consolidated financial statements were prepared in accordance with generally accepted accounting principles. The Audit Committee discussed with Deloitte matters required to be discussed by the applicable requirements of the Public Company Accounting Oversight Board and the SEC. The Committee also reviewed, and discussed with management and Deloitte, management’s report and Deloitte’s report on internal control over financial reporting in accordance with Section 404 of the Sarbanes-Oxley Act.</w:t>
      </w:r>
    </w:p>
    <w:p>
      <w:pPr>
        <w:spacing w:after="0" w:line="6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Honeywell’s independent accountants provided to the Audit Committee the written disclosures required by the applicable requirements of the Public Company Accounting Oversight Board regarding the independent accountant’s communications with the Audit Committee concerning independence, and the Committee discussed with the independent accountants their independence. The Audit Committee concluded that Deloitte’s provision of non-audit services, as detailed in the table on page 101, to the Company and its affiliates is compatible with Deloitte’s independence.</w:t>
      </w:r>
    </w:p>
    <w:p>
      <w:pPr>
        <w:spacing w:after="0" w:line="7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Based on the Audit Committee’s discussion with management and the independent accountants and the Audit Committee’s review of the representations of management and the report of the independent accountants, the Committee recommended to the Board of Directors that the audited consolidated financial statements in the Form 10-K for the year ended December 31, 2023, be filed with the SEC.</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Committee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 Scott Davis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Kevin Burke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Michael W. Lamach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Robin L. Washington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Robin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184785</wp:posOffset>
            </wp:positionV>
            <wp:extent cx="34290" cy="60833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4290" cy="608330"/>
                    </a:xfrm>
                    <a:prstGeom prst="rect">
                      <a:avLst/>
                    </a:prstGeom>
                    <a:noFill/>
                  </pic:spPr>
                </pic:pic>
              </a:graphicData>
            </a:graphic>
          </wp:anchor>
        </w:drawing>
      </w:r>
    </w:p>
    <w:p>
      <w:pPr>
        <w:spacing w:after="0" w:line="273" w:lineRule="exact"/>
        <w:rPr>
          <w:sz w:val="20"/>
          <w:szCs w:val="20"/>
          <w:color w:val="auto"/>
        </w:rPr>
      </w:pPr>
    </w:p>
    <w:p>
      <w:pPr>
        <w:ind w:left="160" w:right="80"/>
        <w:spacing w:after="0" w:line="27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FOR</w:t>
      </w:r>
      <w:r>
        <w:rPr>
          <w:rFonts w:ascii="Arial" w:cs="Arial" w:eastAsia="Arial" w:hAnsi="Arial"/>
          <w:sz w:val="25"/>
          <w:szCs w:val="25"/>
          <w:b w:val="1"/>
          <w:bCs w:val="1"/>
          <w:color w:val="auto"/>
        </w:rPr>
        <w:t xml:space="preserve"> THE APPROVAL OF THE APPOINTMENT OF DELOITTE AND TOUCHE LLP AS HONEYWELL'S INDEPENDENT ACCOUNTANTS.</w:t>
      </w:r>
    </w:p>
    <w:p>
      <w:pPr>
        <w:spacing w:after="0" w:line="303"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102  </w:t>
      </w:r>
      <w:r>
        <w:rPr>
          <w:sz w:val="1"/>
          <w:szCs w:val="1"/>
          <w:color w:val="auto"/>
        </w:rPr>
        <w:drawing>
          <wp:inline distT="0" distB="0" distL="0" distR="0">
            <wp:extent cx="548640" cy="10287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09" w:name="page110"/>
    <w:bookmarkEnd w:id="109"/>
    <w:p>
      <w:pPr>
        <w:spacing w:after="0"/>
        <w:rPr>
          <w:sz w:val="20"/>
          <w:szCs w:val="20"/>
          <w:color w:val="auto"/>
        </w:rPr>
      </w:pPr>
      <w:r>
        <w:rPr>
          <w:rFonts w:ascii="Arial" w:cs="Arial" w:eastAsia="Arial" w:hAnsi="Arial"/>
          <w:sz w:val="45"/>
          <w:szCs w:val="45"/>
          <w:b w:val="1"/>
          <w:bCs w:val="1"/>
          <w:color w:val="auto"/>
        </w:rPr>
        <w:t>PROPOSAL 4:</w:t>
      </w:r>
    </w:p>
    <w:p>
      <w:pPr>
        <w:spacing w:after="0" w:line="69" w:lineRule="exact"/>
        <w:rPr>
          <w:sz w:val="20"/>
          <w:szCs w:val="20"/>
          <w:color w:val="auto"/>
        </w:rPr>
      </w:pPr>
    </w:p>
    <w:p>
      <w:pPr>
        <w:ind w:right="1360"/>
        <w:spacing w:after="0" w:line="277" w:lineRule="auto"/>
        <w:rPr>
          <w:sz w:val="20"/>
          <w:szCs w:val="20"/>
          <w:color w:val="auto"/>
        </w:rPr>
      </w:pPr>
      <w:r>
        <w:rPr>
          <w:rFonts w:ascii="Arial" w:cs="Arial" w:eastAsia="Arial" w:hAnsi="Arial"/>
          <w:sz w:val="45"/>
          <w:szCs w:val="45"/>
          <w:b w:val="1"/>
          <w:bCs w:val="1"/>
          <w:color w:val="auto"/>
        </w:rPr>
        <w:t>SHAREOWNER PROPOSAL — INDEPENDENT BOARD CHAIRMAN</w:t>
      </w:r>
    </w:p>
    <w:p>
      <w:pPr>
        <w:spacing w:after="0" w:line="30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following proposal was submitted for inclusion in this Proxy Statement by John Chevedden (the beneficial owner of 20 shares of common stock). We will provide the proponent’s address upon a shareowner’s oral or written request. If Mr. Chevedden, or a representative who is qualified under state law, properly presents such proposal for a vote, then the proposal will be voted on at the Annual Meeting. In accordance with rules of the SEC, other than minor formatting changes, we are reprinting Mr. Chevedden’s proposal and supporting statement as it was submitted to us, including Mr. Chevedden’s graphic in red below, and we take no responsibility for its content.</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86360</wp:posOffset>
            </wp:positionV>
            <wp:extent cx="3042920" cy="7029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0429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 order that 2 separate people hold the office of the Chairman and the office of the CEO.</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Whenever possible, the Chairman of the Board shall be an Independent Director.</w:t>
      </w:r>
    </w:p>
    <w:p>
      <w:pPr>
        <w:spacing w:after="0" w:line="113"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The Board has the discretion to select a Temporary Chairman of the Board who is not an Independent Director to serve while the Board is seeking an Independent Chairman of the Board.</w:t>
      </w:r>
    </w:p>
    <w:p>
      <w:pPr>
        <w:spacing w:after="0" w:line="6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Although it is best practice to adopt this proposal soon this policy could be phased in when there is a contract renewal for our current CEO or for the next CEO transition.</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roles of Chairman and CEO are fundamentally different and should be held by 2 directors, a CEO and a Chairman who is completely independent of the CEO and our company. The job of the CEO is to manage the company. The job of the Chairman is to oversee the CEO.</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This proposal topic won 52% support at Boeing and 54% support at Baxter International in 2020. Boeing then adopted this proposal topic.</w:t>
      </w:r>
    </w:p>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This proposal also won 44% support at the 2023 Honeywell annual meeting. The 44% support is all the more impressive because the 2023 proposal was not properly reproduced in the proxy by Honeywell. Plus the Board of Directors put their hand on the scale and used shareholder money to distribute glossy advertising style materials to shareholders opposing the 2023 proposal.</w:t>
      </w:r>
    </w:p>
    <w:p>
      <w:pPr>
        <w:spacing w:after="0" w:line="5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It is important to remember that it takes much more Honeywell shareholder conviction – based on the merits – to vote for this proposal than to simply vote according to the party line of the Honeywell Board of Directors.</w:t>
      </w:r>
    </w:p>
    <w:p>
      <w:pPr>
        <w:spacing w:after="0" w:line="6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And Honeywell does not have the best choice for a lead director. Honeywell Lead Director, Mr. Scott Davis, with 18-years Honeywell director tenure, violates the most important attribute of a Lead Director – independence. As director tenure goes up director independence goes down. Mr. Davis received the most against votes of any Honeywell director in 2022 and 2023.</w:t>
      </w:r>
    </w:p>
    <w:p>
      <w:pPr>
        <w:spacing w:after="0" w:line="5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ascending complexities of a conglomerate with $130 Billion in market capitalization, like Honeywell, increasingly demands that 2 persons fill the 2 most important jobs at Honeywell on an enduring basis – Chairman and CEO</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Please vote yes: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Board Chairman–Proposal 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w:t>
            </w:r>
          </w:p>
        </w:tc>
      </w:tr>
      <w:tr>
        <w:trPr>
          <w:trHeight w:val="359"/>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color w:val="6D6E71"/>
        </w:rPr>
        <w:t>PROPOSAL 4: SHAREOWNER PROPOSAL —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BOARD RECOMMENDATION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Honeywell Board recommends that shareowners vote </w:t>
      </w:r>
      <w:r>
        <w:rPr>
          <w:rFonts w:ascii="Arial" w:cs="Arial" w:eastAsia="Arial" w:hAnsi="Arial"/>
          <w:sz w:val="16"/>
          <w:szCs w:val="16"/>
          <w:b w:val="1"/>
          <w:bCs w:val="1"/>
          <w:color w:val="D7282F"/>
        </w:rPr>
        <w:t>AGAINST</w:t>
      </w:r>
      <w:r>
        <w:rPr>
          <w:rFonts w:ascii="Arial" w:cs="Arial" w:eastAsia="Arial" w:hAnsi="Arial"/>
          <w:sz w:val="16"/>
          <w:szCs w:val="16"/>
          <w:color w:val="auto"/>
        </w:rPr>
        <w:t xml:space="preserve">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97790</wp:posOffset>
            </wp:positionV>
            <wp:extent cx="34290" cy="283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34290" cy="283210"/>
                    </a:xfrm>
                    <a:prstGeom prst="rect">
                      <a:avLst/>
                    </a:prstGeom>
                    <a:noFill/>
                  </pic:spPr>
                </pic:pic>
              </a:graphicData>
            </a:graphic>
          </wp:anchor>
        </w:drawing>
      </w:r>
    </w:p>
    <w:p>
      <w:pPr>
        <w:spacing w:after="0" w:line="147" w:lineRule="exact"/>
        <w:rPr>
          <w:sz w:val="20"/>
          <w:szCs w:val="20"/>
          <w:color w:val="auto"/>
        </w:rPr>
      </w:pPr>
    </w:p>
    <w:p>
      <w:pPr>
        <w:ind w:left="160" w:right="280"/>
        <w:spacing w:after="0" w:line="296" w:lineRule="auto"/>
        <w:rPr>
          <w:sz w:val="20"/>
          <w:szCs w:val="20"/>
          <w:color w:val="auto"/>
        </w:rPr>
      </w:pPr>
      <w:r>
        <w:rPr>
          <w:rFonts w:ascii="Arial" w:cs="Arial" w:eastAsia="Arial" w:hAnsi="Arial"/>
          <w:sz w:val="16"/>
          <w:szCs w:val="16"/>
          <w:b w:val="1"/>
          <w:bCs w:val="1"/>
          <w:color w:val="auto"/>
        </w:rPr>
        <w:t>The Board believes that it is important to have the flexibility to determine the most effective leadership structure based on an assessment of the Company’s circumstances from time to time using its best business judgment.</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Our Board is best positioned to determine the most effective leadership structure to protect and enhance long-term shareowner value in light of the unique opportunities and challenges that the Company may face at any particular time. The one-size-fits-all, permanent approach espoused by the proponent is not in the best interests of the Company or its shareowners.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recent CEO transition is a concrete example of why it is important for the Board to have flexibility to exercise strategic discretion when determining the best leadership structure for the Company based on the facts and circumstances. In the course of CEO succession planning, the Board considered the leadership structure that would best enable a seamless and successful transition. The Board determined that having Mr. Adamczyk continue to serve as Executive Chair after Mr. Kapur stepped into the CEO role would enable leadership continuity, knowledge transfer, and transition of key investor, customer, and government relationships, as well as enable Mr. Adamczyk to provide guidance to Mr. Kapur and the Board at a critical juncture of the leadership succession process. We believe this structure has enabled a more effective transition than the prescriptive and permanent ‘one-size-fits-all’ approach required by the proposal.</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Board has a history of effective decision-making with regard to the best leadership structure for the Company. In 2018, after appointing Mr. Adamczyk as President and CEO, the independent directors determined that combining the CEO and Chairman roles under Mr. Adamczyk would provide decisive strategic leadership, particularly at a time of significant change for the Company. The Company’s strong performance during Mr. Adamczyk’s tenure as Chairman and CEO has demonstrated the merits of the Board's decision. Since the roles of Chairman and CEO were combined under Mr. Adamczyk's leadership through December 31, 2022, Honeywell experienced total shareowner return of 66%, outperforming the compensation peer median by a multiple of 1.7x and the S&amp;P 500 by a multiple of 1.2x.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78105</wp:posOffset>
            </wp:positionV>
            <wp:extent cx="34290" cy="40322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34290" cy="403225"/>
                    </a:xfrm>
                    <a:prstGeom prst="rect">
                      <a:avLst/>
                    </a:prstGeom>
                    <a:noFill/>
                  </pic:spPr>
                </pic:pic>
              </a:graphicData>
            </a:graphic>
          </wp:anchor>
        </w:drawing>
      </w:r>
    </w:p>
    <w:p>
      <w:pPr>
        <w:spacing w:after="0" w:line="116" w:lineRule="exact"/>
        <w:rPr>
          <w:sz w:val="20"/>
          <w:szCs w:val="20"/>
          <w:color w:val="auto"/>
        </w:rPr>
      </w:pPr>
    </w:p>
    <w:p>
      <w:pPr>
        <w:ind w:left="160" w:right="200"/>
        <w:spacing w:after="0" w:line="280" w:lineRule="auto"/>
        <w:rPr>
          <w:sz w:val="20"/>
          <w:szCs w:val="20"/>
          <w:color w:val="auto"/>
        </w:rPr>
      </w:pPr>
      <w:r>
        <w:rPr>
          <w:rFonts w:ascii="Arial" w:cs="Arial" w:eastAsia="Arial" w:hAnsi="Arial"/>
          <w:sz w:val="16"/>
          <w:szCs w:val="16"/>
          <w:b w:val="1"/>
          <w:bCs w:val="1"/>
          <w:color w:val="auto"/>
        </w:rPr>
        <w:t>Honeywell's Corporate Governance Guidelines require that the Board appoint an independent Lead Director whenever the Chairman is not an independent director. The Lead Director role, and its responsibilities and authorities, are robust and equivalent to that of an independent Chairman.</w:t>
      </w:r>
    </w:p>
    <w:p>
      <w:pPr>
        <w:spacing w:after="0" w:line="45"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independent Lead Director role, combined with our other corporate governance practices, provides robust independent leadership and the level of leadership and oversight requested by this proposal. Honeywell's Corporate Governance Guidelines require that an independent Lead Director be elected whenever the Chairman is not an independent director. Honeywell has had an independent director serving as Lead Director for the past nine years. The independent Lead Director role ensures effective independent oversight at all times. For example, the independent Lead Director's responsibilities and authorities include:</w:t>
      </w:r>
    </w:p>
    <w:p>
      <w:pPr>
        <w:spacing w:after="0" w:line="64" w:lineRule="exact"/>
        <w:rPr>
          <w:sz w:val="20"/>
          <w:szCs w:val="20"/>
          <w:color w:val="auto"/>
        </w:rPr>
      </w:pPr>
    </w:p>
    <w:p>
      <w:pPr>
        <w:ind w:left="200" w:right="100" w:hanging="192"/>
        <w:spacing w:after="0" w:line="304" w:lineRule="auto"/>
        <w:tabs>
          <w:tab w:leader="none" w:pos="197" w:val="left"/>
        </w:tabs>
        <w:numPr>
          <w:ilvl w:val="0"/>
          <w:numId w:val="203"/>
        </w:numPr>
        <w:rPr>
          <w:rFonts w:ascii="Arial" w:cs="Arial" w:eastAsia="Arial" w:hAnsi="Arial"/>
          <w:sz w:val="16"/>
          <w:szCs w:val="16"/>
          <w:b w:val="1"/>
          <w:bCs w:val="1"/>
          <w:color w:val="D7282F"/>
        </w:rPr>
      </w:pPr>
      <w:r>
        <w:rPr>
          <w:rFonts w:ascii="Arial" w:cs="Arial" w:eastAsia="Arial" w:hAnsi="Arial"/>
          <w:sz w:val="16"/>
          <w:szCs w:val="16"/>
          <w:color w:val="auto"/>
        </w:rPr>
        <w:t>Review, approve, and as appropriate, make changes to Board meeting agendas and Board meeting schedules, including to add or remove agenda items and to ensure that there is adequate time to discuss all agenda items.</w:t>
      </w:r>
    </w:p>
    <w:p>
      <w:pPr>
        <w:spacing w:after="0" w:line="6" w:lineRule="exact"/>
        <w:rPr>
          <w:rFonts w:ascii="Arial" w:cs="Arial" w:eastAsia="Arial" w:hAnsi="Arial"/>
          <w:sz w:val="16"/>
          <w:szCs w:val="16"/>
          <w:b w:val="1"/>
          <w:bCs w:val="1"/>
          <w:color w:val="D7282F"/>
        </w:rPr>
      </w:pPr>
    </w:p>
    <w:p>
      <w:pPr>
        <w:ind w:left="200" w:right="200" w:hanging="192"/>
        <w:spacing w:after="0" w:line="266" w:lineRule="auto"/>
        <w:tabs>
          <w:tab w:leader="none" w:pos="197" w:val="left"/>
        </w:tabs>
        <w:numPr>
          <w:ilvl w:val="0"/>
          <w:numId w:val="203"/>
        </w:numPr>
        <w:rPr>
          <w:rFonts w:ascii="Arial" w:cs="Arial" w:eastAsia="Arial" w:hAnsi="Arial"/>
          <w:sz w:val="16"/>
          <w:szCs w:val="16"/>
          <w:b w:val="1"/>
          <w:bCs w:val="1"/>
          <w:color w:val="D7282F"/>
        </w:rPr>
      </w:pPr>
      <w:r>
        <w:rPr>
          <w:rFonts w:ascii="Arial" w:cs="Arial" w:eastAsia="Arial" w:hAnsi="Arial"/>
          <w:sz w:val="16"/>
          <w:szCs w:val="16"/>
          <w:color w:val="auto"/>
        </w:rPr>
        <w:t>Review and, as appropriate, make changes to Board presentation materials and other materials provided to the Board. If the independent Lead Director believes a topic should be covered at a Board meeting that was initially not on the agenda for such meeting, he or she has the ability to ensure that the topic is addressed.</w:t>
      </w:r>
    </w:p>
    <w:p>
      <w:pPr>
        <w:spacing w:after="0" w:line="3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3"/>
        </w:numPr>
        <w:rPr>
          <w:rFonts w:ascii="Arial" w:cs="Arial" w:eastAsia="Arial" w:hAnsi="Arial"/>
          <w:sz w:val="16"/>
          <w:szCs w:val="16"/>
          <w:b w:val="1"/>
          <w:bCs w:val="1"/>
          <w:color w:val="D7282F"/>
        </w:rPr>
      </w:pPr>
      <w:r>
        <w:rPr>
          <w:rFonts w:ascii="Arial" w:cs="Arial" w:eastAsia="Arial" w:hAnsi="Arial"/>
          <w:sz w:val="16"/>
          <w:szCs w:val="16"/>
          <w:color w:val="auto"/>
        </w:rPr>
        <w:t>Call meetings of the independent directors and call special meetings of the Board at any time in his or her discretion.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3"/>
        </w:numPr>
        <w:rPr>
          <w:rFonts w:ascii="Arial" w:cs="Arial" w:eastAsia="Arial" w:hAnsi="Arial"/>
          <w:sz w:val="16"/>
          <w:szCs w:val="16"/>
          <w:b w:val="1"/>
          <w:bCs w:val="1"/>
          <w:color w:val="D7282F"/>
        </w:rPr>
      </w:pPr>
      <w:r>
        <w:rPr>
          <w:rFonts w:ascii="Arial" w:cs="Arial" w:eastAsia="Arial" w:hAnsi="Arial"/>
          <w:sz w:val="16"/>
          <w:szCs w:val="16"/>
          <w:color w:val="auto"/>
        </w:rPr>
        <w:t>Serve as the chairperson, or presiding director, for regular executive sessions of independent directors.</w:t>
      </w:r>
    </w:p>
    <w:p>
      <w:pPr>
        <w:spacing w:after="0" w:line="72" w:lineRule="exact"/>
        <w:rPr>
          <w:rFonts w:ascii="Arial" w:cs="Arial" w:eastAsia="Arial" w:hAnsi="Arial"/>
          <w:sz w:val="16"/>
          <w:szCs w:val="16"/>
          <w:b w:val="1"/>
          <w:bCs w:val="1"/>
          <w:color w:val="D7282F"/>
        </w:rPr>
      </w:pPr>
    </w:p>
    <w:p>
      <w:pPr>
        <w:ind w:left="200" w:right="560" w:hanging="192"/>
        <w:spacing w:after="0" w:line="304" w:lineRule="auto"/>
        <w:tabs>
          <w:tab w:leader="none" w:pos="197" w:val="left"/>
        </w:tabs>
        <w:numPr>
          <w:ilvl w:val="0"/>
          <w:numId w:val="203"/>
        </w:numPr>
        <w:rPr>
          <w:rFonts w:ascii="Arial" w:cs="Arial" w:eastAsia="Arial" w:hAnsi="Arial"/>
          <w:sz w:val="16"/>
          <w:szCs w:val="16"/>
          <w:b w:val="1"/>
          <w:bCs w:val="1"/>
          <w:color w:val="D7282F"/>
        </w:rPr>
      </w:pPr>
      <w:r>
        <w:rPr>
          <w:rFonts w:ascii="Arial" w:cs="Arial" w:eastAsia="Arial" w:hAnsi="Arial"/>
          <w:sz w:val="16"/>
          <w:szCs w:val="16"/>
          <w:color w:val="auto"/>
        </w:rPr>
        <w:t>Act as a liaison between the independent directors and the Chairman regarding any specific feedback or issues, and coordinate with the Chairman regarding information to be provided to the independent directors in performing their duties.</w:t>
      </w:r>
    </w:p>
    <w:p>
      <w:pPr>
        <w:spacing w:after="0" w:line="3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independent Lead Director plays an important role in Honeywell's governance structure, serving as the de facto leader of the independent directors, and the focal point charged with ensuring that the Board as a whole is providing appropriate independent oversight of management. The independent Lead Director also meets directly with our largest shareowners at least twice per year and has a number of other responsibilities, which are described further under “Board Leadership Structure” on page 30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76200</wp:posOffset>
            </wp:positionV>
            <wp:extent cx="34290" cy="2825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112" w:lineRule="exact"/>
        <w:rPr>
          <w:sz w:val="20"/>
          <w:szCs w:val="20"/>
          <w:color w:val="auto"/>
        </w:rPr>
      </w:pPr>
    </w:p>
    <w:p>
      <w:pPr>
        <w:ind w:left="160" w:right="200"/>
        <w:spacing w:after="0" w:line="296" w:lineRule="auto"/>
        <w:rPr>
          <w:sz w:val="20"/>
          <w:szCs w:val="20"/>
          <w:color w:val="auto"/>
        </w:rPr>
      </w:pPr>
      <w:r>
        <w:rPr>
          <w:rFonts w:ascii="Arial" w:cs="Arial" w:eastAsia="Arial" w:hAnsi="Arial"/>
          <w:sz w:val="16"/>
          <w:szCs w:val="16"/>
          <w:b w:val="1"/>
          <w:bCs w:val="1"/>
          <w:color w:val="auto"/>
        </w:rPr>
        <w:t>The Board understands the importance of Lead Director independence and has elected William S. Ayer, who has less than 10 years of service on the Board, to serve as independent Lead Director.</w:t>
      </w:r>
    </w:p>
    <w:p>
      <w:pPr>
        <w:spacing w:after="0" w:line="4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independent Lead Director is elected biennially by the independent directors to serve a two-year term. Honeywell's independent directors have elected Mr. Ayer to serve as Lead Director effective as of the date of the Annual Meeting. Mr. Ayer has served on Honeywell's Board as an independent director for nine years and brings to the role a deep knowledge of the Company and its transformation journey, balanced by the outside in perspectives of a shorter-tenured director. Mr. Ayer's experience leading a large public company over three decades of leadership roles at Alaska Air Group, his aerospace expertise, and his governance experience will enable him to serve as an effective and independent Lead Director.</w:t>
      </w:r>
    </w:p>
    <w:p>
      <w:pPr>
        <w:spacing w:after="0" w:line="23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104  </w:t>
      </w:r>
      <w:r>
        <w:rPr>
          <w:sz w:val="1"/>
          <w:szCs w:val="1"/>
          <w:color w:val="auto"/>
        </w:rPr>
        <w:drawing>
          <wp:inline distT="0" distB="0" distL="0" distR="0">
            <wp:extent cx="548640" cy="10287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6D6E71"/>
        </w:rPr>
        <w:t>PROPOSAL 4: SHAREOWNER PROPOSAL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833755</wp:posOffset>
            </wp:positionV>
            <wp:extent cx="34290" cy="4025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3429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right="180"/>
        <w:spacing w:after="0" w:line="280" w:lineRule="auto"/>
        <w:rPr>
          <w:sz w:val="20"/>
          <w:szCs w:val="20"/>
          <w:color w:val="auto"/>
        </w:rPr>
      </w:pPr>
      <w:r>
        <w:rPr>
          <w:rFonts w:ascii="Arial" w:cs="Arial" w:eastAsia="Arial" w:hAnsi="Arial"/>
          <w:sz w:val="16"/>
          <w:szCs w:val="16"/>
          <w:b w:val="1"/>
          <w:bCs w:val="1"/>
          <w:color w:val="auto"/>
        </w:rPr>
        <w:t>All but one of Honeywell's directors will be independent following Mr. Adamczyk's retirement from the Board in June 2024. Honeywell's highly independent Board, combined with its strong corporate governance practices and policies, enable effective Board oversight in the best interests of our shareowners.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Following Mr. Adamczyk's retirement from the Board, all but one of Honeywell's directors will be independent. The strength and experience of our independent directors, almost all of whom have served as CEOs, combined with the corporate governance practices memorialized in our Corporate Governance Guidelines, By-laws, and other governance policies and practices, reinforce the Board’s alignment with, and accountability to, shareowners. The strength and varied backgrounds of our independent directors, the robust independent Lead Director role as well as Board processes that ensure the transparent flow of information to our directors and ample opportunity for our independent directors to deliberate solely amongst themselves ensure the independent functioning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69850</wp:posOffset>
            </wp:positionV>
            <wp:extent cx="34290" cy="28321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34290" cy="283210"/>
                    </a:xfrm>
                    <a:prstGeom prst="rect">
                      <a:avLst/>
                    </a:prstGeom>
                    <a:noFill/>
                  </pic:spPr>
                </pic:pic>
              </a:graphicData>
            </a:graphic>
          </wp:anchor>
        </w:drawing>
      </w:r>
    </w:p>
    <w:p>
      <w:pPr>
        <w:spacing w:after="0" w:line="102" w:lineRule="exact"/>
        <w:rPr>
          <w:sz w:val="20"/>
          <w:szCs w:val="20"/>
          <w:color w:val="auto"/>
        </w:rPr>
      </w:pPr>
    </w:p>
    <w:p>
      <w:pPr>
        <w:ind w:left="160" w:right="220"/>
        <w:spacing w:after="0" w:line="314" w:lineRule="auto"/>
        <w:rPr>
          <w:sz w:val="20"/>
          <w:szCs w:val="20"/>
          <w:color w:val="auto"/>
        </w:rPr>
      </w:pPr>
      <w:r>
        <w:rPr>
          <w:rFonts w:ascii="Arial" w:cs="Arial" w:eastAsia="Arial" w:hAnsi="Arial"/>
          <w:sz w:val="16"/>
          <w:szCs w:val="16"/>
          <w:b w:val="1"/>
          <w:bCs w:val="1"/>
          <w:color w:val="auto"/>
        </w:rPr>
        <w:t>Our shareowners have considered iterations of this proposal 11 times over the last 21 years, and they have consistently declined to require a separation of the Chairman and CEO roles.</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proponent provides no evidence demonstrating that the proposal would result in enhanced oversight or business performance, let alone increased value for our shareowners. In connection with their consideration of whether to combine or keep separate the roles of Chairman and CEO, our Board has examined many years of data and has seen no compelling evidence in their research, or in their consultation with external governance experts, that would support the adoption of an enduring proposal to have an independent Chairman. Our shareowners have previously rejected all 11 prior shareowner proposals on this topic in 2003, 2005, 2010, 2012, 2013, 2014, 2015, 2016, 2017, 2018, and 2023.</w:t>
      </w:r>
    </w:p>
    <w:p>
      <w:pPr>
        <w:spacing w:after="0" w:line="6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This is consistent with feedback received from our shareowners during the Company's fall shareowner engagement program. In those discussions, shareowners representing over 65% of the shares held by the firms we spoke with indicated that they would not support an independent chair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133350</wp:posOffset>
            </wp:positionV>
            <wp:extent cx="34290" cy="42037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34290" cy="420370"/>
                    </a:xfrm>
                    <a:prstGeom prst="rect">
                      <a:avLst/>
                    </a:prstGeom>
                    <a:noFill/>
                  </pic:spPr>
                </pic:pic>
              </a:graphicData>
            </a:graphic>
          </wp:anchor>
        </w:drawing>
      </w:r>
    </w:p>
    <w:p>
      <w:pPr>
        <w:spacing w:after="0" w:line="193" w:lineRule="exact"/>
        <w:rPr>
          <w:sz w:val="20"/>
          <w:szCs w:val="20"/>
          <w:color w:val="auto"/>
        </w:rPr>
      </w:pPr>
    </w:p>
    <w:p>
      <w:pPr>
        <w:ind w:left="160" w:right="920"/>
        <w:spacing w:after="0" w:line="298" w:lineRule="auto"/>
        <w:rPr>
          <w:sz w:val="20"/>
          <w:szCs w:val="20"/>
          <w:color w:val="auto"/>
        </w:rPr>
      </w:pPr>
      <w:r>
        <w:rPr>
          <w:rFonts w:ascii="Arial" w:cs="Arial" w:eastAsia="Arial" w:hAnsi="Arial"/>
          <w:sz w:val="25"/>
          <w:szCs w:val="25"/>
          <w:b w:val="1"/>
          <w:bCs w:val="1"/>
          <w:color w:val="auto"/>
        </w:rPr>
        <w:t xml:space="preserve">THE BOARD OF DIRECTORS UNANIMOUSLY RECOMMENDS A VOTE </w:t>
      </w:r>
      <w:r>
        <w:rPr>
          <w:rFonts w:ascii="Arial" w:cs="Arial" w:eastAsia="Arial" w:hAnsi="Arial"/>
          <w:sz w:val="25"/>
          <w:szCs w:val="25"/>
          <w:b w:val="1"/>
          <w:bCs w:val="1"/>
          <w:color w:val="D7282F"/>
        </w:rPr>
        <w:t>AGAINST</w:t>
      </w:r>
      <w:r>
        <w:rPr>
          <w:rFonts w:ascii="Arial" w:cs="Arial" w:eastAsia="Arial" w:hAnsi="Arial"/>
          <w:sz w:val="25"/>
          <w:szCs w:val="25"/>
          <w:b w:val="1"/>
          <w:bCs w:val="1"/>
          <w:color w:val="auto"/>
        </w:rPr>
        <w:t xml:space="preserve"> THIS PROPOSAL.</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45"/>
          <w:szCs w:val="45"/>
          <w:b w:val="1"/>
          <w:bCs w:val="1"/>
          <w:color w:val="auto"/>
        </w:rPr>
        <w:t>ADDITIONAL INFORMATION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OTHER BUSINESS</w:t>
      </w:r>
    </w:p>
    <w:p>
      <w:pPr>
        <w:spacing w:after="0" w:line="14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Board knows of no other matters to be presented for shareowner action at the meeting. If other matters are properly brought before the meeting, the persons named as proxies in the accompanying proxy card intend to vote the shares represented by them in accordance with their best judgment.</w:t>
      </w:r>
    </w:p>
    <w:p>
      <w:pPr>
        <w:spacing w:after="0" w:line="23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CERTAIN RELATIONSHIPS AND RELATED TRANSACTIONS</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Honeywell has written policies and procedures for approval or ratification of related person transactions. Article eight of Honeywell’s Amended and Restated Certificate of Incorporation provides that a related or interested party transaction shall not be void or voidable if such transaction is duly authorized or ratified by a majority of the disinterested members of the Board. Consistent with SEC rules, a related or interested party transaction includes a transaction between the Company and a director, director nominee, or executive officer of the Company or a beneficial owner of more than 5% of the Company’s common stock or any of their respective immediate family members. Furthermore, the Honeywell Code of Business Conduct requires that each director and executive officer report to the Board of Directors on an ongoing basis any relationship or transaction that may create or appear to create a conflict between the personal interests of those individuals (or their immediate family members) and the interests of the Company. A conflict, or appearance of a conflict, might arise, for example, by accepting gifts or loans from a current or potential customer, supplier, or competitor, owning a financial interest in, or serving in a business capacity with, an outside enterprise that competes with or does or wishes to do business with the Company, serving as an intermediary for the benefit of a third party in transactions involving the Company, or using confidential Company information or other corporate assets for personal profit.</w:t>
      </w:r>
    </w:p>
    <w:p>
      <w:pPr>
        <w:spacing w:after="0" w:line="7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Conflict of interest or related party transactions are referred to the Corporate Governance and Responsibility Committee (CGRC), which is responsible for reviewing and overseeing related party transactions for potential conflict of interest situations on an ongoing basis, as appropriate. The CGRC and the Board must review any potential conflict and determine whether any action is required. This includes whether to authorize, ratify, or direct the unwinding of the relationship or transaction under consideration, as well as ensure that appropriate controls are in place to protect Honeywell and its shareowners. In making that determination, the Board and CGRC consider all relevant facts and circumstances, such as:</w:t>
      </w:r>
    </w:p>
    <w:p>
      <w:pPr>
        <w:spacing w:after="0" w:line="64" w:lineRule="exact"/>
        <w:rPr>
          <w:sz w:val="20"/>
          <w:szCs w:val="20"/>
          <w:color w:val="auto"/>
        </w:rPr>
      </w:pPr>
    </w:p>
    <w:p>
      <w:pPr>
        <w:ind w:left="200" w:hanging="192"/>
        <w:spacing w:after="0"/>
        <w:tabs>
          <w:tab w:leader="none" w:pos="200"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The benefits of the transaction to Honeywell;</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The terms of the transaction and whether they are arm’s-length and in the ordinary course of the Company’s business;</w:t>
      </w:r>
    </w:p>
    <w:p>
      <w:pPr>
        <w:spacing w:after="0" w:line="72"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The direct or indirect nature of the related person’s interest in the transaction;</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The size and expected term of the transaction; and</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4"/>
        </w:numPr>
        <w:rPr>
          <w:rFonts w:ascii="Arial" w:cs="Arial" w:eastAsia="Arial" w:hAnsi="Arial"/>
          <w:sz w:val="16"/>
          <w:szCs w:val="16"/>
          <w:b w:val="1"/>
          <w:bCs w:val="1"/>
          <w:color w:val="D7282F"/>
        </w:rPr>
      </w:pPr>
      <w:r>
        <w:rPr>
          <w:rFonts w:ascii="Arial" w:cs="Arial" w:eastAsia="Arial" w:hAnsi="Arial"/>
          <w:sz w:val="16"/>
          <w:szCs w:val="16"/>
          <w:color w:val="auto"/>
        </w:rPr>
        <w:t>Other facts and circumstances that bear on the materiality of the related person transaction under applicable law and listing standards.</w:t>
      </w:r>
    </w:p>
    <w:p>
      <w:pPr>
        <w:spacing w:after="0" w:line="1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Each director and officer also completes and signs a questionnaire at the end of each fiscal year to confirm that there are no material relationships or related person transactions between such individuals and the Company other than those previously disclosed to Honeywell. This ensures that all material relationships and related person transactions are identified, reviewed, and disclosed in accordance with applicable policies, procedures, and regulations. There are no family relationships among any of our directors or executive officers.</w:t>
      </w:r>
    </w:p>
    <w:p>
      <w:pPr>
        <w:spacing w:after="0" w:line="128"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106  </w:t>
      </w:r>
      <w:r>
        <w:rPr>
          <w:sz w:val="1"/>
          <w:szCs w:val="1"/>
          <w:color w:val="auto"/>
        </w:rPr>
        <w:drawing>
          <wp:inline distT="0" distB="0" distL="0" distR="0">
            <wp:extent cx="548640" cy="10287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5" w:right="37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STOCK OWNERSHIP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FIVE PERCENT OWNERS OF COMPANY STOCK</w:t>
      </w:r>
    </w:p>
    <w:p>
      <w:pPr>
        <w:spacing w:after="0" w:line="12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lists information about those holders known to Honeywell to be the beneficial owners of 5% or more of our outstanding shares of common stock as of December 31, 2023:</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Percent of Common</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Name and Complete Mailing Address</w:t>
            </w:r>
          </w:p>
        </w:tc>
        <w:tc>
          <w:tcPr>
            <w:tcW w:w="4100" w:type="dxa"/>
            <w:vAlign w:val="bottom"/>
            <w:gridSpan w:val="2"/>
          </w:tcPr>
          <w:p>
            <w:pPr>
              <w:jc w:val="right"/>
              <w:ind w:right="413"/>
              <w:spacing w:after="0"/>
              <w:rPr>
                <w:sz w:val="20"/>
                <w:szCs w:val="20"/>
                <w:color w:val="auto"/>
              </w:rPr>
            </w:pPr>
            <w:r>
              <w:rPr>
                <w:rFonts w:ascii="Arial" w:cs="Arial" w:eastAsia="Arial" w:hAnsi="Arial"/>
                <w:sz w:val="14"/>
                <w:szCs w:val="14"/>
                <w:b w:val="1"/>
                <w:bCs w:val="1"/>
                <w:color w:val="auto"/>
              </w:rPr>
              <w:t>Number of Shares</w:t>
            </w:r>
          </w:p>
        </w:tc>
        <w:tc>
          <w:tcPr>
            <w:tcW w:w="1840" w:type="dxa"/>
            <w:vAlign w:val="bottom"/>
          </w:tcPr>
          <w:p>
            <w:pPr>
              <w:jc w:val="right"/>
              <w:spacing w:after="0" w:line="176" w:lineRule="exact"/>
              <w:rPr>
                <w:sz w:val="20"/>
                <w:szCs w:val="20"/>
                <w:color w:val="auto"/>
              </w:rPr>
            </w:pPr>
            <w:r>
              <w:rPr>
                <w:rFonts w:ascii="Arial" w:cs="Arial" w:eastAsia="Arial" w:hAnsi="Arial"/>
                <w:sz w:val="14"/>
                <w:szCs w:val="14"/>
                <w:b w:val="1"/>
                <w:bCs w:val="1"/>
                <w:color w:val="auto"/>
              </w:rPr>
              <w:t>Stock Outstanding</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14"/>
        </w:trPr>
        <w:tc>
          <w:tcPr>
            <w:tcW w:w="5280" w:type="dxa"/>
            <w:vAlign w:val="bottom"/>
          </w:tcPr>
          <w:p>
            <w:pPr>
              <w:ind w:left="20"/>
              <w:spacing w:after="0"/>
              <w:rPr>
                <w:sz w:val="20"/>
                <w:szCs w:val="20"/>
                <w:color w:val="auto"/>
              </w:rPr>
            </w:pPr>
            <w:r>
              <w:rPr>
                <w:rFonts w:ascii="Arial" w:cs="Arial" w:eastAsia="Arial" w:hAnsi="Arial"/>
                <w:sz w:val="14"/>
                <w:szCs w:val="14"/>
                <w:color w:val="auto"/>
              </w:rPr>
              <w:t>The Vanguard Group</w:t>
            </w:r>
          </w:p>
        </w:tc>
        <w:tc>
          <w:tcPr>
            <w:tcW w:w="3340" w:type="dxa"/>
            <w:vAlign w:val="bottom"/>
          </w:tcPr>
          <w:p>
            <w:pPr>
              <w:jc w:val="right"/>
              <w:spacing w:after="0"/>
              <w:rPr>
                <w:sz w:val="20"/>
                <w:szCs w:val="20"/>
                <w:color w:val="auto"/>
              </w:rPr>
            </w:pPr>
            <w:r>
              <w:rPr>
                <w:rFonts w:ascii="Arial" w:cs="Arial" w:eastAsia="Arial" w:hAnsi="Arial"/>
                <w:sz w:val="14"/>
                <w:szCs w:val="14"/>
                <w:color w:val="auto"/>
              </w:rPr>
              <w:t>61,121,019</w:t>
            </w:r>
          </w:p>
        </w:tc>
        <w:tc>
          <w:tcPr>
            <w:tcW w:w="760" w:type="dxa"/>
            <w:vAlign w:val="bottom"/>
          </w:tcPr>
          <w:p>
            <w:pPr>
              <w:jc w:val="right"/>
              <w:ind w:right="553"/>
              <w:spacing w:after="0"/>
              <w:rPr>
                <w:sz w:val="20"/>
                <w:szCs w:val="20"/>
                <w:color w:val="auto"/>
              </w:rPr>
            </w:pPr>
            <w:r>
              <w:rPr>
                <w:rFonts w:ascii="Arial" w:cs="Arial" w:eastAsia="Arial" w:hAnsi="Arial"/>
                <w:sz w:val="9"/>
                <w:szCs w:val="9"/>
                <w:color w:val="auto"/>
              </w:rPr>
              <w:t>(1)</w:t>
            </w:r>
          </w:p>
        </w:tc>
        <w:tc>
          <w:tcPr>
            <w:tcW w:w="1840" w:type="dxa"/>
            <w:vAlign w:val="bottom"/>
          </w:tcPr>
          <w:p>
            <w:pPr>
              <w:jc w:val="right"/>
              <w:spacing w:after="0"/>
              <w:rPr>
                <w:sz w:val="20"/>
                <w:szCs w:val="20"/>
                <w:color w:val="auto"/>
              </w:rPr>
            </w:pPr>
            <w:r>
              <w:rPr>
                <w:rFonts w:ascii="Arial" w:cs="Arial" w:eastAsia="Arial" w:hAnsi="Arial"/>
                <w:sz w:val="14"/>
                <w:szCs w:val="14"/>
                <w:color w:val="auto"/>
              </w:rPr>
              <w:t>9.4 %</w:t>
            </w:r>
          </w:p>
        </w:tc>
        <w:tc>
          <w:tcPr>
            <w:tcW w:w="0" w:type="dxa"/>
            <w:vAlign w:val="bottom"/>
          </w:tcPr>
          <w:p>
            <w:pPr>
              <w:spacing w:after="0"/>
              <w:rPr>
                <w:sz w:val="1"/>
                <w:szCs w:val="1"/>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100 Vanguard Blvd., Malvern, PA 19355</w:t>
            </w:r>
          </w:p>
        </w:tc>
        <w:tc>
          <w:tcPr>
            <w:tcW w:w="3340" w:type="dxa"/>
            <w:vAlign w:val="bottom"/>
          </w:tcPr>
          <w:p>
            <w:pPr>
              <w:spacing w:after="0"/>
              <w:rPr>
                <w:sz w:val="15"/>
                <w:szCs w:val="15"/>
                <w:color w:val="auto"/>
              </w:rPr>
            </w:pPr>
          </w:p>
        </w:tc>
        <w:tc>
          <w:tcPr>
            <w:tcW w:w="760" w:type="dxa"/>
            <w:vAlign w:val="bottom"/>
            <w:vMerge w:val="restart"/>
          </w:tcPr>
          <w:p>
            <w:pPr>
              <w:jc w:val="right"/>
              <w:ind w:right="553"/>
              <w:spacing w:after="0"/>
              <w:rPr>
                <w:sz w:val="20"/>
                <w:szCs w:val="20"/>
                <w:color w:val="auto"/>
              </w:rPr>
            </w:pPr>
            <w:r>
              <w:rPr>
                <w:rFonts w:ascii="Arial" w:cs="Arial" w:eastAsia="Arial" w:hAnsi="Arial"/>
                <w:sz w:val="9"/>
                <w:szCs w:val="9"/>
                <w:color w:val="auto"/>
              </w:rPr>
              <w:t>(2)</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line="175" w:lineRule="exact"/>
              <w:rPr>
                <w:sz w:val="20"/>
                <w:szCs w:val="20"/>
                <w:color w:val="auto"/>
              </w:rPr>
            </w:pPr>
            <w:r>
              <w:rPr>
                <w:rFonts w:ascii="Arial" w:cs="Arial" w:eastAsia="Arial" w:hAnsi="Arial"/>
                <w:sz w:val="16"/>
                <w:szCs w:val="16"/>
                <w:color w:val="auto"/>
              </w:rPr>
              <w:t>BlackRock, Inc.</w:t>
            </w:r>
          </w:p>
        </w:tc>
        <w:tc>
          <w:tcPr>
            <w:tcW w:w="3340" w:type="dxa"/>
            <w:vAlign w:val="bottom"/>
          </w:tcPr>
          <w:p>
            <w:pPr>
              <w:jc w:val="right"/>
              <w:spacing w:after="0"/>
              <w:rPr>
                <w:sz w:val="20"/>
                <w:szCs w:val="20"/>
                <w:color w:val="auto"/>
              </w:rPr>
            </w:pPr>
            <w:r>
              <w:rPr>
                <w:rFonts w:ascii="Arial" w:cs="Arial" w:eastAsia="Arial" w:hAnsi="Arial"/>
                <w:sz w:val="14"/>
                <w:szCs w:val="14"/>
                <w:color w:val="auto"/>
              </w:rPr>
              <w:t>42,313,312</w:t>
            </w:r>
          </w:p>
        </w:tc>
        <w:tc>
          <w:tcPr>
            <w:tcW w:w="760" w:type="dxa"/>
            <w:vAlign w:val="bottom"/>
            <w:vMerge w:val="continue"/>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r>
        <w:trPr>
          <w:trHeight w:val="215"/>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6"/>
                <w:szCs w:val="16"/>
                <w:color w:val="auto"/>
              </w:rPr>
              <w:t>50 Hudson Yards, New York, NY 10001</w:t>
            </w:r>
          </w:p>
        </w:tc>
        <w:tc>
          <w:tcPr>
            <w:tcW w:w="3340" w:type="dxa"/>
            <w:vAlign w:val="bottom"/>
            <w:tcBorders>
              <w:bottom w:val="single" w:sz="8" w:color="D7282F"/>
            </w:tcBorders>
          </w:tcPr>
          <w:p>
            <w:pPr>
              <w:spacing w:after="0"/>
              <w:rPr>
                <w:sz w:val="18"/>
                <w:szCs w:val="18"/>
                <w:color w:val="auto"/>
              </w:rPr>
            </w:pPr>
          </w:p>
        </w:tc>
        <w:tc>
          <w:tcPr>
            <w:tcW w:w="760" w:type="dxa"/>
            <w:vAlign w:val="bottom"/>
            <w:tcBorders>
              <w:bottom w:val="single" w:sz="8" w:color="D7282F"/>
            </w:tcBorders>
          </w:tcPr>
          <w:p>
            <w:pPr>
              <w:spacing w:after="0"/>
              <w:rPr>
                <w:sz w:val="18"/>
                <w:szCs w:val="18"/>
                <w:color w:val="auto"/>
              </w:rPr>
            </w:pPr>
          </w:p>
        </w:tc>
        <w:tc>
          <w:tcPr>
            <w:tcW w:w="1840" w:type="dxa"/>
            <w:vAlign w:val="bottom"/>
            <w:tcBorders>
              <w:bottom w:val="single" w:sz="8" w:color="D7282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2343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2343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24" w:lineRule="exact"/>
        <w:rPr>
          <w:sz w:val="20"/>
          <w:szCs w:val="20"/>
          <w:color w:val="auto"/>
        </w:rPr>
      </w:pPr>
    </w:p>
    <w:p>
      <w:pPr>
        <w:ind w:left="200" w:right="420" w:hanging="192"/>
        <w:spacing w:after="0" w:line="226" w:lineRule="auto"/>
        <w:tabs>
          <w:tab w:leader="none" w:pos="200" w:val="left"/>
        </w:tabs>
        <w:numPr>
          <w:ilvl w:val="0"/>
          <w:numId w:val="205"/>
        </w:numPr>
        <w:rPr>
          <w:rFonts w:ascii="Arial" w:cs="Arial" w:eastAsia="Arial" w:hAnsi="Arial"/>
          <w:sz w:val="16"/>
          <w:szCs w:val="16"/>
          <w:color w:val="auto"/>
          <w:vertAlign w:val="superscript"/>
        </w:rPr>
      </w:pPr>
      <w:r>
        <w:rPr>
          <w:rFonts w:ascii="Arial" w:cs="Arial" w:eastAsia="Arial" w:hAnsi="Arial"/>
          <w:sz w:val="13"/>
          <w:szCs w:val="13"/>
          <w:color w:val="auto"/>
        </w:rPr>
        <w:t>The information is based on a Schedule 13G/A filed by The Vanguard Group with the SEC on February 13, 2024. The Vanguard Group and certain related entities have shared voting power in respect of 761,343 shares, sole dispositive power in respect of 58,475,718 shares, and shared dispositive power in respect of 2,645,301 shares.</w:t>
      </w:r>
    </w:p>
    <w:p>
      <w:pPr>
        <w:spacing w:after="0" w:line="63" w:lineRule="exact"/>
        <w:rPr>
          <w:rFonts w:ascii="Arial" w:cs="Arial" w:eastAsia="Arial" w:hAnsi="Arial"/>
          <w:sz w:val="16"/>
          <w:szCs w:val="16"/>
          <w:color w:val="auto"/>
          <w:vertAlign w:val="superscript"/>
        </w:rPr>
      </w:pPr>
    </w:p>
    <w:p>
      <w:pPr>
        <w:ind w:left="200" w:right="640" w:hanging="192"/>
        <w:spacing w:after="0" w:line="226" w:lineRule="auto"/>
        <w:tabs>
          <w:tab w:leader="none" w:pos="200" w:val="left"/>
        </w:tabs>
        <w:numPr>
          <w:ilvl w:val="0"/>
          <w:numId w:val="205"/>
        </w:numPr>
        <w:rPr>
          <w:rFonts w:ascii="Arial" w:cs="Arial" w:eastAsia="Arial" w:hAnsi="Arial"/>
          <w:sz w:val="16"/>
          <w:szCs w:val="16"/>
          <w:color w:val="auto"/>
          <w:vertAlign w:val="superscript"/>
        </w:rPr>
      </w:pPr>
      <w:r>
        <w:rPr>
          <w:rFonts w:ascii="Arial" w:cs="Arial" w:eastAsia="Arial" w:hAnsi="Arial"/>
          <w:sz w:val="13"/>
          <w:szCs w:val="13"/>
          <w:color w:val="auto"/>
        </w:rPr>
        <w:t>The information is based on a Schedule 13G/A filed by BlackRock, Inc. with the SEC on January 29, 2024. BlackRock, Inc. and certain related entities have sole voting power in respect of 38,935,560 shares and sole dispositive power in respect of 42,313,312 shares.</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05"/>
        </w:numPr>
        <w:rPr>
          <w:rFonts w:ascii="Arial" w:cs="Arial" w:eastAsia="Arial" w:hAnsi="Arial"/>
          <w:sz w:val="16"/>
          <w:szCs w:val="16"/>
          <w:color w:val="auto"/>
          <w:vertAlign w:val="superscript"/>
        </w:rPr>
      </w:pPr>
      <w:r>
        <w:rPr>
          <w:rFonts w:ascii="Arial" w:cs="Arial" w:eastAsia="Arial" w:hAnsi="Arial"/>
          <w:sz w:val="13"/>
          <w:szCs w:val="13"/>
          <w:color w:val="auto"/>
        </w:rPr>
        <w:t>Based on 651,184,670 shares of common stock outstanding on March 22, 2024.</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OF DIRECTORS AND EXECUTIVE OFFICERS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following table lists information as of March 13, 2024, about the beneficial ownership of common stock by each director or director nominee, by each executive officer named in the Summary Compensation Table, and by all directors (including nominees) and executive officers of Honeywell as a group. 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March 13, 2024 and RSUs that will vest within 60 days of March 13, 2024.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8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Shares of our common stock that are subject to options currently exercisable or exercisable within 60 days of March 13, 2024 and RSUs that will vest within 60 days of March 13, 2024 are deemed to be outstanding for computing the percentage ownership of the person holding these options or RSUs and the percentage ownership of any group in which the holder is a member, but are not deemed outstanding for computing the percentage of any other person.</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Components of Beneficial Ownership</w:t>
            </w: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3520" w:type="dxa"/>
            <w:vAlign w:val="bottom"/>
            <w:tcBorders>
              <w:bottom w:val="single" w:sz="8" w:color="D7282F"/>
            </w:tcBorders>
            <w:gridSpan w:val="2"/>
          </w:tcPr>
          <w:p>
            <w:pPr>
              <w:jc w:val="right"/>
              <w:ind w:right="568"/>
              <w:spacing w:after="0"/>
              <w:rPr>
                <w:sz w:val="20"/>
                <w:szCs w:val="20"/>
                <w:color w:val="auto"/>
              </w:rPr>
            </w:pPr>
            <w:r>
              <w:rPr>
                <w:rFonts w:ascii="Arial" w:cs="Arial" w:eastAsia="Arial" w:hAnsi="Arial"/>
                <w:sz w:val="14"/>
                <w:szCs w:val="14"/>
                <w:b w:val="1"/>
                <w:bCs w:val="1"/>
                <w:color w:val="auto"/>
              </w:rPr>
              <w:t>(Number of Shares)</w:t>
            </w:r>
          </w:p>
        </w:tc>
        <w:tc>
          <w:tcPr>
            <w:tcW w:w="900" w:type="dxa"/>
            <w:vAlign w:val="bottom"/>
            <w:tcBorders>
              <w:bottom w:val="single" w:sz="8" w:color="D7282F"/>
            </w:tcBorders>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spacing w:after="0"/>
              <w:rPr>
                <w:sz w:val="16"/>
                <w:szCs w:val="16"/>
                <w:color w:val="auto"/>
              </w:rPr>
            </w:pP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Right to</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14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Total Number</w:t>
            </w:r>
          </w:p>
        </w:tc>
        <w:tc>
          <w:tcPr>
            <w:tcW w:w="0" w:type="dxa"/>
            <w:vAlign w:val="bottom"/>
          </w:tcPr>
          <w:p>
            <w:pPr>
              <w:spacing w:after="0"/>
              <w:rPr>
                <w:sz w:val="1"/>
                <w:szCs w:val="1"/>
                <w:color w:val="auto"/>
              </w:rPr>
            </w:pPr>
          </w:p>
        </w:tc>
      </w:tr>
      <w:tr>
        <w:trPr>
          <w:trHeight w:val="160"/>
        </w:trPr>
        <w:tc>
          <w:tcPr>
            <w:tcW w:w="5400" w:type="dxa"/>
            <w:vAlign w:val="bottom"/>
          </w:tcPr>
          <w:p>
            <w:pPr>
              <w:spacing w:after="0"/>
              <w:rPr>
                <w:sz w:val="13"/>
                <w:szCs w:val="13"/>
                <w:color w:val="auto"/>
              </w:rPr>
            </w:pPr>
          </w:p>
        </w:tc>
        <w:tc>
          <w:tcPr>
            <w:tcW w:w="1960" w:type="dxa"/>
            <w:vAlign w:val="bottom"/>
          </w:tcPr>
          <w:p>
            <w:pPr>
              <w:jc w:val="right"/>
              <w:ind w:right="288"/>
              <w:spacing w:after="0" w:line="159" w:lineRule="exact"/>
              <w:rPr>
                <w:sz w:val="20"/>
                <w:szCs w:val="20"/>
                <w:color w:val="auto"/>
              </w:rPr>
            </w:pPr>
            <w:r>
              <w:rPr>
                <w:rFonts w:ascii="Arial" w:cs="Arial" w:eastAsia="Arial" w:hAnsi="Arial"/>
                <w:sz w:val="14"/>
                <w:szCs w:val="14"/>
                <w:b w:val="1"/>
                <w:bCs w:val="1"/>
                <w:color w:val="auto"/>
              </w:rPr>
              <w:t>Beneficially</w:t>
            </w:r>
          </w:p>
        </w:tc>
        <w:tc>
          <w:tcPr>
            <w:tcW w:w="1560" w:type="dxa"/>
            <w:vAlign w:val="bottom"/>
            <w:vMerge w:val="continue"/>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Stock-Based</w:t>
            </w: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9"/>
                <w:szCs w:val="9"/>
                <w:b w:val="1"/>
                <w:bCs w:val="1"/>
                <w:color w:val="auto"/>
              </w:rPr>
              <w:t>(1)</w:t>
            </w:r>
          </w:p>
        </w:tc>
        <w:tc>
          <w:tcPr>
            <w:tcW w:w="1960" w:type="dxa"/>
            <w:vAlign w:val="bottom"/>
          </w:tcPr>
          <w:p>
            <w:pPr>
              <w:jc w:val="right"/>
              <w:ind w:right="288"/>
              <w:spacing w:after="0"/>
              <w:rPr>
                <w:sz w:val="20"/>
                <w:szCs w:val="20"/>
                <w:color w:val="auto"/>
              </w:rPr>
            </w:pPr>
            <w:r>
              <w:rPr>
                <w:rFonts w:ascii="Arial" w:cs="Arial" w:eastAsia="Arial" w:hAnsi="Arial"/>
                <w:sz w:val="14"/>
                <w:szCs w:val="14"/>
                <w:b w:val="1"/>
                <w:bCs w:val="1"/>
                <w:color w:val="auto"/>
              </w:rPr>
              <w:t>Owned</w:t>
            </w: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Acquire</w:t>
            </w:r>
            <w:r>
              <w:rPr>
                <w:rFonts w:ascii="Arial" w:cs="Arial" w:eastAsia="Arial" w:hAnsi="Arial"/>
                <w:sz w:val="18"/>
                <w:szCs w:val="18"/>
                <w:b w:val="1"/>
                <w:bCs w:val="1"/>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Holdings</w:t>
            </w:r>
            <w:r>
              <w:rPr>
                <w:rFonts w:ascii="Arial" w:cs="Arial" w:eastAsia="Arial" w:hAnsi="Arial"/>
                <w:sz w:val="18"/>
                <w:szCs w:val="18"/>
                <w:b w:val="1"/>
                <w:bCs w:val="1"/>
                <w:color w:val="auto"/>
                <w:vertAlign w:val="superscript"/>
              </w:rPr>
              <w:t>(3)</w:t>
            </w:r>
          </w:p>
        </w:tc>
        <w:tc>
          <w:tcPr>
            <w:tcW w:w="14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of Shares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216"/>
        </w:trPr>
        <w:tc>
          <w:tcPr>
            <w:tcW w:w="5400" w:type="dxa"/>
            <w:vAlign w:val="bottom"/>
            <w:tcBorders>
              <w:top w:val="single" w:sz="8" w:color="D7282F"/>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Darius Adamczyk</w:t>
            </w:r>
          </w:p>
        </w:tc>
        <w:tc>
          <w:tcPr>
            <w:tcW w:w="1960" w:type="dxa"/>
            <w:vAlign w:val="bottom"/>
            <w:tcBorders>
              <w:top w:val="single" w:sz="8" w:color="D7282F"/>
              <w:bottom w:val="single" w:sz="8" w:color="939598"/>
            </w:tcBorders>
          </w:tcPr>
          <w:p>
            <w:pPr>
              <w:jc w:val="right"/>
              <w:ind w:right="348"/>
              <w:spacing w:after="0"/>
              <w:rPr>
                <w:sz w:val="20"/>
                <w:szCs w:val="20"/>
                <w:color w:val="auto"/>
              </w:rPr>
            </w:pPr>
            <w:r>
              <w:rPr>
                <w:rFonts w:ascii="Arial" w:cs="Arial" w:eastAsia="Arial" w:hAnsi="Arial"/>
                <w:sz w:val="14"/>
                <w:szCs w:val="14"/>
                <w:color w:val="auto"/>
              </w:rPr>
              <w:t>230,586</w:t>
            </w:r>
          </w:p>
        </w:tc>
        <w:tc>
          <w:tcPr>
            <w:tcW w:w="1560" w:type="dxa"/>
            <w:vAlign w:val="bottom"/>
            <w:tcBorders>
              <w:top w:val="single" w:sz="8" w:color="D7282F"/>
              <w:bottom w:val="single" w:sz="8" w:color="939598"/>
            </w:tcBorders>
          </w:tcPr>
          <w:p>
            <w:pPr>
              <w:jc w:val="right"/>
              <w:ind w:right="488"/>
              <w:spacing w:after="0"/>
              <w:rPr>
                <w:sz w:val="20"/>
                <w:szCs w:val="20"/>
                <w:color w:val="auto"/>
              </w:rPr>
            </w:pPr>
            <w:r>
              <w:rPr>
                <w:rFonts w:ascii="Arial" w:cs="Arial" w:eastAsia="Arial" w:hAnsi="Arial"/>
                <w:sz w:val="14"/>
                <w:szCs w:val="14"/>
                <w:color w:val="auto"/>
              </w:rPr>
              <w:t>1,051,947</w:t>
            </w:r>
          </w:p>
        </w:tc>
        <w:tc>
          <w:tcPr>
            <w:tcW w:w="90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7,800</w:t>
            </w:r>
          </w:p>
        </w:tc>
        <w:tc>
          <w:tcPr>
            <w:tcW w:w="1400" w:type="dxa"/>
            <w:vAlign w:val="bottom"/>
            <w:tcBorders>
              <w:top w:val="single" w:sz="8" w:color="D7282F"/>
              <w:bottom w:val="single" w:sz="8" w:color="939598"/>
            </w:tcBorders>
          </w:tcPr>
          <w:p>
            <w:pPr>
              <w:jc w:val="right"/>
              <w:spacing w:after="0"/>
              <w:rPr>
                <w:sz w:val="20"/>
                <w:szCs w:val="20"/>
                <w:color w:val="auto"/>
              </w:rPr>
            </w:pPr>
            <w:r>
              <w:rPr>
                <w:rFonts w:ascii="Arial" w:cs="Arial" w:eastAsia="Arial" w:hAnsi="Arial"/>
                <w:sz w:val="14"/>
                <w:szCs w:val="14"/>
                <w:color w:val="auto"/>
              </w:rPr>
              <w:t>1,290,333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Duncan B. Angove</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1,878</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9,161</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2,181</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William S. Ayer</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8,305</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15,444</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4,368</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28,117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Kevin Burke</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25,732</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17,817</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11,620</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55,169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 Scott Davis</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28,360</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15,444</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21,489</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65,293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Deborah Flint</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1,352</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6,199</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1,355</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8,906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Vimal Kapur</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25,930</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154,097</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1,743</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181,770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Michael W. Lamach</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830</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303</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Rose Lee</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455</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1,713</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568</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Grace Lieblein</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10,575</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18,608</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6,495</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35,678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Robin L. Washington</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11,795</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18,608</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5,947</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36,350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Robin Watson</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237</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1,145</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396</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Lucian Boldea</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5,936</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14,748</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336</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21,020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James Currier</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845</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13,357</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822</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15,024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Gregory P. Lewis</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55,471</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278,847</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4,031</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338,349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Anne T. Madden</w:t>
            </w:r>
          </w:p>
        </w:tc>
        <w:tc>
          <w:tcPr>
            <w:tcW w:w="1960" w:type="dxa"/>
            <w:vAlign w:val="bottom"/>
            <w:tcBorders>
              <w:bottom w:val="single" w:sz="8" w:color="939598"/>
            </w:tcBorders>
          </w:tcPr>
          <w:p>
            <w:pPr>
              <w:jc w:val="right"/>
              <w:ind w:right="348"/>
              <w:spacing w:after="0"/>
              <w:rPr>
                <w:sz w:val="20"/>
                <w:szCs w:val="20"/>
                <w:color w:val="auto"/>
              </w:rPr>
            </w:pPr>
            <w:r>
              <w:rPr>
                <w:rFonts w:ascii="Arial" w:cs="Arial" w:eastAsia="Arial" w:hAnsi="Arial"/>
                <w:sz w:val="14"/>
                <w:szCs w:val="14"/>
                <w:color w:val="auto"/>
              </w:rPr>
              <w:t>40,812</w:t>
            </w:r>
          </w:p>
        </w:tc>
        <w:tc>
          <w:tcPr>
            <w:tcW w:w="156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289,699</w:t>
            </w:r>
          </w:p>
        </w:tc>
        <w:tc>
          <w:tcPr>
            <w:tcW w:w="9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7,116</w:t>
            </w:r>
          </w:p>
        </w:tc>
        <w:tc>
          <w:tcPr>
            <w:tcW w:w="14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337,627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All directors, nominees, and executive officers as a group, including the</w:t>
            </w:r>
          </w:p>
        </w:tc>
        <w:tc>
          <w:tcPr>
            <w:tcW w:w="1960" w:type="dxa"/>
            <w:vAlign w:val="bottom"/>
          </w:tcPr>
          <w:p>
            <w:pPr>
              <w:jc w:val="right"/>
              <w:ind w:right="348"/>
              <w:spacing w:after="0"/>
              <w:rPr>
                <w:sz w:val="20"/>
                <w:szCs w:val="20"/>
                <w:color w:val="auto"/>
              </w:rPr>
            </w:pPr>
            <w:r>
              <w:rPr>
                <w:rFonts w:ascii="Arial" w:cs="Arial" w:eastAsia="Arial" w:hAnsi="Arial"/>
                <w:sz w:val="14"/>
                <w:szCs w:val="14"/>
                <w:color w:val="auto"/>
              </w:rPr>
              <w:t>485,432</w:t>
            </w:r>
          </w:p>
        </w:tc>
        <w:tc>
          <w:tcPr>
            <w:tcW w:w="1560" w:type="dxa"/>
            <w:vAlign w:val="bottom"/>
          </w:tcPr>
          <w:p>
            <w:pPr>
              <w:jc w:val="right"/>
              <w:ind w:right="488"/>
              <w:spacing w:after="0"/>
              <w:rPr>
                <w:sz w:val="20"/>
                <w:szCs w:val="20"/>
                <w:color w:val="auto"/>
              </w:rPr>
            </w:pPr>
            <w:r>
              <w:rPr>
                <w:rFonts w:ascii="Arial" w:cs="Arial" w:eastAsia="Arial" w:hAnsi="Arial"/>
                <w:sz w:val="14"/>
                <w:szCs w:val="14"/>
                <w:color w:val="auto"/>
              </w:rPr>
              <w:t>2,115,978</w:t>
            </w:r>
          </w:p>
        </w:tc>
        <w:tc>
          <w:tcPr>
            <w:tcW w:w="900" w:type="dxa"/>
            <w:vAlign w:val="bottom"/>
          </w:tcPr>
          <w:p>
            <w:pPr>
              <w:jc w:val="right"/>
              <w:spacing w:after="0"/>
              <w:rPr>
                <w:sz w:val="20"/>
                <w:szCs w:val="20"/>
                <w:color w:val="auto"/>
              </w:rPr>
            </w:pPr>
            <w:r>
              <w:rPr>
                <w:rFonts w:ascii="Arial" w:cs="Arial" w:eastAsia="Arial" w:hAnsi="Arial"/>
                <w:sz w:val="14"/>
                <w:szCs w:val="14"/>
                <w:color w:val="auto"/>
              </w:rPr>
              <w:t>79,479</w:t>
            </w:r>
          </w:p>
        </w:tc>
        <w:tc>
          <w:tcPr>
            <w:tcW w:w="1400" w:type="dxa"/>
            <w:vAlign w:val="bottom"/>
          </w:tcPr>
          <w:p>
            <w:pPr>
              <w:jc w:val="right"/>
              <w:spacing w:after="0"/>
              <w:rPr>
                <w:sz w:val="20"/>
                <w:szCs w:val="20"/>
                <w:color w:val="auto"/>
              </w:rPr>
            </w:pPr>
            <w:r>
              <w:rPr>
                <w:rFonts w:ascii="Arial" w:cs="Arial" w:eastAsia="Arial" w:hAnsi="Arial"/>
                <w:sz w:val="14"/>
                <w:szCs w:val="14"/>
                <w:color w:val="auto"/>
              </w:rPr>
              <w:t>2,680,889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above-named persons (21 people)</w:t>
            </w:r>
          </w:p>
        </w:tc>
        <w:tc>
          <w:tcPr>
            <w:tcW w:w="19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1400" w:type="dxa"/>
            <w:vAlign w:val="bottom"/>
            <w:tcBorders>
              <w:bottom w:val="single" w:sz="8" w:color="D7282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6"/>
        </w:trPr>
        <w:tc>
          <w:tcPr>
            <w:tcW w:w="5400" w:type="dxa"/>
            <w:vAlign w:val="bottom"/>
          </w:tcPr>
          <w:p>
            <w:pPr>
              <w:spacing w:after="0"/>
              <w:rPr>
                <w:sz w:val="24"/>
                <w:szCs w:val="24"/>
                <w:color w:val="auto"/>
              </w:rPr>
            </w:pPr>
          </w:p>
        </w:tc>
        <w:tc>
          <w:tcPr>
            <w:tcW w:w="4420" w:type="dxa"/>
            <w:vAlign w:val="bottom"/>
            <w:gridSpan w:val="3"/>
          </w:tcPr>
          <w:p>
            <w:pPr>
              <w:jc w:val="right"/>
              <w:ind w:right="168"/>
              <w:spacing w:after="0"/>
              <w:rPr>
                <w:sz w:val="20"/>
                <w:szCs w:val="20"/>
                <w:color w:val="auto"/>
              </w:rPr>
            </w:pPr>
            <w:r>
              <w:rPr>
                <w:rFonts w:ascii="Arial" w:cs="Arial" w:eastAsia="Arial" w:hAnsi="Arial"/>
                <w:sz w:val="13"/>
                <w:szCs w:val="13"/>
                <w:b w:val="1"/>
                <w:bCs w:val="1"/>
                <w:color w:val="6D6E71"/>
              </w:rPr>
              <w:t>2024 NOTICE AND PROXY STATEMENT   |</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4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0" w:hanging="192"/>
        <w:spacing w:after="0"/>
        <w:tabs>
          <w:tab w:leader="none" w:pos="200" w:val="left"/>
        </w:tabs>
        <w:numPr>
          <w:ilvl w:val="0"/>
          <w:numId w:val="206"/>
        </w:numPr>
        <w:rPr>
          <w:rFonts w:ascii="Arial" w:cs="Arial" w:eastAsia="Arial" w:hAnsi="Arial"/>
          <w:sz w:val="16"/>
          <w:szCs w:val="16"/>
          <w:color w:val="auto"/>
          <w:vertAlign w:val="superscript"/>
        </w:rPr>
      </w:pPr>
      <w:r>
        <w:rPr>
          <w:rFonts w:ascii="Arial" w:cs="Arial" w:eastAsia="Arial" w:hAnsi="Arial"/>
          <w:sz w:val="13"/>
          <w:szCs w:val="13"/>
          <w:color w:val="auto"/>
        </w:rPr>
        <w:t>c/o Honeywell International Inc., 855 S. Mint Street, Charlotte, NC 28202.</w:t>
      </w:r>
    </w:p>
    <w:p>
      <w:pPr>
        <w:spacing w:after="0" w:line="63" w:lineRule="exact"/>
        <w:rPr>
          <w:rFonts w:ascii="Arial" w:cs="Arial" w:eastAsia="Arial" w:hAnsi="Arial"/>
          <w:sz w:val="16"/>
          <w:szCs w:val="16"/>
          <w:color w:val="auto"/>
          <w:vertAlign w:val="superscript"/>
        </w:rPr>
      </w:pPr>
    </w:p>
    <w:p>
      <w:pPr>
        <w:ind w:left="200" w:right="40" w:hanging="192"/>
        <w:spacing w:after="0" w:line="226" w:lineRule="auto"/>
        <w:tabs>
          <w:tab w:leader="none" w:pos="200" w:val="left"/>
        </w:tabs>
        <w:numPr>
          <w:ilvl w:val="0"/>
          <w:numId w:val="206"/>
        </w:numPr>
        <w:rPr>
          <w:rFonts w:ascii="Arial" w:cs="Arial" w:eastAsia="Arial" w:hAnsi="Arial"/>
          <w:sz w:val="16"/>
          <w:szCs w:val="16"/>
          <w:color w:val="auto"/>
          <w:vertAlign w:val="superscript"/>
        </w:rPr>
      </w:pPr>
      <w:r>
        <w:rPr>
          <w:rFonts w:ascii="Arial" w:cs="Arial" w:eastAsia="Arial" w:hAnsi="Arial"/>
          <w:sz w:val="13"/>
          <w:szCs w:val="13"/>
          <w:color w:val="auto"/>
        </w:rPr>
        <w:t>Includes shares that the named individual or group has the right to acquire through the exercise of vested stock options and shares that the named individual or group has the right to acquire through the vesting of restricted stock units and stock options within 60 days of March 13, 2024.</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06"/>
        </w:numPr>
        <w:rPr>
          <w:rFonts w:ascii="Arial" w:cs="Arial" w:eastAsia="Arial" w:hAnsi="Arial"/>
          <w:sz w:val="16"/>
          <w:szCs w:val="16"/>
          <w:color w:val="auto"/>
          <w:vertAlign w:val="superscript"/>
        </w:rPr>
      </w:pPr>
      <w:r>
        <w:rPr>
          <w:rFonts w:ascii="Arial" w:cs="Arial" w:eastAsia="Arial" w:hAnsi="Arial"/>
          <w:sz w:val="13"/>
          <w:szCs w:val="13"/>
          <w:color w:val="auto"/>
        </w:rPr>
        <w:t>Includes shares and/or share-equivalents in deferred accounts as to which no voting or investment power exists.</w:t>
      </w:r>
    </w:p>
    <w:p>
      <w:pPr>
        <w:spacing w:after="0" w:line="56"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06"/>
        </w:numPr>
        <w:rPr>
          <w:rFonts w:ascii="Arial" w:cs="Arial" w:eastAsia="Arial" w:hAnsi="Arial"/>
          <w:sz w:val="16"/>
          <w:szCs w:val="16"/>
          <w:color w:val="auto"/>
          <w:vertAlign w:val="superscript"/>
        </w:rPr>
      </w:pPr>
      <w:r>
        <w:rPr>
          <w:rFonts w:ascii="Arial" w:cs="Arial" w:eastAsia="Arial" w:hAnsi="Arial"/>
          <w:sz w:val="13"/>
          <w:szCs w:val="13"/>
          <w:color w:val="auto"/>
        </w:rPr>
        <w:t>The total beneficial ownership for any individual and the total beneficial ownership for the group are both less than 1% of the shares of common stock outstanding as of March 13, 2024.</w:t>
      </w:r>
    </w:p>
    <w:p>
      <w:pPr>
        <w:spacing w:after="0" w:line="23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DELINQUENT SECTION 16(a) REPORTS</w:t>
      </w:r>
    </w:p>
    <w:p>
      <w:pPr>
        <w:spacing w:after="0" w:line="12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Section 16(a) of the Exchange Act requires our directors, executive officers, and persons who own more than 10% of our common stock to file reports of ownership and changes in ownership of our common stock with the SEC. Based solely on a review of the copies of such reports and representations that no other reports were required, we believe that in 2023, and to date in 2024, all applicable Section 16(a) reports were timely filed.</w:t>
      </w:r>
    </w:p>
    <w:p>
      <w:pPr>
        <w:spacing w:after="0" w:line="247"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VIRTUAL ANNUAL MEETING</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Considering our positive virtual meeting experience the last four years, the Board has chosen to hold the Company’s Annual Meeting in a virtual format again this year. Last year, Honeywell’s Chairman and CEO led the meeting and used the platform to speak directly to shareowners. The proponents of the one shareowner proposal had a choice between presenting their respective statements live by dialing in to the meeting or providing a pre-recorded message, and shareowners also had an opportunity to submit questions both before and during the meeting. Honeywell’s Chairman and CEO and they Company's President and COO answered most of the questions during the time allotted for Q&amp;A. We responded to appropriately submitted, but unanswered, questions in writing by posting the questions and answers on our Investor Relations website after the meeting. In comparison to typical in-person meetings, the Company believes the virtual format enables more meaningful engagement and a greater level of information sharing with a broader group of shareowners. See “Participation in the Annual Meeting” below for additional information regarding attending our virtual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PARTICIPATION IN THE ANNUAL MEETING</w:t>
      </w:r>
    </w:p>
    <w:p>
      <w:pPr>
        <w:spacing w:after="0" w:line="128"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will be hosting the Annual Meeting in a virtual-only format. Any shareowner can instead listen to and participate in, and vote at, the Annual Meeting live via the Internet at www.virtualshareholdermeeting.com/HON2024, and a transcript of the meeting will be posted after the meeting on our Investor Relations website at investor.honeywell.com. After the Annual Meeting, we will spend up to 30 minutes answering shareowner questions that comply with our Annual Meeting rules of conduct. The questions and responses will be included in the meeting transcript. Shareowners may submit questions before the meeting through www.proxyvote.com and during the meeting through the virtual Annual Meeting web portal. We will respond to appropriately submitted, but unanswered, questions in writing by posting the questions and answers on our Investor Relations website soon after the meeting.</w:t>
      </w:r>
    </w:p>
    <w:p>
      <w:pPr>
        <w:spacing w:after="0" w:line="8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Annual Meeting webcast will begin promptly at 10:30 a.m. EDT. We encourage you to access the Annual Meeting portal prior to the start time. Online check-in will begin approximately 15 minutes prior to the start of the Annual Meeting on May 14, 2024.</w:t>
      </w:r>
    </w:p>
    <w:p>
      <w:pPr>
        <w:spacing w:after="0" w:line="21"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Even if you plan on attending the Annual Meeting, we encourage you to vote your shares in advance using one of the methods described in this Proxy Statement to ensure that your vote will be represented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39370</wp:posOffset>
            </wp:positionV>
            <wp:extent cx="34290" cy="65151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4290" cy="651510"/>
                    </a:xfrm>
                    <a:prstGeom prst="rect">
                      <a:avLst/>
                    </a:prstGeom>
                    <a:noFill/>
                  </pic:spPr>
                </pic:pic>
              </a:graphicData>
            </a:graphic>
          </wp:anchor>
        </w:drawing>
      </w:r>
    </w:p>
    <w:p>
      <w:pPr>
        <w:spacing w:after="0" w:line="55" w:lineRule="exact"/>
        <w:rPr>
          <w:sz w:val="20"/>
          <w:szCs w:val="20"/>
          <w:color w:val="auto"/>
        </w:rPr>
      </w:pPr>
    </w:p>
    <w:p>
      <w:pPr>
        <w:ind w:left="140" w:right="280"/>
        <w:spacing w:after="0" w:line="260" w:lineRule="auto"/>
        <w:rPr>
          <w:sz w:val="20"/>
          <w:szCs w:val="20"/>
          <w:color w:val="auto"/>
        </w:rPr>
      </w:pPr>
      <w:r>
        <w:rPr>
          <w:rFonts w:ascii="Arial" w:cs="Arial" w:eastAsia="Arial" w:hAnsi="Arial"/>
          <w:sz w:val="16"/>
          <w:szCs w:val="16"/>
          <w:b w:val="1"/>
          <w:bCs w:val="1"/>
          <w:color w:val="auto"/>
        </w:rPr>
        <w:t xml:space="preserve">Materials Needed to Participate in the Annual Meeting. </w:t>
      </w:r>
      <w:r>
        <w:rPr>
          <w:rFonts w:ascii="Arial" w:cs="Arial" w:eastAsia="Arial" w:hAnsi="Arial"/>
          <w:sz w:val="16"/>
          <w:szCs w:val="16"/>
          <w:color w:val="auto"/>
        </w:rPr>
        <w:t>You will need the 16-digit control number included on your Notice of Internet Availability,</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or voting instruction form (if you received a printed copy of the Proxy Materials) or included in the email to you (if you received your Proxy Materials by email) in order to access the meeting, vote your shares, and submit questions. If you do not have your control number, you will not be able to attend, vote your shares, or submit questions before or during the Annual Meeting. Please contact Honeywell Investor Relations at investorrelations@honeywell.com for assistance if you are unable to locate your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147955</wp:posOffset>
            </wp:positionV>
            <wp:extent cx="34290" cy="40322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4290" cy="403225"/>
                    </a:xfrm>
                    <a:prstGeom prst="rect">
                      <a:avLst/>
                    </a:prstGeom>
                    <a:noFill/>
                  </pic:spPr>
                </pic:pic>
              </a:graphicData>
            </a:graphic>
          </wp:anchor>
        </w:drawing>
      </w:r>
    </w:p>
    <w:p>
      <w:pPr>
        <w:spacing w:after="0" w:line="225" w:lineRule="exact"/>
        <w:rPr>
          <w:sz w:val="20"/>
          <w:szCs w:val="20"/>
          <w:color w:val="auto"/>
        </w:rPr>
      </w:pPr>
    </w:p>
    <w:p>
      <w:pPr>
        <w:ind w:left="160" w:right="80"/>
        <w:spacing w:after="0" w:line="275" w:lineRule="auto"/>
        <w:rPr>
          <w:sz w:val="20"/>
          <w:szCs w:val="20"/>
          <w:color w:val="auto"/>
        </w:rPr>
      </w:pPr>
      <w:r>
        <w:rPr>
          <w:rFonts w:ascii="Arial" w:cs="Arial" w:eastAsia="Arial" w:hAnsi="Arial"/>
          <w:sz w:val="16"/>
          <w:szCs w:val="16"/>
          <w:b w:val="1"/>
          <w:bCs w:val="1"/>
          <w:color w:val="auto"/>
        </w:rPr>
        <w:t xml:space="preserve">Technical Assistance. </w:t>
      </w:r>
      <w:r>
        <w:rPr>
          <w:rFonts w:ascii="Arial" w:cs="Arial" w:eastAsia="Arial" w:hAnsi="Arial"/>
          <w:sz w:val="16"/>
          <w:szCs w:val="16"/>
          <w:color w:val="auto"/>
        </w:rPr>
        <w:t>There will be technicians ready to assist you with any technical difficulties you may have when trying to access the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submitting questions during the meeting. If you encounter any difficulties accessing the virtual Annual Meeting during the check-in or meeting time, please call the technical support number that will be posted on the virtual Annual Meeting log-in page.</w:t>
      </w:r>
    </w:p>
    <w:p>
      <w:pPr>
        <w:spacing w:after="0" w:line="33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108  </w:t>
      </w:r>
      <w:r>
        <w:rPr>
          <w:sz w:val="1"/>
          <w:szCs w:val="1"/>
          <w:color w:val="auto"/>
        </w:rPr>
        <w:drawing>
          <wp:inline distT="0" distB="0" distL="0" distR="0">
            <wp:extent cx="548640" cy="10287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NOTICE AND ACCESS</w:t>
      </w:r>
    </w:p>
    <w:p>
      <w:pPr>
        <w:spacing w:after="0" w:line="12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SEC’s “Notice and Access” rule allows companies to deliver a Notice of Internet Availability of Proxy Materials (Notice of Internet Availability) to shareowners in lieu of a paper copy of the Proxy Statement and related materials and the Company’s Annual Report to Shareowners (Proxy Materials). The Notice of Internet Availability provides instructions as to how shareowners can access the Proxy Materials online, contains a listing of matters to be considered at the meeting, and sets forth instructions as to how shares can be voted. Instructions for requesting a paper copy of the Proxy Materials are set forth on the Notice of Internet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79375</wp:posOffset>
            </wp:positionV>
            <wp:extent cx="34290" cy="28321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34290" cy="283210"/>
                    </a:xfrm>
                    <a:prstGeom prst="rect">
                      <a:avLst/>
                    </a:prstGeom>
                    <a:noFill/>
                  </pic:spPr>
                </pic:pic>
              </a:graphicData>
            </a:graphic>
          </wp:anchor>
        </w:drawing>
      </w:r>
    </w:p>
    <w:p>
      <w:pPr>
        <w:spacing w:after="0" w:line="117" w:lineRule="exact"/>
        <w:rPr>
          <w:sz w:val="20"/>
          <w:szCs w:val="20"/>
          <w:color w:val="auto"/>
        </w:rPr>
      </w:pPr>
    </w:p>
    <w:p>
      <w:pPr>
        <w:ind w:left="140" w:right="1080"/>
        <w:spacing w:after="0" w:line="286" w:lineRule="auto"/>
        <w:rPr>
          <w:sz w:val="20"/>
          <w:szCs w:val="20"/>
          <w:color w:val="auto"/>
        </w:rPr>
      </w:pPr>
      <w:r>
        <w:rPr>
          <w:rFonts w:ascii="Arial" w:cs="Arial" w:eastAsia="Arial" w:hAnsi="Arial"/>
          <w:sz w:val="16"/>
          <w:szCs w:val="16"/>
          <w:b w:val="1"/>
          <w:bCs w:val="1"/>
          <w:color w:val="auto"/>
        </w:rPr>
        <w:t xml:space="preserve">Proxy Materials Are Available at www.proxyvote.com. </w:t>
      </w:r>
      <w:r>
        <w:rPr>
          <w:rFonts w:ascii="Arial" w:cs="Arial" w:eastAsia="Arial" w:hAnsi="Arial"/>
          <w:sz w:val="16"/>
          <w:szCs w:val="16"/>
          <w:color w:val="auto"/>
        </w:rPr>
        <w:t>You will need to enter the 16-digit control number located on the Notice of Internet</w:t>
      </w:r>
      <w:r>
        <w:rPr>
          <w:rFonts w:ascii="Arial" w:cs="Arial" w:eastAsia="Arial" w:hAnsi="Arial"/>
          <w:sz w:val="16"/>
          <w:szCs w:val="16"/>
          <w:b w:val="1"/>
          <w:bCs w:val="1"/>
          <w:color w:val="auto"/>
        </w:rPr>
        <w:t xml:space="preserve"> </w:t>
      </w:r>
      <w:r>
        <w:rPr>
          <w:rFonts w:ascii="Arial" w:cs="Arial" w:eastAsia="Arial" w:hAnsi="Arial"/>
          <w:sz w:val="16"/>
          <w:szCs w:val="16"/>
          <w:color w:val="auto"/>
        </w:rPr>
        <w:t>Availability or proxy card.</w:t>
      </w:r>
    </w:p>
    <w:p>
      <w:pPr>
        <w:spacing w:after="0" w:line="360"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VOTING PROCEDURES</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METHODS OF VOTING</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color w:val="auto"/>
        </w:rPr>
        <w:t xml:space="preserve">Shareowners of Record. </w:t>
      </w:r>
      <w:r>
        <w:rPr>
          <w:rFonts w:ascii="Arial" w:cs="Arial" w:eastAsia="Arial" w:hAnsi="Arial"/>
          <w:sz w:val="16"/>
          <w:szCs w:val="16"/>
          <w:color w:val="auto"/>
        </w:rPr>
        <w:t>If your shares are registered directly in your name with Honeywell’s transfer agent, EQ Shareowner Services, you are considered</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shareowner of record of those shares. Shareowners of record can vote via the Internet at www.proxyvote.com, by scanning the QR code with a mobile device, by calling +1 (800) 690-6903, or by signing and returning a proxy card. Votes submitted by Internet, mobile device, or telephone must be received by 11:59 p.m. EDT on May 13, 2024.</w:t>
      </w:r>
    </w:p>
    <w:p>
      <w:pPr>
        <w:spacing w:after="0" w:line="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If you indicate when voting online or by phone that you wish to vote as recommended by the Board, or sign and return a proxy card without giving specific voting instructions, then the persons named as proxy holders will vote your shares in the manner recommended by the Board on all matters presented in this Proxy Statement and as they may determine in their best judgment with respect to any other matters properly presented for a vote at the Annual Meeting.</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b w:val="1"/>
          <w:bCs w:val="1"/>
          <w:color w:val="auto"/>
        </w:rPr>
        <w:t xml:space="preserve">Beneficial Owners. </w:t>
      </w:r>
      <w:r>
        <w:rPr>
          <w:rFonts w:ascii="Arial" w:cs="Arial" w:eastAsia="Arial" w:hAnsi="Arial"/>
          <w:sz w:val="16"/>
          <w:szCs w:val="16"/>
          <w:color w:val="auto"/>
        </w:rPr>
        <w:t>If your shares are held in a stock brokerage account by a bank, broker, trustee, or other nominee, you are considered the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held in street name and these Proxy Materials are being forwarded to you by your bank, broker, trustee, or nominee who is considered the shareowner of record of those shares. As the beneficial owner, you have the right to direct your bank, broker, trustee, or nominee on how to vote via the Internet or by telephone or mobile device if the bank, broker, trustee, or nominee offers these options or by signing and returning a voting instruction card. Your bank, broker, trustee, or nominee will send you instructions for voting your shares. If you do not provide the bank, broker, trustee, or other nominee that holds your shares with specific voting instructions, then such bank, broker, trustee, or other nominee may generally vote your shares in their discretion on “routine” matters, but cannot vote on “non-routine” matters. Proposal No. 3, the approval of the appointment of Deloitte, is considered a routine matter; because a bank, broker, trustee, or other nominee may generally vote in their discretion on routine matters, no broker non-votes are expected in connection with Proposal No. 3. The following proposals are considered non-routine matters: Proposal No. 1, election of directors; Proposal No. 2, advisory vote to approve executive compensation; and Proposal No. 4, independent board chairman, which is a shareowner proposal. If the bank, broker, trustee, or other nominee that holds your shares does not receive instructions from you on how to vote your shares on a non-routine matter, it will inform the inspector of election that it does not have the authority to vote on the matter with respect to your shares, which is generally referred to as a “broker non-vote.” Accordingly, broker non-votes may exist in connection with Proposal Nos. 1, 2 and 4. In the absence of instructions, shares subject to such broker non-votes will not be counted as voted or as present or represented on those proposals and so will have no effect on the vote.</w:t>
      </w:r>
    </w:p>
    <w:p>
      <w:pPr>
        <w:spacing w:after="0" w:line="74"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As described above, brokers may not vote your shares on the election of directors in the absence of your specific instructions as to how to vote, so we encourage you to provide instructions to your broker regarding the voting of your shares. Votes directed by Internet, mobile device, or telephone through such a bank, broker, trustee, or nominee must be received by 11:59 p.m. EDT on May 13, 2024.</w:t>
      </w:r>
    </w:p>
    <w:p>
      <w:pPr>
        <w:spacing w:after="0" w:line="5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b w:val="1"/>
          <w:bCs w:val="1"/>
          <w:color w:val="auto"/>
        </w:rPr>
        <w:t xml:space="preserve">Participants in Honeywell Savings Plans. </w:t>
      </w:r>
      <w:r>
        <w:rPr>
          <w:rFonts w:ascii="Arial" w:cs="Arial" w:eastAsia="Arial" w:hAnsi="Arial"/>
          <w:sz w:val="16"/>
          <w:szCs w:val="16"/>
          <w:color w:val="auto"/>
        </w:rPr>
        <w:t>Participants in Honeywell stock funds within Honeywell savings plans are considered the beneficial owners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held by the savings plans. The trustee of each savings plan is the shareowner of record for shares held by Honeywell stock funds within that plan. Participants in Honeywell stock funds within Honeywell savings plans can direct the trustee of the relevant plan to vote their shares via the Internet at www.proxyvote.com, by scanning the QR Code with a mobile device, by calling +1 (800) 690-6903, or by signing and returning a proxy card.</w:t>
      </w:r>
    </w:p>
    <w:p>
      <w:pPr>
        <w:spacing w:after="0" w:line="6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Each trustee will vote shares as to which no directions are received in the same ratio as shares with respect to which directions have been received from other participants in the relevant plan, unless contrary to the Employee Retirement Income Security Act of 1974 (ERISA). We encourage you to provide instructions to the relevant trustee regarding the voting of your shares. Directions provided by Internet, mobile device, or telephone must be received by 5:00 p.m. EDT on 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76200</wp:posOffset>
            </wp:positionV>
            <wp:extent cx="34290" cy="2228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34290" cy="222885"/>
                    </a:xfrm>
                    <a:prstGeom prst="rect">
                      <a:avLst/>
                    </a:prstGeom>
                    <a:noFill/>
                  </pic:spPr>
                </pic:pic>
              </a:graphicData>
            </a:graphic>
          </wp:anchor>
        </w:drawing>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 xml:space="preserve">Your Vote Is Very Important to Us. </w:t>
      </w:r>
      <w:r>
        <w:rPr>
          <w:rFonts w:ascii="Arial" w:cs="Arial" w:eastAsia="Arial" w:hAnsi="Arial"/>
          <w:sz w:val="16"/>
          <w:szCs w:val="16"/>
          <w:color w:val="auto"/>
        </w:rPr>
        <w:t>Whether or not you plan to attend the meeting, please take the time to vote your shares as soon as possible.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CONFIDENTIAL VOTING POLICY</w:t>
      </w:r>
    </w:p>
    <w:p>
      <w:pPr>
        <w:spacing w:after="0" w:line="128"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It is our policy that any proxy, ballot, or other voting material that identifies the particular vote of a shareowner and contains the shareowner’s request for confidential treatment will be kept confidential, except in the event of a contested proxy solicitation or as may be required by law.</w:t>
      </w:r>
    </w:p>
    <w:p>
      <w:pPr>
        <w:spacing w:after="0" w:line="33"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We may be informed whether or not a particular shareowner has voted and will have access to any comment written on a proxy, ballot, or other material and to the identity of the commenting shareowner. Under the policy, the inspectors of election at any shareowner meeting will be independent parties unaffiliated with Honeywell.</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REVOKING YOUR PROXY</w:t>
      </w:r>
    </w:p>
    <w:p>
      <w:pPr>
        <w:spacing w:after="0" w:line="12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Whether you vote or direct your vote by mail, telephone, mobile device, or via the Internet, if you are a shareowner of record or a participant in Honeywell stock funds within Honeywell savings plans, unless otherwise noted, you may later revoke your proxy by:</w:t>
      </w:r>
    </w:p>
    <w:p>
      <w:pPr>
        <w:spacing w:after="0" w:line="33" w:lineRule="exact"/>
        <w:rPr>
          <w:sz w:val="20"/>
          <w:szCs w:val="20"/>
          <w:color w:val="auto"/>
        </w:rPr>
      </w:pPr>
    </w:p>
    <w:p>
      <w:pPr>
        <w:ind w:left="200" w:hanging="192"/>
        <w:spacing w:after="0"/>
        <w:tabs>
          <w:tab w:leader="none" w:pos="200" w:val="left"/>
        </w:tabs>
        <w:numPr>
          <w:ilvl w:val="0"/>
          <w:numId w:val="207"/>
        </w:numPr>
        <w:rPr>
          <w:rFonts w:ascii="Arial" w:cs="Arial" w:eastAsia="Arial" w:hAnsi="Arial"/>
          <w:sz w:val="16"/>
          <w:szCs w:val="16"/>
          <w:b w:val="1"/>
          <w:bCs w:val="1"/>
          <w:color w:val="D7282F"/>
        </w:rPr>
      </w:pPr>
      <w:r>
        <w:rPr>
          <w:rFonts w:ascii="Arial" w:cs="Arial" w:eastAsia="Arial" w:hAnsi="Arial"/>
          <w:sz w:val="16"/>
          <w:szCs w:val="16"/>
          <w:color w:val="auto"/>
        </w:rPr>
        <w:t>Sending a timely written statement to that effect to the Corporate Secretary of Honeywell;</w:t>
      </w:r>
    </w:p>
    <w:p>
      <w:pPr>
        <w:spacing w:after="0" w:line="86"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7"/>
        </w:numPr>
        <w:rPr>
          <w:rFonts w:ascii="Arial" w:cs="Arial" w:eastAsia="Arial" w:hAnsi="Arial"/>
          <w:sz w:val="16"/>
          <w:szCs w:val="16"/>
          <w:b w:val="1"/>
          <w:bCs w:val="1"/>
          <w:color w:val="D7282F"/>
        </w:rPr>
      </w:pPr>
      <w:r>
        <w:rPr>
          <w:rFonts w:ascii="Arial" w:cs="Arial" w:eastAsia="Arial" w:hAnsi="Arial"/>
          <w:sz w:val="16"/>
          <w:szCs w:val="16"/>
          <w:color w:val="auto"/>
        </w:rPr>
        <w:t>Submitting a properly signed proxy with a later date;</w:t>
      </w:r>
    </w:p>
    <w:p>
      <w:pPr>
        <w:spacing w:after="0" w:line="86" w:lineRule="exact"/>
        <w:rPr>
          <w:rFonts w:ascii="Arial" w:cs="Arial" w:eastAsia="Arial" w:hAnsi="Arial"/>
          <w:sz w:val="16"/>
          <w:szCs w:val="16"/>
          <w:b w:val="1"/>
          <w:bCs w:val="1"/>
          <w:color w:val="D7282F"/>
        </w:rPr>
      </w:pPr>
    </w:p>
    <w:p>
      <w:pPr>
        <w:ind w:left="200" w:right="400" w:hanging="192"/>
        <w:spacing w:after="0" w:line="286" w:lineRule="auto"/>
        <w:tabs>
          <w:tab w:leader="none" w:pos="197" w:val="left"/>
        </w:tabs>
        <w:numPr>
          <w:ilvl w:val="0"/>
          <w:numId w:val="207"/>
        </w:numPr>
        <w:rPr>
          <w:rFonts w:ascii="Arial" w:cs="Arial" w:eastAsia="Arial" w:hAnsi="Arial"/>
          <w:sz w:val="16"/>
          <w:szCs w:val="16"/>
          <w:b w:val="1"/>
          <w:bCs w:val="1"/>
          <w:color w:val="D7282F"/>
        </w:rPr>
      </w:pPr>
      <w:r>
        <w:rPr>
          <w:rFonts w:ascii="Arial" w:cs="Arial" w:eastAsia="Arial" w:hAnsi="Arial"/>
          <w:sz w:val="16"/>
          <w:szCs w:val="16"/>
          <w:color w:val="auto"/>
        </w:rPr>
        <w:t>Voting by telephone, mobile device, or via the Internet at a later time (if initially able to vote in that manner) so long as such vote or voting direction is received by the applicable date and time set forth above for shareowners of record and participants in Honeywell savings plans; or</w:t>
      </w:r>
    </w:p>
    <w:p>
      <w:pPr>
        <w:spacing w:after="0" w:line="20" w:lineRule="exact"/>
        <w:rPr>
          <w:rFonts w:ascii="Arial" w:cs="Arial" w:eastAsia="Arial" w:hAnsi="Arial"/>
          <w:sz w:val="16"/>
          <w:szCs w:val="16"/>
          <w:b w:val="1"/>
          <w:bCs w:val="1"/>
          <w:color w:val="D7282F"/>
        </w:rPr>
      </w:pPr>
    </w:p>
    <w:p>
      <w:pPr>
        <w:ind w:left="200" w:hanging="192"/>
        <w:spacing w:after="0"/>
        <w:tabs>
          <w:tab w:leader="none" w:pos="200" w:val="left"/>
        </w:tabs>
        <w:numPr>
          <w:ilvl w:val="0"/>
          <w:numId w:val="207"/>
        </w:numPr>
        <w:rPr>
          <w:rFonts w:ascii="Arial" w:cs="Arial" w:eastAsia="Arial" w:hAnsi="Arial"/>
          <w:sz w:val="16"/>
          <w:szCs w:val="16"/>
          <w:b w:val="1"/>
          <w:bCs w:val="1"/>
          <w:color w:val="D7282F"/>
        </w:rPr>
      </w:pPr>
      <w:r>
        <w:rPr>
          <w:rFonts w:ascii="Arial" w:cs="Arial" w:eastAsia="Arial" w:hAnsi="Arial"/>
          <w:sz w:val="16"/>
          <w:szCs w:val="16"/>
          <w:color w:val="auto"/>
        </w:rPr>
        <w:t>Voting at the Annual Meeting (except for shares held in the savings plans).</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QUORUM; VOTE REQUIRED; ABSTENTIONS AND BROKER NON-VOTES</w:t>
      </w:r>
    </w:p>
    <w:p>
      <w:pPr>
        <w:spacing w:after="0" w:line="128"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required quorum for the transaction of business at the meeting is a majority of the total outstanding shares of common stock entitled to vote at the meeting, either present in person (virtually) or represented by proxy. Broker non-votes and abstentions are counted for purposes of determining whether a quorum is present.</w:t>
      </w:r>
    </w:p>
    <w:p>
      <w:pPr>
        <w:spacing w:after="0" w:line="5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Regarding Proposal No. 1, Honeywell’s By-laws provide that in any uncontested election of directors (an election in which the number of nominees does not exceed the number of directors to be elected), any nominee who receives a greater number of votes cast “FOR” his or her election than votes cast “AGAINST” his or her election (excluding abstentions) will be elected to the Board of Directors. Shares not represented in person or by proxy at the Annual Meeting, abstentions, and broker non-votes will have no effect on the election of directors.</w:t>
      </w:r>
    </w:p>
    <w:p>
      <w:pPr>
        <w:spacing w:after="0" w:line="7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affirmative vote of a majority of shares present or represented and entitled to vote on each of Proposal Nos. 2 through 4 is required for approval of these proposals. Abstentions will be counted toward the tabulation of votes present or represented on these proposals and will have the same effect as votes against these proposals. Shares not represented in person or by proxy at the Annual Meeting and broker non-votes will have no effect on the vote outcome of these proposals. While the votes on Proposals No. 2 and 3 are advisory and not binding on the Board or the Company, the Board or applicable committee will take into consideration the outcome of the votes when making future decisions regarding executive compensation and the auditor appointment,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OF THE VOTE</w:t>
      </w:r>
    </w:p>
    <w:p>
      <w:pPr>
        <w:spacing w:after="0" w:line="12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We will announce preliminary voting results at the Annual Meeting and publish them on our Investor Relations website at investor.honeywell.com. Voting results will also be disclosed on a Form 8-K filed with the SEC within four business days after the Annual Meeting, which will be available on the same website.</w:t>
      </w:r>
    </w:p>
    <w:p>
      <w:pPr>
        <w:spacing w:after="0" w:line="22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110  </w:t>
      </w:r>
      <w:r>
        <w:rPr>
          <w:sz w:val="1"/>
          <w:szCs w:val="1"/>
          <w:color w:val="auto"/>
        </w:rPr>
        <w:drawing>
          <wp:inline distT="0" distB="0" distL="0" distR="0">
            <wp:extent cx="548640" cy="10287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SHARES OUTSTANDING</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the close of business on March 22, 2024, there were 651,184,670 shares of common stock outstanding. Each share outstanding as of the March 22, 2024 record date is entitled to one vote at the Annual Meeting on each matter properly brought before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ELIMINATING DUPLICATE MAILINGS</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Beneficial owners of common stock who share a single address will receive only one copy of the Notice of Internet Availability or the Proxy Materials, as the case may be, unless their broker, bank, trustee, or nominee has received contrary instructions from any beneficial owner at that address. This practice, known as “householding,” is designed to reduce printing and mailing costs. If any beneficial shareowner(s) sharing a single address wish to discontinue householding and receive a separate copy of the Notice of Internet Availability or the Proxy Materials, as the case may be, we will have a separate copy promptly delivered to you upon your written or oral request. To make the request, they may contact Broadridge, either by calling +1 (866) 540-7095, or by writing to Broadridge, Householding Department, 51 Mercedes Way, Edgewood, NY 11717, and including their name, the name of their broker or other nominee, and their account number(s). Beneficial owners may also contact Broadridge if they received multiple copies of the Proxy Materials and prefer to receive a single copy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EXPENSES OF SOLICITATION</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Honeywell pays the cost of preparing, assembling, and mailing this proxy-soliciting material. In addition to the use of the mail, proxies may be solicited by Honeywell officers and employees by telephone or other means of communication. Honeywell pays all costs of solicitation, including certain expenses of brokers and nominees who mail Proxy Materials to their customers or principals. We may retain a proxy solicitor in conjunction with the Annual Meeting, and its employees may assist us in the solicitation. We will pay all costs of soliciting proxies, including a fee and reasonable out-of-pocket expenses for the proxy solicitor, if any.</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ELECTRONIC ACCESS TO THE PROXY MATERIALS</w:t>
      </w:r>
    </w:p>
    <w:p>
      <w:pPr>
        <w:spacing w:after="0" w:line="12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You can elect to receive future Proxy Materials by email, which will save us the cost of producing and mailing documents to you. Shareowners may enroll to receive Proxy Materials electronically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64770</wp:posOffset>
            </wp:positionV>
            <wp:extent cx="34290" cy="28257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95" w:lineRule="exact"/>
        <w:rPr>
          <w:sz w:val="20"/>
          <w:szCs w:val="20"/>
          <w:color w:val="auto"/>
        </w:rPr>
      </w:pPr>
    </w:p>
    <w:p>
      <w:pPr>
        <w:ind w:left="160" w:right="500"/>
        <w:spacing w:after="0" w:line="286" w:lineRule="auto"/>
        <w:rPr>
          <w:sz w:val="20"/>
          <w:szCs w:val="20"/>
          <w:color w:val="auto"/>
        </w:rPr>
      </w:pPr>
      <w:r>
        <w:rPr>
          <w:rFonts w:ascii="Arial" w:cs="Arial" w:eastAsia="Arial" w:hAnsi="Arial"/>
          <w:sz w:val="16"/>
          <w:szCs w:val="16"/>
          <w:b w:val="1"/>
          <w:bCs w:val="1"/>
          <w:color w:val="auto"/>
        </w:rPr>
        <w:t xml:space="preserve">Shareowners of Record. </w:t>
      </w:r>
      <w:r>
        <w:rPr>
          <w:rFonts w:ascii="Arial" w:cs="Arial" w:eastAsia="Arial" w:hAnsi="Arial"/>
          <w:sz w:val="16"/>
          <w:szCs w:val="16"/>
          <w:color w:val="auto"/>
        </w:rPr>
        <w:t>If you are a registered shareowner, you may request electronic delivery when submitting your vote for this meeting on the</w:t>
      </w:r>
      <w:r>
        <w:rPr>
          <w:rFonts w:ascii="Arial" w:cs="Arial" w:eastAsia="Arial" w:hAnsi="Arial"/>
          <w:sz w:val="16"/>
          <w:szCs w:val="16"/>
          <w:b w:val="1"/>
          <w:bCs w:val="1"/>
          <w:color w:val="auto"/>
        </w:rPr>
        <w:t xml:space="preserve"> </w:t>
      </w:r>
      <w:r>
        <w:rPr>
          <w:rFonts w:ascii="Arial" w:cs="Arial" w:eastAsia="Arial" w:hAnsi="Arial"/>
          <w:sz w:val="16"/>
          <w:szCs w:val="16"/>
          <w:color w:val="auto"/>
        </w:rPr>
        <w:t>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133350</wp:posOffset>
            </wp:positionV>
            <wp:extent cx="34290" cy="28257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34290" cy="282575"/>
                    </a:xfrm>
                    <a:prstGeom prst="rect">
                      <a:avLst/>
                    </a:prstGeom>
                    <a:noFill/>
                  </pic:spPr>
                </pic:pic>
              </a:graphicData>
            </a:graphic>
          </wp:anchor>
        </w:drawing>
      </w:r>
    </w:p>
    <w:p>
      <w:pPr>
        <w:spacing w:after="0" w:line="203" w:lineRule="exact"/>
        <w:rPr>
          <w:sz w:val="20"/>
          <w:szCs w:val="20"/>
          <w:color w:val="auto"/>
        </w:rPr>
      </w:pPr>
    </w:p>
    <w:p>
      <w:pPr>
        <w:ind w:left="160" w:right="120"/>
        <w:spacing w:after="0" w:line="304" w:lineRule="auto"/>
        <w:rPr>
          <w:sz w:val="20"/>
          <w:szCs w:val="20"/>
          <w:color w:val="auto"/>
        </w:rPr>
      </w:pPr>
      <w:r>
        <w:rPr>
          <w:rFonts w:ascii="Arial" w:cs="Arial" w:eastAsia="Arial" w:hAnsi="Arial"/>
          <w:sz w:val="16"/>
          <w:szCs w:val="16"/>
          <w:b w:val="1"/>
          <w:bCs w:val="1"/>
          <w:color w:val="auto"/>
        </w:rPr>
        <w:t xml:space="preserve">Beneficial Holders. </w:t>
      </w:r>
      <w:r>
        <w:rPr>
          <w:rFonts w:ascii="Arial" w:cs="Arial" w:eastAsia="Arial" w:hAnsi="Arial"/>
          <w:sz w:val="16"/>
          <w:szCs w:val="16"/>
          <w:color w:val="auto"/>
        </w:rPr>
        <w:t>If your shares are not registered in your name, check the information provided to you by your bank or broker, or contact your bank or</w:t>
      </w:r>
      <w:r>
        <w:rPr>
          <w:rFonts w:ascii="Arial" w:cs="Arial" w:eastAsia="Arial" w:hAnsi="Arial"/>
          <w:sz w:val="16"/>
          <w:szCs w:val="16"/>
          <w:b w:val="1"/>
          <w:bCs w:val="1"/>
          <w:color w:val="auto"/>
        </w:rPr>
        <w:t xml:space="preserve"> </w:t>
      </w:r>
      <w:r>
        <w:rPr>
          <w:rFonts w:ascii="Arial" w:cs="Arial" w:eastAsia="Arial" w:hAnsi="Arial"/>
          <w:sz w:val="16"/>
          <w:szCs w:val="16"/>
          <w:color w:val="auto"/>
        </w:rPr>
        <w:t>broker for information on electronic delivery service.</w:t>
      </w:r>
    </w:p>
    <w:p>
      <w:pPr>
        <w:spacing w:after="0" w:line="346"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SHAREOWNER PROPOSALS AND BOARD NOMINEES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SHAREOWNER PROPOSALS FOR 2025 ANNUAL MEETING</w:t>
      </w:r>
    </w:p>
    <w:p>
      <w:pPr>
        <w:spacing w:after="0" w:line="12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order for a shareowner proposal to be considered for inclusion in Honeywell’s Proxy Statement for the 2025 Annual Meeting of Shareowners pursuant to Rule 14a-8 of the SEC, the proposal must be received at the Company’s offices no later than the close of business on December 3, 2024. Proposals submitted thereafter will be opposed as not timely filed.</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a shareowner intends to present a proposal for consideration at the 2025 Annual Meeting of Shareowners pursuant to the procedures contemplated in Honeywell’s By-laws, outside the processes of SEC Rule 14a-8 or the proxy access provisions in Honeywell’s By-laws, Honeywell must receive notice of such proposal not earlier than January 14, 2025, and not later than February 13, 2025. Otherwise, the proposal will be considered untimely under Honeywell’s By-laws. The notice must contain a brief description of the proposal, the reasons for conducting such business, the name and address of the shareowner, the number of shares of Honeywell’s common stock the shareowner beneficially owns, and any material interest of the shareowner in such business, all as provided in Honeywell’s By-laws. If this information is not supplied as provided in Honeywell’s By-laws, the proposal will not be considered at the 2025 Annual Meeting of Shareowners. In addition, Honeywell’s proxies will have discretionary voting authority on any vote with respect to such proposal, if presented at the meeting, without including information regarding the proposal in its Proxy Materials.</w:t>
      </w:r>
    </w:p>
    <w:p>
      <w:pPr>
        <w:spacing w:after="0" w:line="7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Any shareowner wishing to submit a shareowner proposal should send notice to: Corporate Secretary, Honeywell, 855 S. Mint Street, Charlotte, NC 28202, and honcorpsec@honeywell.com.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NOMINATIONS FOR 2025 ANNUAL MEETING</w:t>
      </w:r>
    </w:p>
    <w:p>
      <w:pPr>
        <w:spacing w:after="0" w:line="128" w:lineRule="exact"/>
        <w:rPr>
          <w:sz w:val="20"/>
          <w:szCs w:val="20"/>
          <w:color w:val="auto"/>
        </w:rPr>
      </w:pPr>
    </w:p>
    <w:p>
      <w:pPr>
        <w:spacing w:after="0" w:line="262" w:lineRule="auto"/>
        <w:rPr>
          <w:sz w:val="20"/>
          <w:szCs w:val="20"/>
          <w:color w:val="auto"/>
        </w:rPr>
      </w:pPr>
      <w:r>
        <w:rPr>
          <w:rFonts w:ascii="Arial" w:cs="Arial" w:eastAsia="Arial" w:hAnsi="Arial"/>
          <w:sz w:val="16"/>
          <w:szCs w:val="16"/>
          <w:b w:val="1"/>
          <w:bCs w:val="1"/>
          <w:color w:val="auto"/>
        </w:rPr>
        <w:t xml:space="preserve">Proxy Access Nominations. </w:t>
      </w:r>
      <w:r>
        <w:rPr>
          <w:rFonts w:ascii="Arial" w:cs="Arial" w:eastAsia="Arial" w:hAnsi="Arial"/>
          <w:sz w:val="16"/>
          <w:szCs w:val="16"/>
          <w:color w:val="auto"/>
        </w:rPr>
        <w:t>Honeywell’s By-laws allow a single shareowner or a group of up to 20 shareowners who have held at least 3% of Honeywell</w:t>
      </w:r>
      <w:r>
        <w:rPr>
          <w:rFonts w:ascii="Arial" w:cs="Arial" w:eastAsia="Arial" w:hAnsi="Arial"/>
          <w:sz w:val="16"/>
          <w:szCs w:val="16"/>
          <w:b w:val="1"/>
          <w:bCs w:val="1"/>
          <w:color w:val="auto"/>
        </w:rPr>
        <w:t xml:space="preserve"> </w:t>
      </w:r>
      <w:r>
        <w:rPr>
          <w:rFonts w:ascii="Arial" w:cs="Arial" w:eastAsia="Arial" w:hAnsi="Arial"/>
          <w:sz w:val="16"/>
          <w:szCs w:val="16"/>
          <w:color w:val="auto"/>
        </w:rPr>
        <w:t>stock for at least three years and who comply with the additional requirements in Honeywell’s By-laws to submit director nominees (the greater of 20% of the Board or two directors) for inclusion in Honeywell’s Proxy Statement if the shareowner(s) and the nominee(s) satisfy the requirements specified in Honeywell’s By-laws. Notice must be received by the Corporate Secretary of Honeywell at 855 S. Mint Street, Charlotte, NC 28202, not earlier than the close of business on the 150th day and not later than the close of business on the 120th day prior to the first anniversary of the date the definitive Proxy Statement was first released to shareowners in connection with the preceding year’s Annual Meeting, subject to certain exceptions specified in Honeywell’s By-laws. Honeywell did not receive any such nominations for the 2024 Annual Meeting of Shareowners.</w:t>
      </w:r>
    </w:p>
    <w:p>
      <w:pPr>
        <w:spacing w:after="0" w:line="66"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b w:val="1"/>
          <w:bCs w:val="1"/>
          <w:color w:val="auto"/>
        </w:rPr>
        <w:t xml:space="preserve">Non-Proxy Access Nominations. </w:t>
      </w:r>
      <w:r>
        <w:rPr>
          <w:rFonts w:ascii="Arial" w:cs="Arial" w:eastAsia="Arial" w:hAnsi="Arial"/>
          <w:sz w:val="16"/>
          <w:szCs w:val="16"/>
          <w:color w:val="auto"/>
        </w:rPr>
        <w:t>Honeywell’s By-laws state that any shareowner of record entitled to vote at the Annual Meeting who intends to make a</w:t>
      </w:r>
      <w:r>
        <w:rPr>
          <w:rFonts w:ascii="Arial" w:cs="Arial" w:eastAsia="Arial" w:hAnsi="Arial"/>
          <w:sz w:val="16"/>
          <w:szCs w:val="16"/>
          <w:b w:val="1"/>
          <w:bCs w:val="1"/>
          <w:color w:val="auto"/>
        </w:rPr>
        <w:t xml:space="preserve"> </w:t>
      </w:r>
      <w:r>
        <w:rPr>
          <w:rFonts w:ascii="Arial" w:cs="Arial" w:eastAsia="Arial" w:hAnsi="Arial"/>
          <w:sz w:val="16"/>
          <w:szCs w:val="16"/>
          <w:color w:val="auto"/>
        </w:rPr>
        <w:t>nomination for director must notify the Corporate Secretary in writing not more than 120 days and not less than 90 days prior to the first anniversary of the preceding year’s Annual Meeting, subject to certain exceptions specified in Honeywell’s By-laws. The notice must meet the requirements contained in the By-laws, a copy of which can be obtained from the Corporate Secretary. Honeywell did not receive any such nominations for the 2024 Annual Meeting of Shareowners.</w:t>
      </w:r>
    </w:p>
    <w:p>
      <w:pPr>
        <w:spacing w:after="0" w:line="64"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b w:val="1"/>
          <w:bCs w:val="1"/>
          <w:color w:val="auto"/>
        </w:rPr>
        <w:t xml:space="preserve">Universal Proxy Rules. </w:t>
      </w:r>
      <w:r>
        <w:rPr>
          <w:rFonts w:ascii="Arial" w:cs="Arial" w:eastAsia="Arial" w:hAnsi="Arial"/>
          <w:sz w:val="16"/>
          <w:szCs w:val="16"/>
          <w:color w:val="auto"/>
        </w:rPr>
        <w:t>In addition to satisfying the foregoing requirements under our By-laws, including advance notice of director nominations, to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universal proxy rules, shareowners who intend to solicit proxies in support of director nominees other than Honeywell’s nominees must provide notice that sets forth any additional information required by Rule 14a-19 under the Exchange Act no later than March 15, 2025. Such notice may be mailed to the Corporate Secretary at the address above.</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auto"/>
        </w:rPr>
        <w:t xml:space="preserve">Shareowner Recommendations. </w:t>
      </w:r>
      <w:r>
        <w:rPr>
          <w:rFonts w:ascii="Arial" w:cs="Arial" w:eastAsia="Arial" w:hAnsi="Arial"/>
          <w:sz w:val="16"/>
          <w:szCs w:val="16"/>
          <w:color w:val="auto"/>
        </w:rPr>
        <w:t>Shareowners wishing to recommend a director candidate to the CGRC for its consideration should write to the CGRC, in</w:t>
      </w:r>
      <w:r>
        <w:rPr>
          <w:rFonts w:ascii="Arial" w:cs="Arial" w:eastAsia="Arial" w:hAnsi="Arial"/>
          <w:sz w:val="16"/>
          <w:szCs w:val="16"/>
          <w:b w:val="1"/>
          <w:bCs w:val="1"/>
          <w:color w:val="auto"/>
        </w:rPr>
        <w:t xml:space="preserve"> </w:t>
      </w:r>
      <w:r>
        <w:rPr>
          <w:rFonts w:ascii="Arial" w:cs="Arial" w:eastAsia="Arial" w:hAnsi="Arial"/>
          <w:sz w:val="16"/>
          <w:szCs w:val="16"/>
          <w:color w:val="auto"/>
        </w:rPr>
        <w:t>care of Corporate Secretary, Honeywell, 855 S. Mint Street, Charlotte, NC 28202, and must comply with the requirements specified in the Shareowners Nomination Policy adopted by the CGRC as described below. To receive consideration, a recommendation should include the candidate’s name, biographical data, a description of his or her qualifications in light of the criteria described in this Proxy Statement and our By-Laws, and any other information required by the Shareowners Nomination Policy, which can be requested from our Corporate Secretary via email (honcorpsec@honeywell.com) or by mail at the address above. The CGRC evaluates candidates recommended by shareowners using the same criteria as for other candidates recommended by existing Board members or other persons, as described above under “Evaluation and Nomination of Director Candidates.”</w:t>
      </w:r>
    </w:p>
    <w:p>
      <w:pPr>
        <w:spacing w:after="0" w:line="259" w:lineRule="exact"/>
        <w:rPr>
          <w:sz w:val="20"/>
          <w:szCs w:val="20"/>
          <w:color w:val="auto"/>
        </w:rPr>
      </w:pPr>
    </w:p>
    <w:p>
      <w:pPr>
        <w:spacing w:after="0"/>
        <w:rPr>
          <w:sz w:val="20"/>
          <w:szCs w:val="20"/>
          <w:color w:val="auto"/>
        </w:rPr>
      </w:pPr>
      <w:r>
        <w:rPr>
          <w:rFonts w:ascii="Arial" w:cs="Arial" w:eastAsia="Arial" w:hAnsi="Arial"/>
          <w:sz w:val="31"/>
          <w:szCs w:val="31"/>
          <w:b w:val="1"/>
          <w:bCs w:val="1"/>
          <w:color w:val="D7282F"/>
        </w:rPr>
        <w:t>WHERE SHAREOWNERS CAN FIND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FILINGS AND REPORTS</w:t>
      </w:r>
    </w:p>
    <w:p>
      <w:pPr>
        <w:spacing w:after="0" w:line="12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website at investor.honeywell.com (see “Financials/SEC Filings”) immediately after they are publicly filed or furnished.</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GOVERNANCE DOCUMENTS</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visit our website at investor.honeywell.com (see “Governance/Governance Overview”) to view our governance documents, including our Charter and By-laws, Corporate Governance Guidelines, Code of Business Conduct, and Board committee charters.</w:t>
      </w:r>
    </w:p>
    <w:p>
      <w:pPr>
        <w:spacing w:after="0" w:line="218"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112  </w:t>
      </w:r>
      <w:r>
        <w:rPr>
          <w:sz w:val="1"/>
          <w:szCs w:val="1"/>
          <w:color w:val="auto"/>
        </w:rPr>
        <w:drawing>
          <wp:inline distT="0" distB="0" distL="0" distR="0">
            <wp:extent cx="548640" cy="102870"/>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939598"/>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MANAGEMENT AND INVESTOR RELATIONS</w:t>
      </w:r>
    </w:p>
    <w:p>
      <w:pPr>
        <w:spacing w:after="0" w:line="12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Our Investor Relations department is the primary point of contact for shareowner interaction with Honeywell. Shareowners should write to or call: Vice President, Investor Relations, Honeywell, 855 S. Mint Street, Charlotte, NC 28202, or +1 (704) 627-6200.</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THE BOARD</w:t>
      </w:r>
    </w:p>
    <w:p>
      <w:pPr>
        <w:spacing w:after="0" w:line="141" w:lineRule="exact"/>
        <w:rPr>
          <w:sz w:val="20"/>
          <w:szCs w:val="20"/>
          <w:color w:val="auto"/>
        </w:rPr>
      </w:pPr>
    </w:p>
    <w:p>
      <w:pPr>
        <w:ind w:right="60"/>
        <w:spacing w:after="0" w:line="198" w:lineRule="exact"/>
        <w:rPr>
          <w:sz w:val="20"/>
          <w:szCs w:val="20"/>
          <w:color w:val="auto"/>
        </w:rPr>
      </w:pPr>
      <w:r>
        <w:rPr>
          <w:rFonts w:ascii="Arial" w:cs="Arial" w:eastAsia="Arial" w:hAnsi="Arial"/>
          <w:sz w:val="16"/>
          <w:szCs w:val="16"/>
          <w:color w:val="auto"/>
        </w:rPr>
        <w:t>Shareowners, as well as other interested parties, may communicate directly with our independent Lead Director, the non-employee directors as a group, or individual directors by writing to: Corporate Secretary, Honeywell, 855 S. Mint Street, Charlotte, NC 28202. Honeywell’s Corporate Secretary reviews and promptly forwards communications to the directors as appropriate. Communication involving substantive accounting or auditing matters are forwarded to the Audit Committee Chair. Certain items that are unrelated to the duties and responsibilities of the Board will not be forwarded, such as: business solicitation or advertisements; product or service related inquires; junk mail or mass mailings; resumes or other job</w:t>
      </w:r>
      <w:r>
        <w:rPr>
          <w:rFonts w:ascii="MS PGothic" w:cs="MS PGothic" w:eastAsia="MS PGothic" w:hAnsi="MS PGothic"/>
          <w:sz w:val="16"/>
          <w:szCs w:val="16"/>
          <w:color w:val="auto"/>
        </w:rPr>
        <w:t>‑</w:t>
      </w:r>
      <w:r>
        <w:rPr>
          <w:rFonts w:ascii="Arial" w:cs="Arial" w:eastAsia="Arial" w:hAnsi="Arial"/>
          <w:sz w:val="16"/>
          <w:szCs w:val="16"/>
          <w:color w:val="auto"/>
        </w:rPr>
        <w:t>related inquires; spam; and overly hostile, threatening, potentially illegal, or similarly unsuitable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WEBSITE</w:t>
      </w:r>
    </w:p>
    <w:p>
      <w:pPr>
        <w:spacing w:after="0" w:line="12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Honeywell uses our Investor Relations website, investor.honeywell.com,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We encourage our shareowners to visit our website for more information about our financial, corporate governance, corporate responsibility, and sustainability policies, practices, and performance.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Visit Our Website at </w:t>
      </w:r>
      <w:r>
        <w:rPr>
          <w:rFonts w:ascii="Arial" w:cs="Arial" w:eastAsia="Arial" w:hAnsi="Arial"/>
          <w:sz w:val="16"/>
          <w:szCs w:val="16"/>
          <w:b w:val="1"/>
          <w:bCs w:val="1"/>
          <w:color w:val="D7282F"/>
        </w:rPr>
        <w:t>investor.honeywell.com.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-115570</wp:posOffset>
            </wp:positionV>
            <wp:extent cx="34290" cy="1460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4290" cy="146050"/>
                    </a:xfrm>
                    <a:prstGeom prst="rect">
                      <a:avLst/>
                    </a:prstGeom>
                    <a:noFill/>
                  </pic:spPr>
                </pic:pic>
              </a:graphicData>
            </a:graphic>
          </wp:anchor>
        </w:drawing>
      </w:r>
    </w:p>
    <w:p>
      <w:pPr>
        <w:spacing w:after="0" w:line="20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Although we include references to our website throughout this Proxy Statement, information contained on or accessible through, including any reports available on, our website is not a part of, and is not incorporated by reference into, this Proxy Statement or any other report or document we file with the SEC. Any reference to our website throughout this Proxy Statement is intended to be an inactive textual reference only.</w:t>
      </w:r>
    </w:p>
    <w:p>
      <w:pPr>
        <w:spacing w:after="0" w:line="7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No assurance can be given that any plan, initiative, projection, goal, target, commitment, expectation, or prospect set forth in this Proxy Statement can or will be achieved. Inclusion of information in this Proxy Statement is not an indication that the subject or information is material to our business or operating results.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062990" cy="40322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629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 PING LU</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Corporate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April 2,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ind w:right="1020"/>
        <w:spacing w:after="0" w:line="298" w:lineRule="auto"/>
        <w:rPr>
          <w:sz w:val="20"/>
          <w:szCs w:val="20"/>
          <w:color w:val="auto"/>
        </w:rPr>
      </w:pPr>
      <w:r>
        <w:rPr>
          <w:rFonts w:ascii="Arial" w:cs="Arial" w:eastAsia="Arial" w:hAnsi="Arial"/>
          <w:sz w:val="45"/>
          <w:szCs w:val="45"/>
          <w:b w:val="1"/>
          <w:bCs w:val="1"/>
          <w:color w:val="auto"/>
        </w:rPr>
        <w:t>APPENDIX A: RECONCILIATION OF NON-GAAP FINANCIAL MEASURES</w:t>
      </w:r>
    </w:p>
    <w:p>
      <w:pPr>
        <w:spacing w:after="0" w:line="261"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The following information provides definitions and reconciliations of certain non-GAAP financial measures presented in this Proxy Statement to the most directly comparable financial measures calculated and presented in accordance with generally accepted accounting principles (GAAP).</w:t>
      </w:r>
    </w:p>
    <w:p>
      <w:pPr>
        <w:spacing w:after="0" w:line="3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Management believes that, when considered together with reported amounts, these measures are useful to investors and management in understanding our ongoing operations and in the analysis of ongoing operating trends. These measures should be considered in addition to, and not as replacements for, the most comparable GAAP measure. Certain measures presented on a non-GAAP basis represent the impact of adjusting items net of tax. The tax-effect for adjusting items is determined individually and on a case-by-case basis. Included below are reconciliations of non-GAAP financial measures to the most directly comparable GAAP measures. Other companies may calculate these non-GAAP measures differently, limiting the usefulness of these measures for comparative purposes.</w:t>
      </w:r>
    </w:p>
    <w:p>
      <w:pPr>
        <w:spacing w:after="0" w:line="6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consolidated financial statements. In addition, they are subject to inherent limitations as they reflect the exercise of judgments by management about which expenses and income are excluded or included in determining these non-GAAP financial measures. Investors are urged to review the reconciliation of the non-GAAP financial measures to the comparable GAAP financial measures and not to rely on any single financial measure to evaluate Honeywell’s business.</w:t>
      </w:r>
    </w:p>
    <w:p>
      <w:pPr>
        <w:spacing w:after="0" w:line="244" w:lineRule="exact"/>
        <w:rPr>
          <w:sz w:val="20"/>
          <w:szCs w:val="20"/>
          <w:color w:val="auto"/>
        </w:rPr>
      </w:pPr>
    </w:p>
    <w:p>
      <w:pPr>
        <w:ind w:left="220" w:hanging="212"/>
        <w:spacing w:after="0"/>
        <w:tabs>
          <w:tab w:leader="none" w:pos="220" w:val="left"/>
        </w:tabs>
        <w:numPr>
          <w:ilvl w:val="0"/>
          <w:numId w:val="208"/>
        </w:numPr>
        <w:rPr>
          <w:rFonts w:ascii="Arial" w:cs="Arial" w:eastAsia="Arial" w:hAnsi="Arial"/>
          <w:sz w:val="16"/>
          <w:szCs w:val="16"/>
          <w:b w:val="1"/>
          <w:bCs w:val="1"/>
          <w:color w:val="6D6E71"/>
        </w:rPr>
      </w:pPr>
      <w:r>
        <w:rPr>
          <w:rFonts w:ascii="Arial" w:cs="Arial" w:eastAsia="Arial" w:hAnsi="Arial"/>
          <w:sz w:val="16"/>
          <w:szCs w:val="16"/>
          <w:color w:val="6D6E71"/>
        </w:rPr>
        <w:t>RECONCILIATION OF CASH PROVIDED BY OPERATING ACTIVITIES TO FREE CASH FLOW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35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09"/>
        </w:trPr>
        <w:tc>
          <w:tcPr>
            <w:tcW w:w="59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Cash provided by operating activities</w:t>
            </w:r>
          </w:p>
        </w:tc>
        <w:tc>
          <w:tcPr>
            <w:tcW w:w="358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b w:val="1"/>
                <w:bCs w:val="1"/>
                <w:color w:val="auto"/>
              </w:rPr>
              <w:t>5,274</w:t>
            </w:r>
          </w:p>
        </w:tc>
        <w:tc>
          <w:tcPr>
            <w:tcW w:w="360" w:type="dxa"/>
            <w:vAlign w:val="bottom"/>
            <w:tcBorders>
              <w:bottom w:val="single" w:sz="8" w:color="939598"/>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5,340</w:t>
            </w:r>
          </w:p>
        </w:tc>
      </w:tr>
      <w:tr>
        <w:trPr>
          <w:trHeight w:val="195"/>
        </w:trPr>
        <w:tc>
          <w:tcPr>
            <w:tcW w:w="590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58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(766)</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(1,039)</w:t>
            </w:r>
          </w:p>
        </w:tc>
      </w:tr>
      <w:tr>
        <w:trPr>
          <w:trHeight w:val="22"/>
        </w:trPr>
        <w:tc>
          <w:tcPr>
            <w:tcW w:w="5900" w:type="dxa"/>
            <w:vAlign w:val="bottom"/>
            <w:tcBorders>
              <w:bottom w:val="single" w:sz="8" w:color="939598"/>
            </w:tcBorders>
          </w:tcPr>
          <w:p>
            <w:pPr>
              <w:spacing w:after="0" w:line="20" w:lineRule="exact"/>
              <w:rPr>
                <w:sz w:val="1"/>
                <w:szCs w:val="1"/>
                <w:color w:val="auto"/>
              </w:rPr>
            </w:pPr>
          </w:p>
        </w:tc>
        <w:tc>
          <w:tcPr>
            <w:tcW w:w="35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c>
          <w:tcPr>
            <w:tcW w:w="36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r>
      <w:tr>
        <w:trPr>
          <w:trHeight w:val="188"/>
        </w:trPr>
        <w:tc>
          <w:tcPr>
            <w:tcW w:w="5900" w:type="dxa"/>
            <w:vAlign w:val="bottom"/>
          </w:tcPr>
          <w:p>
            <w:pPr>
              <w:ind w:left="20"/>
              <w:spacing w:after="0"/>
              <w:rPr>
                <w:sz w:val="20"/>
                <w:szCs w:val="20"/>
                <w:color w:val="auto"/>
              </w:rPr>
            </w:pPr>
            <w:r>
              <w:rPr>
                <w:rFonts w:ascii="Arial" w:cs="Arial" w:eastAsia="Arial" w:hAnsi="Arial"/>
                <w:sz w:val="14"/>
                <w:szCs w:val="14"/>
                <w:color w:val="auto"/>
              </w:rPr>
              <w:t>Garrett cash receipts</w:t>
            </w:r>
          </w:p>
        </w:tc>
        <w:tc>
          <w:tcPr>
            <w:tcW w:w="358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409</w:t>
            </w: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900" w:type="dxa"/>
            <w:vAlign w:val="bottom"/>
            <w:tcBorders>
              <w:bottom w:val="single" w:sz="8" w:color="D7282F"/>
            </w:tcBorders>
          </w:tcPr>
          <w:p>
            <w:pPr>
              <w:spacing w:after="0" w:line="20" w:lineRule="exact"/>
              <w:rPr>
                <w:sz w:val="1"/>
                <w:szCs w:val="1"/>
                <w:color w:val="auto"/>
              </w:rPr>
            </w:pPr>
          </w:p>
        </w:tc>
        <w:tc>
          <w:tcPr>
            <w:tcW w:w="35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c>
          <w:tcPr>
            <w:tcW w:w="360" w:type="dxa"/>
            <w:vAlign w:val="bottom"/>
            <w:tcBorders>
              <w:bottom w:val="single" w:sz="8" w:color="D7282F"/>
            </w:tcBorders>
          </w:tcPr>
          <w:p>
            <w:pPr>
              <w:spacing w:after="0" w:line="20" w:lineRule="exact"/>
              <w:rPr>
                <w:sz w:val="1"/>
                <w:szCs w:val="1"/>
                <w:color w:val="auto"/>
              </w:rPr>
            </w:pPr>
          </w:p>
        </w:tc>
        <w:tc>
          <w:tcPr>
            <w:tcW w:w="640" w:type="dxa"/>
            <w:vAlign w:val="bottom"/>
            <w:tcBorders>
              <w:bottom w:val="single" w:sz="8" w:color="D7282F"/>
            </w:tcBorders>
          </w:tcPr>
          <w:p>
            <w:pPr>
              <w:spacing w:after="0" w:line="20" w:lineRule="exact"/>
              <w:rPr>
                <w:sz w:val="1"/>
                <w:szCs w:val="1"/>
                <w:color w:val="auto"/>
              </w:rPr>
            </w:pPr>
          </w:p>
        </w:tc>
      </w:tr>
      <w:tr>
        <w:trPr>
          <w:trHeight w:val="203"/>
        </w:trPr>
        <w:tc>
          <w:tcPr>
            <w:tcW w:w="59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Free cash flow</w:t>
            </w:r>
          </w:p>
        </w:tc>
        <w:tc>
          <w:tcPr>
            <w:tcW w:w="35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4,917</w:t>
            </w:r>
          </w:p>
        </w:tc>
        <w:tc>
          <w:tcPr>
            <w:tcW w:w="3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define free cash flow as cash provided by operating activities less cash for capital expenditures plus cash receipts from Garrett.</w:t>
      </w:r>
    </w:p>
    <w:p>
      <w:pPr>
        <w:spacing w:after="0" w:line="11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believe that free cash flow is a non-GAAP measure that is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This measure can also be used to evaluate our ability to generate cash flow from operations and the impact that this cash flow has on our liquidity.</w:t>
      </w:r>
    </w:p>
    <w:p>
      <w:pPr>
        <w:spacing w:after="0" w:line="236"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114  </w:t>
      </w:r>
      <w:r>
        <w:rPr>
          <w:sz w:val="1"/>
          <w:szCs w:val="1"/>
          <w:color w:val="auto"/>
        </w:rPr>
        <w:drawing>
          <wp:inline distT="0" distB="0" distL="0" distR="0">
            <wp:extent cx="548640" cy="10287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3"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hanging="212"/>
        <w:spacing w:after="0"/>
        <w:tabs>
          <w:tab w:leader="none" w:pos="220" w:val="left"/>
        </w:tabs>
        <w:numPr>
          <w:ilvl w:val="0"/>
          <w:numId w:val="209"/>
        </w:numPr>
        <w:rPr>
          <w:rFonts w:ascii="Arial" w:cs="Arial" w:eastAsia="Arial" w:hAnsi="Arial"/>
          <w:sz w:val="16"/>
          <w:szCs w:val="16"/>
          <w:b w:val="1"/>
          <w:bCs w:val="1"/>
          <w:color w:val="6D6E71"/>
        </w:rPr>
      </w:pPr>
      <w:r>
        <w:rPr>
          <w:rFonts w:ascii="Arial" w:cs="Arial" w:eastAsia="Arial" w:hAnsi="Arial"/>
          <w:sz w:val="16"/>
          <w:szCs w:val="16"/>
          <w:color w:val="6D6E71"/>
        </w:rPr>
        <w:t>RECONCILIATION OF EPS TO ADJUSTED EPS AND ADJUSTED EPS EXCLUDING PENSION HEADWIND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09"/>
        </w:trPr>
        <w:tc>
          <w:tcPr>
            <w:tcW w:w="75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Earnings per share of common stock—diluted</w:t>
            </w:r>
            <w:r>
              <w:rPr>
                <w:rFonts w:ascii="Arial" w:cs="Arial" w:eastAsia="Arial" w:hAnsi="Arial"/>
                <w:sz w:val="9"/>
                <w:szCs w:val="9"/>
                <w:b w:val="1"/>
                <w:bCs w:val="1"/>
                <w:color w:val="auto"/>
              </w:rPr>
              <w:t>(1)</w:t>
            </w:r>
          </w:p>
        </w:tc>
        <w:tc>
          <w:tcPr>
            <w:tcW w:w="2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b w:val="1"/>
                <w:bCs w:val="1"/>
                <w:color w:val="auto"/>
              </w:rPr>
              <w:t>6.72</w:t>
            </w:r>
          </w:p>
        </w:tc>
        <w:tc>
          <w:tcPr>
            <w:tcW w:w="3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b w:val="1"/>
                <w:bCs w:val="1"/>
                <w:color w:val="auto"/>
              </w:rPr>
              <w:t>7.91</w:t>
            </w:r>
          </w:p>
        </w:tc>
        <w:tc>
          <w:tcPr>
            <w:tcW w:w="3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b w:val="1"/>
                <w:bCs w:val="1"/>
                <w:color w:val="auto"/>
              </w:rPr>
              <w:t>7.27</w:t>
            </w:r>
          </w:p>
        </w:tc>
        <w:tc>
          <w:tcPr>
            <w:tcW w:w="38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8.47</w:t>
            </w:r>
          </w:p>
        </w:tc>
      </w:tr>
      <w:tr>
        <w:trPr>
          <w:trHeight w:val="194"/>
        </w:trPr>
        <w:tc>
          <w:tcPr>
            <w:tcW w:w="7520" w:type="dxa"/>
            <w:vAlign w:val="bottom"/>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(2)</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0.04</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0.05</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0.64</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Separation related tax adjustment</w:t>
            </w:r>
            <w:r>
              <w:rPr>
                <w:rFonts w:ascii="Arial" w:cs="Arial" w:eastAsia="Arial" w:hAnsi="Arial"/>
                <w:sz w:val="9"/>
                <w:szCs w:val="9"/>
                <w:color w:val="auto"/>
              </w:rPr>
              <w:t>(3)</w:t>
            </w:r>
          </w:p>
        </w:tc>
        <w:tc>
          <w:tcPr>
            <w:tcW w:w="2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(0.26)</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Changes in fair value for Garrett equity securities</w:t>
            </w:r>
            <w:r>
              <w:rPr>
                <w:rFonts w:ascii="Arial" w:cs="Arial" w:eastAsia="Arial" w:hAnsi="Arial"/>
                <w:sz w:val="9"/>
                <w:szCs w:val="9"/>
                <w:color w:val="auto"/>
              </w:rPr>
              <w:t>(4)</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(0.03)</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Garrett related adjustments</w:t>
            </w:r>
            <w:r>
              <w:rPr>
                <w:rFonts w:ascii="Arial" w:cs="Arial" w:eastAsia="Arial" w:hAnsi="Arial"/>
                <w:sz w:val="9"/>
                <w:szCs w:val="9"/>
                <w:color w:val="auto"/>
              </w:rPr>
              <w:t>(5)</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0.60</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Gain on sale of retail footwear business</w:t>
            </w:r>
            <w:r>
              <w:rPr>
                <w:rFonts w:ascii="Arial" w:cs="Arial" w:eastAsia="Arial" w:hAnsi="Arial"/>
                <w:sz w:val="9"/>
                <w:szCs w:val="9"/>
                <w:color w:val="auto"/>
              </w:rPr>
              <w:t>(6)</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(0.11)</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Expense related to UOP Matters</w:t>
            </w:r>
            <w:r>
              <w:rPr>
                <w:rFonts w:ascii="Arial" w:cs="Arial" w:eastAsia="Arial" w:hAnsi="Arial"/>
                <w:sz w:val="9"/>
                <w:szCs w:val="9"/>
                <w:color w:val="auto"/>
              </w:rPr>
              <w:t>(7)</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0.23</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0.07</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Russian-related charges</w:t>
            </w:r>
            <w:r>
              <w:rPr>
                <w:rFonts w:ascii="Arial" w:cs="Arial" w:eastAsia="Arial" w:hAnsi="Arial"/>
                <w:sz w:val="9"/>
                <w:szCs w:val="9"/>
                <w:color w:val="auto"/>
              </w:rPr>
              <w:t>(8)</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0.43</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Gain on sale of Russian entities</w:t>
            </w:r>
            <w:r>
              <w:rPr>
                <w:rFonts w:ascii="Arial" w:cs="Arial" w:eastAsia="Arial" w:hAnsi="Arial"/>
                <w:sz w:val="9"/>
                <w:szCs w:val="9"/>
                <w:color w:val="auto"/>
              </w:rPr>
              <w:t>(9)</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(0.03)</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Net expense related to the NARCO Buyout and HWI Sale</w:t>
            </w:r>
            <w:r>
              <w:rPr>
                <w:rFonts w:ascii="Arial" w:cs="Arial" w:eastAsia="Arial" w:hAnsi="Arial"/>
                <w:sz w:val="9"/>
                <w:szCs w:val="9"/>
                <w:color w:val="auto"/>
              </w:rPr>
              <w:t>(10)</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0.38</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2"/>
        </w:trPr>
        <w:tc>
          <w:tcPr>
            <w:tcW w:w="7520" w:type="dxa"/>
            <w:vAlign w:val="bottom"/>
            <w:tcBorders>
              <w:bottom w:val="single" w:sz="8" w:color="939598"/>
            </w:tcBorders>
          </w:tcPr>
          <w:p>
            <w:pPr>
              <w:spacing w:after="0" w:line="20" w:lineRule="exact"/>
              <w:rPr>
                <w:sz w:val="1"/>
                <w:szCs w:val="1"/>
                <w:color w:val="auto"/>
              </w:rPr>
            </w:pPr>
          </w:p>
        </w:tc>
        <w:tc>
          <w:tcPr>
            <w:tcW w:w="22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40" w:type="dxa"/>
            <w:vAlign w:val="bottom"/>
            <w:tcBorders>
              <w:bottom w:val="single" w:sz="8" w:color="939598"/>
            </w:tcBorders>
          </w:tcPr>
          <w:p>
            <w:pPr>
              <w:spacing w:after="0" w:line="20" w:lineRule="exact"/>
              <w:rPr>
                <w:sz w:val="1"/>
                <w:szCs w:val="1"/>
                <w:color w:val="auto"/>
              </w:rPr>
            </w:pPr>
          </w:p>
        </w:tc>
        <w:tc>
          <w:tcPr>
            <w:tcW w:w="6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480" w:type="dxa"/>
            <w:vAlign w:val="bottom"/>
            <w:tcBorders>
              <w:bottom w:val="single" w:sz="8" w:color="939598"/>
            </w:tcBorders>
          </w:tcPr>
          <w:p>
            <w:pPr>
              <w:spacing w:after="0" w:line="20" w:lineRule="exact"/>
              <w:rPr>
                <w:sz w:val="1"/>
                <w:szCs w:val="1"/>
                <w:color w:val="auto"/>
              </w:rPr>
            </w:pPr>
          </w:p>
        </w:tc>
      </w:tr>
      <w:tr>
        <w:trPr>
          <w:trHeight w:val="188"/>
        </w:trPr>
        <w:tc>
          <w:tcPr>
            <w:tcW w:w="7520" w:type="dxa"/>
            <w:vAlign w:val="bottom"/>
          </w:tcPr>
          <w:p>
            <w:pPr>
              <w:ind w:left="20"/>
              <w:spacing w:after="0"/>
              <w:rPr>
                <w:sz w:val="20"/>
                <w:szCs w:val="20"/>
                <w:color w:val="auto"/>
              </w:rPr>
            </w:pPr>
            <w:r>
              <w:rPr>
                <w:rFonts w:ascii="Arial" w:cs="Arial" w:eastAsia="Arial" w:hAnsi="Arial"/>
                <w:sz w:val="14"/>
                <w:szCs w:val="14"/>
                <w:color w:val="auto"/>
              </w:rPr>
              <w:t>Adjustment to estimated future Bendix liability</w:t>
            </w:r>
            <w:r>
              <w:rPr>
                <w:rFonts w:ascii="Arial" w:cs="Arial" w:eastAsia="Arial" w:hAnsi="Arial"/>
                <w:sz w:val="9"/>
                <w:szCs w:val="9"/>
                <w:color w:val="auto"/>
              </w:rPr>
              <w:t>(11)</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0.49</w:t>
            </w:r>
          </w:p>
        </w:tc>
      </w:tr>
      <w:tr>
        <w:trPr>
          <w:trHeight w:val="22"/>
        </w:trPr>
        <w:tc>
          <w:tcPr>
            <w:tcW w:w="7520" w:type="dxa"/>
            <w:vAlign w:val="bottom"/>
            <w:tcBorders>
              <w:bottom w:val="single" w:sz="8" w:color="D7282F"/>
            </w:tcBorders>
          </w:tcPr>
          <w:p>
            <w:pPr>
              <w:spacing w:after="0" w:line="20" w:lineRule="exact"/>
              <w:rPr>
                <w:sz w:val="1"/>
                <w:szCs w:val="1"/>
                <w:color w:val="auto"/>
              </w:rPr>
            </w:pPr>
          </w:p>
        </w:tc>
        <w:tc>
          <w:tcPr>
            <w:tcW w:w="220" w:type="dxa"/>
            <w:vAlign w:val="bottom"/>
            <w:tcBorders>
              <w:bottom w:val="single" w:sz="8" w:color="D7282F"/>
            </w:tcBorders>
          </w:tcPr>
          <w:p>
            <w:pPr>
              <w:spacing w:after="0" w:line="20" w:lineRule="exact"/>
              <w:rPr>
                <w:sz w:val="1"/>
                <w:szCs w:val="1"/>
                <w:color w:val="auto"/>
              </w:rPr>
            </w:pPr>
          </w:p>
        </w:tc>
        <w:tc>
          <w:tcPr>
            <w:tcW w:w="66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64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64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r>
      <w:tr>
        <w:trPr>
          <w:trHeight w:val="203"/>
        </w:trPr>
        <w:tc>
          <w:tcPr>
            <w:tcW w:w="7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stock—diluted</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7.10</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8.06</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8.76</w:t>
            </w:r>
          </w:p>
        </w:tc>
        <w:tc>
          <w:tcPr>
            <w:tcW w:w="3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9.16</w:t>
            </w:r>
          </w:p>
        </w:tc>
      </w:tr>
      <w:tr>
        <w:trPr>
          <w:trHeight w:val="195"/>
        </w:trPr>
        <w:tc>
          <w:tcPr>
            <w:tcW w:w="7520" w:type="dxa"/>
            <w:vAlign w:val="bottom"/>
          </w:tcPr>
          <w:p>
            <w:pPr>
              <w:ind w:left="20"/>
              <w:spacing w:after="0"/>
              <w:rPr>
                <w:sz w:val="20"/>
                <w:szCs w:val="20"/>
                <w:color w:val="auto"/>
              </w:rPr>
            </w:pPr>
            <w:r>
              <w:rPr>
                <w:rFonts w:ascii="Arial" w:cs="Arial" w:eastAsia="Arial" w:hAnsi="Arial"/>
                <w:sz w:val="14"/>
                <w:szCs w:val="14"/>
                <w:color w:val="auto"/>
              </w:rPr>
              <w:t>Pension headwind</w:t>
            </w:r>
            <w:r>
              <w:rPr>
                <w:rFonts w:ascii="Arial" w:cs="Arial" w:eastAsia="Arial" w:hAnsi="Arial"/>
                <w:sz w:val="9"/>
                <w:szCs w:val="9"/>
                <w:color w:val="auto"/>
              </w:rPr>
              <w:t>(12)</w:t>
            </w:r>
          </w:p>
        </w:tc>
        <w:tc>
          <w:tcPr>
            <w:tcW w:w="220" w:type="dxa"/>
            <w:vAlign w:val="bottom"/>
          </w:tcPr>
          <w:p>
            <w:pPr>
              <w:spacing w:after="0"/>
              <w:rPr>
                <w:sz w:val="16"/>
                <w:szCs w:val="16"/>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0.55</w:t>
            </w:r>
          </w:p>
        </w:tc>
      </w:tr>
      <w:tr>
        <w:trPr>
          <w:trHeight w:val="22"/>
        </w:trPr>
        <w:tc>
          <w:tcPr>
            <w:tcW w:w="7520" w:type="dxa"/>
            <w:vAlign w:val="bottom"/>
            <w:tcBorders>
              <w:bottom w:val="single" w:sz="8" w:color="DC202E"/>
            </w:tcBorders>
          </w:tcPr>
          <w:p>
            <w:pPr>
              <w:spacing w:after="0" w:line="20" w:lineRule="exact"/>
              <w:rPr>
                <w:sz w:val="1"/>
                <w:szCs w:val="1"/>
                <w:color w:val="auto"/>
              </w:rPr>
            </w:pPr>
          </w:p>
        </w:tc>
        <w:tc>
          <w:tcPr>
            <w:tcW w:w="220" w:type="dxa"/>
            <w:vAlign w:val="bottom"/>
            <w:tcBorders>
              <w:bottom w:val="single" w:sz="8" w:color="D7282F"/>
            </w:tcBorders>
          </w:tcPr>
          <w:p>
            <w:pPr>
              <w:spacing w:after="0" w:line="20" w:lineRule="exact"/>
              <w:rPr>
                <w:sz w:val="1"/>
                <w:szCs w:val="1"/>
                <w:color w:val="auto"/>
              </w:rPr>
            </w:pPr>
          </w:p>
        </w:tc>
        <w:tc>
          <w:tcPr>
            <w:tcW w:w="66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640" w:type="dxa"/>
            <w:vAlign w:val="bottom"/>
            <w:tcBorders>
              <w:bottom w:val="single" w:sz="8" w:color="D7282F"/>
            </w:tcBorders>
          </w:tcPr>
          <w:p>
            <w:pPr>
              <w:spacing w:after="0" w:line="20" w:lineRule="exact"/>
              <w:rPr>
                <w:sz w:val="1"/>
                <w:szCs w:val="1"/>
                <w:color w:val="auto"/>
              </w:rPr>
            </w:pPr>
          </w:p>
        </w:tc>
        <w:tc>
          <w:tcPr>
            <w:tcW w:w="340" w:type="dxa"/>
            <w:vAlign w:val="bottom"/>
            <w:tcBorders>
              <w:bottom w:val="single" w:sz="8" w:color="D7282F"/>
            </w:tcBorders>
          </w:tcPr>
          <w:p>
            <w:pPr>
              <w:spacing w:after="0" w:line="20" w:lineRule="exact"/>
              <w:rPr>
                <w:sz w:val="1"/>
                <w:szCs w:val="1"/>
                <w:color w:val="auto"/>
              </w:rPr>
            </w:pPr>
          </w:p>
        </w:tc>
        <w:tc>
          <w:tcPr>
            <w:tcW w:w="64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480" w:type="dxa"/>
            <w:vAlign w:val="bottom"/>
            <w:tcBorders>
              <w:bottom w:val="single" w:sz="8" w:color="D7282F"/>
            </w:tcBorders>
          </w:tcPr>
          <w:p>
            <w:pPr>
              <w:spacing w:after="0" w:line="20" w:lineRule="exact"/>
              <w:rPr>
                <w:sz w:val="1"/>
                <w:szCs w:val="1"/>
                <w:color w:val="auto"/>
              </w:rPr>
            </w:pPr>
          </w:p>
        </w:tc>
      </w:tr>
      <w:tr>
        <w:trPr>
          <w:trHeight w:val="203"/>
        </w:trPr>
        <w:tc>
          <w:tcPr>
            <w:tcW w:w="752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Adjusted earnings per share of common stock excluding Pension headwind—diluted</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7.10</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8.06</w:t>
            </w:r>
          </w:p>
        </w:tc>
        <w:tc>
          <w:tcPr>
            <w:tcW w:w="34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8.76</w:t>
            </w:r>
          </w:p>
        </w:tc>
        <w:tc>
          <w:tcPr>
            <w:tcW w:w="380" w:type="dxa"/>
            <w:vAlign w:val="bottom"/>
            <w:tcBorders>
              <w:bottom w:val="single" w:sz="8" w:color="D7282F"/>
            </w:tcBorders>
          </w:tcPr>
          <w:p>
            <w:pPr>
              <w:spacing w:after="0"/>
              <w:rPr>
                <w:sz w:val="17"/>
                <w:szCs w:val="17"/>
                <w:color w:val="auto"/>
              </w:rPr>
            </w:pPr>
          </w:p>
        </w:tc>
        <w:tc>
          <w:tcPr>
            <w:tcW w:w="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9.71</w:t>
            </w:r>
          </w:p>
        </w:tc>
      </w:tr>
    </w:tbl>
    <w:p>
      <w:pPr>
        <w:spacing w:after="0" w:line="144" w:lineRule="exact"/>
        <w:rPr>
          <w:sz w:val="20"/>
          <w:szCs w:val="20"/>
          <w:color w:val="auto"/>
        </w:rPr>
      </w:pPr>
    </w:p>
    <w:p>
      <w:pPr>
        <w:ind w:left="200" w:right="200" w:hanging="192"/>
        <w:spacing w:after="0" w:line="236"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2023, 2022, 2021, and 2020, adjusted earnings per share utilizes weighted average shares of approximately 668.2 million, 683.1 million, 700.4 million, and 711.2 million, respectively.</w:t>
      </w:r>
    </w:p>
    <w:p>
      <w:pPr>
        <w:spacing w:after="0" w:line="50" w:lineRule="exact"/>
        <w:rPr>
          <w:rFonts w:ascii="Arial" w:cs="Arial" w:eastAsia="Arial" w:hAnsi="Arial"/>
          <w:sz w:val="16"/>
          <w:szCs w:val="16"/>
          <w:color w:val="auto"/>
          <w:vertAlign w:val="superscript"/>
        </w:rPr>
      </w:pPr>
    </w:p>
    <w:p>
      <w:pPr>
        <w:ind w:left="200" w:right="400" w:hanging="192"/>
        <w:spacing w:after="0" w:line="226"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Pension mark-to-market expense uses a blended tax rate of 18%, 16%, 25%, and 25%, net of tax benefit of $27 million, $83 million, $10 million, and $11 million in 2023, 2022, 2021, and 2020, respectively.</w:t>
      </w:r>
    </w:p>
    <w:p>
      <w:pPr>
        <w:spacing w:after="0" w:line="63" w:lineRule="exact"/>
        <w:rPr>
          <w:rFonts w:ascii="Arial" w:cs="Arial" w:eastAsia="Arial" w:hAnsi="Arial"/>
          <w:sz w:val="16"/>
          <w:szCs w:val="16"/>
          <w:color w:val="auto"/>
          <w:vertAlign w:val="superscript"/>
        </w:rPr>
      </w:pPr>
    </w:p>
    <w:p>
      <w:pPr>
        <w:ind w:left="200" w:right="60" w:hanging="192"/>
        <w:spacing w:after="0" w:line="226"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2020, separation related tax adjustment of $186 million, without tax benefit, includes the favorable resolution of a foreign tax matter related to the spin-off transactions.</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2021, the adjustment was $19 million, net of tax impact of $5 million, due to changes in fair value for Garrett equity securities.</w:t>
      </w:r>
    </w:p>
    <w:p>
      <w:pPr>
        <w:spacing w:after="0" w:line="63" w:lineRule="exact"/>
        <w:rPr>
          <w:rFonts w:ascii="Arial" w:cs="Arial" w:eastAsia="Arial" w:hAnsi="Arial"/>
          <w:sz w:val="16"/>
          <w:szCs w:val="16"/>
          <w:color w:val="auto"/>
          <w:vertAlign w:val="superscript"/>
        </w:rPr>
      </w:pPr>
    </w:p>
    <w:p>
      <w:pPr>
        <w:ind w:left="200" w:right="120" w:hanging="192"/>
        <w:spacing w:after="0" w:line="230"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2021, the adjustment was $7 million, without tax benefit, due to a non-cash charge associated with a reduction in value of reimbursement receivables following Garrett's emergence from bankruptcy on April 30, 2021. For the twelve months ended December 31, 2020, the adjustment was $427 million, net of tax benefit of $5 million, due to the non-cash charges associated with the reduction in value of reimbursement receivables due from Garrett, net of proceeds from settlement of related hedging transactions.</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2021, the adjustment was $76 million, net of tax impact of $19 million, due to the gain on sale of the retail footwear business.</w:t>
      </w:r>
    </w:p>
    <w:p>
      <w:pPr>
        <w:spacing w:after="0" w:line="56"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2022, and 2021, the adjustments were $45 million and $160 million, respectively, without tax benefit, due to an expense related to UOP matters.</w:t>
      </w:r>
    </w:p>
    <w:p>
      <w:pPr>
        <w:spacing w:after="0" w:line="64" w:lineRule="exact"/>
        <w:rPr>
          <w:rFonts w:ascii="Arial" w:cs="Arial" w:eastAsia="Arial" w:hAnsi="Arial"/>
          <w:sz w:val="16"/>
          <w:szCs w:val="16"/>
          <w:color w:val="auto"/>
          <w:vertAlign w:val="superscript"/>
        </w:rPr>
      </w:pPr>
    </w:p>
    <w:p>
      <w:pPr>
        <w:ind w:left="200" w:right="80" w:hanging="192"/>
        <w:spacing w:after="0" w:line="232" w:lineRule="auto"/>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2023, the adjustment was $3 million, without tax expense. For the twelve months ended December 31, 2022, the adjustment was $297 million, without tax benefit, to exclude charges and the accrual of reserves related to outstanding accounts receivable and contract assets, impairment of intangible assets, foreign exchange revaluation, inventory reserves, the write-down of other assets, impairment of property, plant and equipment, employee severance, and called guarantees related to the initial suspension and wind down of our businesses and operations in Russia.</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0"/>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2022, the adjustment was $22 million, without tax expense, due to the gain on sale of Russian entities.</w:t>
      </w:r>
    </w:p>
    <w:p>
      <w:pPr>
        <w:spacing w:after="0" w:line="63" w:lineRule="exact"/>
        <w:rPr>
          <w:rFonts w:ascii="Arial" w:cs="Arial" w:eastAsia="Arial" w:hAnsi="Arial"/>
          <w:sz w:val="16"/>
          <w:szCs w:val="16"/>
          <w:color w:val="auto"/>
          <w:vertAlign w:val="superscript"/>
        </w:rPr>
      </w:pPr>
    </w:p>
    <w:p>
      <w:pPr>
        <w:ind w:left="200" w:right="240" w:hanging="192"/>
        <w:spacing w:after="0" w:line="246" w:lineRule="auto"/>
        <w:tabs>
          <w:tab w:leader="none" w:pos="191" w:val="left"/>
        </w:tabs>
        <w:numPr>
          <w:ilvl w:val="0"/>
          <w:numId w:val="210"/>
        </w:numPr>
        <w:rPr>
          <w:rFonts w:ascii="Arial" w:cs="Arial" w:eastAsia="Arial" w:hAnsi="Arial"/>
          <w:sz w:val="15"/>
          <w:szCs w:val="15"/>
          <w:color w:val="auto"/>
          <w:vertAlign w:val="superscript"/>
        </w:rPr>
      </w:pPr>
      <w:r>
        <w:rPr>
          <w:rFonts w:ascii="Arial" w:cs="Arial" w:eastAsia="Arial" w:hAnsi="Arial"/>
          <w:sz w:val="12"/>
          <w:szCs w:val="12"/>
          <w:color w:val="auto"/>
        </w:rPr>
        <w:t>For the twelve months ended December 31, 2023, and 2022, the adjustments were $8 million and $260 million, net of tax benefit of $3 million and $82 million, respectively, due to the net expense related to the NARCO Buyout and HWI Sale.</w:t>
      </w:r>
    </w:p>
    <w:p>
      <w:pPr>
        <w:spacing w:after="0" w:line="46" w:lineRule="exact"/>
        <w:rPr>
          <w:rFonts w:ascii="Arial" w:cs="Arial" w:eastAsia="Arial" w:hAnsi="Arial"/>
          <w:sz w:val="15"/>
          <w:szCs w:val="15"/>
          <w:color w:val="auto"/>
          <w:vertAlign w:val="superscript"/>
        </w:rPr>
      </w:pPr>
    </w:p>
    <w:p>
      <w:pPr>
        <w:ind w:left="200" w:right="20" w:hanging="192"/>
        <w:spacing w:after="0" w:line="317" w:lineRule="auto"/>
        <w:tabs>
          <w:tab w:leader="none" w:pos="185" w:val="left"/>
        </w:tabs>
        <w:numPr>
          <w:ilvl w:val="0"/>
          <w:numId w:val="210"/>
        </w:numPr>
        <w:rPr>
          <w:rFonts w:ascii="Arial" w:cs="Arial" w:eastAsia="Arial" w:hAnsi="Arial"/>
          <w:sz w:val="14"/>
          <w:szCs w:val="14"/>
          <w:color w:val="auto"/>
          <w:vertAlign w:val="superscript"/>
        </w:rPr>
      </w:pPr>
      <w:r>
        <w:rPr>
          <w:rFonts w:ascii="Arial" w:cs="Arial" w:eastAsia="Arial" w:hAnsi="Arial"/>
          <w:sz w:val="11"/>
          <w:szCs w:val="11"/>
          <w:color w:val="auto"/>
        </w:rPr>
        <w:t>Bendix Friction Materials (“Bendix”) is a business no longer owned by the Company. In 2023, the Company changed its valuation methodology for calculating legacy Bendix liabilities. For the three and twelve months ended December 31, 2023, the adjustment was $330 million, net of tax benefit of $104 million (or $434 million pre-tax) due to a change in the estimated liability for resolution of asserted (claims filed as of the financial statement date) and unasserted Bendix-related asbestos claims. 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 The $434 million pre-tax amount is attributable primarily to shortening the look-back period to the two most recent years, and to a lesser extent to increasing expected resolution values for a subset of asserted claims to adjust for higher claim values in that subset than in the modelled two-year data set. 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25" w:lineRule="exact"/>
        <w:rPr>
          <w:rFonts w:ascii="Arial" w:cs="Arial" w:eastAsia="Arial" w:hAnsi="Arial"/>
          <w:sz w:val="14"/>
          <w:szCs w:val="14"/>
          <w:color w:val="auto"/>
          <w:vertAlign w:val="superscript"/>
        </w:rPr>
      </w:pPr>
    </w:p>
    <w:p>
      <w:pPr>
        <w:ind w:left="200" w:right="60" w:hanging="192"/>
        <w:spacing w:after="0" w:line="246" w:lineRule="auto"/>
        <w:tabs>
          <w:tab w:leader="none" w:pos="191" w:val="left"/>
        </w:tabs>
        <w:numPr>
          <w:ilvl w:val="0"/>
          <w:numId w:val="210"/>
        </w:numPr>
        <w:rPr>
          <w:rFonts w:ascii="Arial" w:cs="Arial" w:eastAsia="Arial" w:hAnsi="Arial"/>
          <w:sz w:val="15"/>
          <w:szCs w:val="15"/>
          <w:color w:val="auto"/>
          <w:vertAlign w:val="superscript"/>
        </w:rPr>
      </w:pPr>
      <w:r>
        <w:rPr>
          <w:rFonts w:ascii="Arial" w:cs="Arial" w:eastAsia="Arial" w:hAnsi="Arial"/>
          <w:sz w:val="12"/>
          <w:szCs w:val="12"/>
          <w:color w:val="auto"/>
        </w:rPr>
        <w:t>For the twelve months ended December 31, 2023, the adjustment was the decline of $378 million of pension ongoing and other postretirement income between 2022 and 2023, net of tax expense of $99 million.</w:t>
      </w:r>
    </w:p>
    <w:p>
      <w:pPr>
        <w:spacing w:after="0" w:line="9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define adjusted earnings per share as diluted earnings per share adjusted to exclude various charges as listed above. We define adjusted earnings per share excluding pension headwind as adjusted earnings per share adjusted for an actual decline of pension ongoing and other postretirement income between the comparative periods in 2022 and 2023. We believe adjusted earnings per share and adjusted earnings per share excluding pension headwind are measures that are useful to investors and management in understanding our ongoing operations and in analysis of ongoing operating trends.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right="560" w:hanging="252"/>
        <w:spacing w:after="0" w:line="286" w:lineRule="auto"/>
        <w:tabs>
          <w:tab w:leader="none" w:pos="212" w:val="left"/>
        </w:tabs>
        <w:numPr>
          <w:ilvl w:val="0"/>
          <w:numId w:val="211"/>
        </w:numPr>
        <w:rPr>
          <w:rFonts w:ascii="Arial" w:cs="Arial" w:eastAsia="Arial" w:hAnsi="Arial"/>
          <w:sz w:val="16"/>
          <w:szCs w:val="16"/>
          <w:b w:val="1"/>
          <w:bCs w:val="1"/>
          <w:color w:val="6D6E71"/>
        </w:rPr>
      </w:pPr>
      <w:r>
        <w:rPr>
          <w:rFonts w:ascii="Arial" w:cs="Arial" w:eastAsia="Arial" w:hAnsi="Arial"/>
          <w:sz w:val="16"/>
          <w:szCs w:val="16"/>
          <w:color w:val="6D6E71"/>
        </w:rPr>
        <w:t>RECONCILIATION OF OPERATING INCOME TO SEGMENT PROFIT AND CALCULATION OF OPERATING INCOME AND SEGMENT PROFIT MARGINS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19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09"/>
        </w:trPr>
        <w:tc>
          <w:tcPr>
            <w:tcW w:w="4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194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5,696</w:t>
            </w:r>
          </w:p>
        </w:tc>
        <w:tc>
          <w:tcPr>
            <w:tcW w:w="38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6,200</w:t>
            </w:r>
          </w:p>
        </w:tc>
        <w:tc>
          <w:tcPr>
            <w:tcW w:w="40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6,427</w:t>
            </w:r>
          </w:p>
        </w:tc>
        <w:tc>
          <w:tcPr>
            <w:tcW w:w="40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7,084</w:t>
            </w:r>
          </w:p>
        </w:tc>
      </w:tr>
      <w:tr>
        <w:trPr>
          <w:trHeight w:val="216"/>
        </w:trPr>
        <w:tc>
          <w:tcPr>
            <w:tcW w:w="48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(1)</w:t>
            </w:r>
          </w:p>
        </w:tc>
        <w:tc>
          <w:tcPr>
            <w:tcW w:w="19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168</w:t>
            </w:r>
          </w:p>
        </w:tc>
        <w:tc>
          <w:tcPr>
            <w:tcW w:w="38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217</w:t>
            </w:r>
          </w:p>
        </w:tc>
        <w:tc>
          <w:tcPr>
            <w:tcW w:w="40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188</w:t>
            </w:r>
          </w:p>
        </w:tc>
        <w:tc>
          <w:tcPr>
            <w:tcW w:w="40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202</w:t>
            </w:r>
          </w:p>
        </w:tc>
      </w:tr>
      <w:tr>
        <w:trPr>
          <w:trHeight w:val="210"/>
        </w:trPr>
        <w:tc>
          <w:tcPr>
            <w:tcW w:w="48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Repositioning, Other</w:t>
            </w:r>
            <w:r>
              <w:rPr>
                <w:rFonts w:ascii="Arial" w:cs="Arial" w:eastAsia="Arial" w:hAnsi="Arial"/>
                <w:sz w:val="18"/>
                <w:szCs w:val="18"/>
                <w:color w:val="auto"/>
                <w:vertAlign w:val="superscript"/>
              </w:rPr>
              <w:t>(2,3)</w:t>
            </w:r>
          </w:p>
        </w:tc>
        <w:tc>
          <w:tcPr>
            <w:tcW w:w="194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641</w:t>
            </w:r>
          </w:p>
        </w:tc>
        <w:tc>
          <w:tcPr>
            <w:tcW w:w="38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636</w:t>
            </w:r>
          </w:p>
        </w:tc>
        <w:tc>
          <w:tcPr>
            <w:tcW w:w="40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942</w:t>
            </w:r>
          </w:p>
        </w:tc>
        <w:tc>
          <w:tcPr>
            <w:tcW w:w="40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952</w:t>
            </w:r>
          </w:p>
        </w:tc>
      </w:tr>
      <w:tr>
        <w:trPr>
          <w:trHeight w:val="209"/>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18"/>
                <w:szCs w:val="18"/>
                <w:color w:val="auto"/>
                <w:vertAlign w:val="superscript"/>
              </w:rPr>
              <w:t>(4)</w:t>
            </w:r>
          </w:p>
        </w:tc>
        <w:tc>
          <w:tcPr>
            <w:tcW w:w="194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160</w:t>
            </w:r>
          </w:p>
        </w:tc>
        <w:tc>
          <w:tcPr>
            <w:tcW w:w="38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159</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132</w:t>
            </w:r>
          </w:p>
        </w:tc>
        <w:tc>
          <w:tcPr>
            <w:tcW w:w="400" w:type="dxa"/>
            <w:vAlign w:val="bottom"/>
            <w:tcBorders>
              <w:bottom w:val="single" w:sz="8" w:color="D7282F"/>
            </w:tcBorders>
          </w:tcPr>
          <w:p>
            <w:pPr>
              <w:spacing w:after="0"/>
              <w:rPr>
                <w:sz w:val="18"/>
                <w:szCs w:val="18"/>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66</w:t>
            </w:r>
          </w:p>
        </w:tc>
      </w:tr>
      <w:tr>
        <w:trPr>
          <w:trHeight w:val="203"/>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9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6,665</w:t>
            </w:r>
          </w:p>
        </w:tc>
        <w:tc>
          <w:tcPr>
            <w:tcW w:w="38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7,212</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7,689</w:t>
            </w:r>
          </w:p>
        </w:tc>
        <w:tc>
          <w:tcPr>
            <w:tcW w:w="4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8,304</w:t>
            </w: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94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5,696</w:t>
            </w:r>
          </w:p>
        </w:tc>
        <w:tc>
          <w:tcPr>
            <w:tcW w:w="38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6,200</w:t>
            </w:r>
          </w:p>
        </w:tc>
        <w:tc>
          <w:tcPr>
            <w:tcW w:w="40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6,427</w:t>
            </w:r>
          </w:p>
        </w:tc>
        <w:tc>
          <w:tcPr>
            <w:tcW w:w="4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7,084</w:t>
            </w:r>
          </w:p>
        </w:tc>
      </w:tr>
      <w:tr>
        <w:trPr>
          <w:trHeight w:val="22"/>
        </w:trPr>
        <w:tc>
          <w:tcPr>
            <w:tcW w:w="4820" w:type="dxa"/>
            <w:vAlign w:val="bottom"/>
            <w:tcBorders>
              <w:bottom w:val="single" w:sz="8" w:color="939598"/>
            </w:tcBorders>
          </w:tcPr>
          <w:p>
            <w:pPr>
              <w:spacing w:after="0" w:line="20" w:lineRule="exact"/>
              <w:rPr>
                <w:sz w:val="1"/>
                <w:szCs w:val="1"/>
                <w:color w:val="auto"/>
              </w:rPr>
            </w:pPr>
          </w:p>
        </w:tc>
        <w:tc>
          <w:tcPr>
            <w:tcW w:w="194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94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32,637</w:t>
            </w:r>
          </w:p>
        </w:tc>
        <w:tc>
          <w:tcPr>
            <w:tcW w:w="38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34,392</w:t>
            </w:r>
          </w:p>
        </w:tc>
        <w:tc>
          <w:tcPr>
            <w:tcW w:w="40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35,466</w:t>
            </w:r>
          </w:p>
        </w:tc>
        <w:tc>
          <w:tcPr>
            <w:tcW w:w="4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36,662</w:t>
            </w:r>
          </w:p>
        </w:tc>
      </w:tr>
      <w:tr>
        <w:trPr>
          <w:trHeight w:val="22"/>
        </w:trPr>
        <w:tc>
          <w:tcPr>
            <w:tcW w:w="4820" w:type="dxa"/>
            <w:vAlign w:val="bottom"/>
            <w:tcBorders>
              <w:bottom w:val="single" w:sz="8" w:color="D7282F"/>
            </w:tcBorders>
          </w:tcPr>
          <w:p>
            <w:pPr>
              <w:spacing w:after="0" w:line="20" w:lineRule="exact"/>
              <w:rPr>
                <w:sz w:val="1"/>
                <w:szCs w:val="1"/>
                <w:color w:val="auto"/>
              </w:rPr>
            </w:pPr>
          </w:p>
        </w:tc>
        <w:tc>
          <w:tcPr>
            <w:tcW w:w="194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720" w:type="dxa"/>
            <w:vAlign w:val="bottom"/>
            <w:tcBorders>
              <w:bottom w:val="single" w:sz="8" w:color="D7282F"/>
            </w:tcBorders>
          </w:tcPr>
          <w:p>
            <w:pPr>
              <w:spacing w:after="0" w:line="20" w:lineRule="exact"/>
              <w:rPr>
                <w:sz w:val="1"/>
                <w:szCs w:val="1"/>
                <w:color w:val="auto"/>
              </w:rPr>
            </w:pPr>
          </w:p>
        </w:tc>
      </w:tr>
      <w:tr>
        <w:trPr>
          <w:trHeight w:val="203"/>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income margin %</w:t>
            </w:r>
          </w:p>
        </w:tc>
        <w:tc>
          <w:tcPr>
            <w:tcW w:w="19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17.5 %</w:t>
            </w:r>
          </w:p>
        </w:tc>
        <w:tc>
          <w:tcPr>
            <w:tcW w:w="38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18.0 %</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18.1 %</w:t>
            </w:r>
          </w:p>
        </w:tc>
        <w:tc>
          <w:tcPr>
            <w:tcW w:w="4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19.3 %</w:t>
            </w: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Segment profit</w:t>
            </w:r>
          </w:p>
        </w:tc>
        <w:tc>
          <w:tcPr>
            <w:tcW w:w="194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6,665</w:t>
            </w:r>
          </w:p>
        </w:tc>
        <w:tc>
          <w:tcPr>
            <w:tcW w:w="38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7,212</w:t>
            </w:r>
          </w:p>
        </w:tc>
        <w:tc>
          <w:tcPr>
            <w:tcW w:w="40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7,689</w:t>
            </w:r>
          </w:p>
        </w:tc>
        <w:tc>
          <w:tcPr>
            <w:tcW w:w="4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8,304</w:t>
            </w:r>
          </w:p>
        </w:tc>
      </w:tr>
      <w:tr>
        <w:trPr>
          <w:trHeight w:val="22"/>
        </w:trPr>
        <w:tc>
          <w:tcPr>
            <w:tcW w:w="4820" w:type="dxa"/>
            <w:vAlign w:val="bottom"/>
            <w:tcBorders>
              <w:bottom w:val="single" w:sz="8" w:color="939598"/>
            </w:tcBorders>
          </w:tcPr>
          <w:p>
            <w:pPr>
              <w:spacing w:after="0" w:line="20" w:lineRule="exact"/>
              <w:rPr>
                <w:sz w:val="1"/>
                <w:szCs w:val="1"/>
                <w:color w:val="auto"/>
              </w:rPr>
            </w:pPr>
          </w:p>
        </w:tc>
        <w:tc>
          <w:tcPr>
            <w:tcW w:w="194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194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32,637</w:t>
            </w:r>
          </w:p>
        </w:tc>
        <w:tc>
          <w:tcPr>
            <w:tcW w:w="380" w:type="dxa"/>
            <w:vAlign w:val="bottom"/>
          </w:tcPr>
          <w:p>
            <w:pPr>
              <w:spacing w:after="0"/>
              <w:rPr>
                <w:sz w:val="16"/>
                <w:szCs w:val="16"/>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34,392</w:t>
            </w:r>
          </w:p>
        </w:tc>
        <w:tc>
          <w:tcPr>
            <w:tcW w:w="40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35,466</w:t>
            </w:r>
          </w:p>
        </w:tc>
        <w:tc>
          <w:tcPr>
            <w:tcW w:w="40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36,662</w:t>
            </w:r>
          </w:p>
        </w:tc>
      </w:tr>
      <w:tr>
        <w:trPr>
          <w:trHeight w:val="22"/>
        </w:trPr>
        <w:tc>
          <w:tcPr>
            <w:tcW w:w="4820" w:type="dxa"/>
            <w:vAlign w:val="bottom"/>
            <w:tcBorders>
              <w:bottom w:val="single" w:sz="8" w:color="D7282F"/>
            </w:tcBorders>
          </w:tcPr>
          <w:p>
            <w:pPr>
              <w:spacing w:after="0" w:line="20" w:lineRule="exact"/>
              <w:rPr>
                <w:sz w:val="1"/>
                <w:szCs w:val="1"/>
                <w:color w:val="auto"/>
              </w:rPr>
            </w:pPr>
          </w:p>
        </w:tc>
        <w:tc>
          <w:tcPr>
            <w:tcW w:w="194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720" w:type="dxa"/>
            <w:vAlign w:val="bottom"/>
            <w:tcBorders>
              <w:bottom w:val="single" w:sz="8" w:color="D7282F"/>
            </w:tcBorders>
          </w:tcPr>
          <w:p>
            <w:pPr>
              <w:spacing w:after="0" w:line="20" w:lineRule="exact"/>
              <w:rPr>
                <w:sz w:val="1"/>
                <w:szCs w:val="1"/>
                <w:color w:val="auto"/>
              </w:rPr>
            </w:pPr>
          </w:p>
        </w:tc>
      </w:tr>
      <w:tr>
        <w:trPr>
          <w:trHeight w:val="203"/>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 margin %</w:t>
            </w:r>
          </w:p>
        </w:tc>
        <w:tc>
          <w:tcPr>
            <w:tcW w:w="19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20.4 %</w:t>
            </w:r>
          </w:p>
        </w:tc>
        <w:tc>
          <w:tcPr>
            <w:tcW w:w="38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21.0 %</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21.7 %</w:t>
            </w:r>
          </w:p>
        </w:tc>
        <w:tc>
          <w:tcPr>
            <w:tcW w:w="4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22.7 %</w:t>
            </w:r>
          </w:p>
        </w:tc>
      </w:tr>
    </w:tbl>
    <w:p>
      <w:pPr>
        <w:spacing w:after="0" w:line="126" w:lineRule="exact"/>
        <w:rPr>
          <w:sz w:val="20"/>
          <w:szCs w:val="20"/>
          <w:color w:val="auto"/>
        </w:rPr>
      </w:pPr>
    </w:p>
    <w:p>
      <w:pPr>
        <w:ind w:left="200" w:hanging="192"/>
        <w:spacing w:after="0"/>
        <w:tabs>
          <w:tab w:leader="none" w:pos="200" w:val="left"/>
        </w:tabs>
        <w:numPr>
          <w:ilvl w:val="0"/>
          <w:numId w:val="212"/>
        </w:numPr>
        <w:rPr>
          <w:rFonts w:ascii="Arial" w:cs="Arial" w:eastAsia="Arial" w:hAnsi="Arial"/>
          <w:sz w:val="16"/>
          <w:szCs w:val="16"/>
          <w:color w:val="auto"/>
          <w:vertAlign w:val="superscript"/>
        </w:rPr>
      </w:pPr>
      <w:r>
        <w:rPr>
          <w:rFonts w:ascii="Arial" w:cs="Arial" w:eastAsia="Arial" w:hAnsi="Arial"/>
          <w:sz w:val="13"/>
          <w:szCs w:val="13"/>
          <w:color w:val="auto"/>
        </w:rPr>
        <w:t>Included in Selling, general, and administrative expenses.</w:t>
      </w:r>
    </w:p>
    <w:p>
      <w:pPr>
        <w:spacing w:after="0" w:line="56" w:lineRule="exact"/>
        <w:rPr>
          <w:rFonts w:ascii="Arial" w:cs="Arial" w:eastAsia="Arial" w:hAnsi="Arial"/>
          <w:sz w:val="16"/>
          <w:szCs w:val="16"/>
          <w:color w:val="auto"/>
          <w:vertAlign w:val="superscript"/>
        </w:rPr>
      </w:pPr>
    </w:p>
    <w:p>
      <w:pPr>
        <w:ind w:left="200" w:hanging="192"/>
        <w:spacing w:after="0" w:line="236" w:lineRule="auto"/>
        <w:tabs>
          <w:tab w:leader="none" w:pos="200" w:val="left"/>
        </w:tabs>
        <w:numPr>
          <w:ilvl w:val="0"/>
          <w:numId w:val="212"/>
        </w:numPr>
        <w:rPr>
          <w:rFonts w:ascii="Arial" w:cs="Arial" w:eastAsia="Arial" w:hAnsi="Arial"/>
          <w:sz w:val="16"/>
          <w:szCs w:val="16"/>
          <w:color w:val="auto"/>
          <w:vertAlign w:val="superscript"/>
        </w:rPr>
      </w:pPr>
      <w:r>
        <w:rPr>
          <w:rFonts w:ascii="Arial" w:cs="Arial" w:eastAsia="Arial" w:hAnsi="Arial"/>
          <w:sz w:val="13"/>
          <w:szCs w:val="13"/>
          <w:color w:val="auto"/>
        </w:rPr>
        <w:t>Includes repositioning, asbestos, environmental expenses, equity income adjustment, and other charges. For the twelve months ended December 31, 2022, other charges include an expense of $250 million related to reserves against outstanding accounts receivables, contract assets, and inventory, as well as the write-down of other assets and employee severance related to the initial suspension and wind down of our businesses and operations in Russia. For the twelve months ended December 31, 2022, and 2021, other charges include $41 million and $105 million, respectively, of incremental long-term contract labor cost inefficiencies due to severe supply chain disruptions (attributable to the COVID-19 pandemic) related to the warehouse automation business within the Safety and Productivity Solutions segment. These costs include incurred amounts and provisions for anticipated losses recognized when total estimated costs at completion for certain of the business’ long-term contracts exceeded total estimated revenue. These certain costs represent unproductive labor costs due to unexpected supplier delays and the resulting downstream installation issues, demobilization, and remobilization of contract workers, and resolution of contractor disputes.</w:t>
      </w:r>
    </w:p>
    <w:p>
      <w:pPr>
        <w:spacing w:after="0" w:line="46"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2"/>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Selling, general, and administrative expenses, and Other income/expense.</w:t>
      </w:r>
    </w:p>
    <w:p>
      <w:pPr>
        <w:spacing w:after="0" w:line="56" w:lineRule="exact"/>
        <w:rPr>
          <w:rFonts w:ascii="Arial" w:cs="Arial" w:eastAsia="Arial" w:hAnsi="Arial"/>
          <w:sz w:val="16"/>
          <w:szCs w:val="16"/>
          <w:color w:val="auto"/>
          <w:vertAlign w:val="superscript"/>
        </w:rPr>
      </w:pPr>
    </w:p>
    <w:p>
      <w:pPr>
        <w:ind w:left="200" w:hanging="192"/>
        <w:spacing w:after="0" w:line="207" w:lineRule="auto"/>
        <w:tabs>
          <w:tab w:leader="none" w:pos="200" w:val="left"/>
        </w:tabs>
        <w:numPr>
          <w:ilvl w:val="0"/>
          <w:numId w:val="212"/>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and Selling, general, and administrative expenses.</w:t>
      </w:r>
    </w:p>
    <w:p>
      <w:pPr>
        <w:spacing w:after="0" w:line="109"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define segment profit, on an overall Honeywell basis, as operating income, excluding stock compensation expense, pension and other postretirement service costs, and repositioning and other charges. We define segment profit margin, on an overall Honeywell basis, as segment profit divided by net sales. We believe these measures are useful to investors and management in understanding our ongoing operations and in analysis of ongoing operating trends.</w:t>
      </w:r>
    </w:p>
    <w:p>
      <w:pPr>
        <w:spacing w:after="0" w:line="77" w:lineRule="exact"/>
        <w:rPr>
          <w:sz w:val="20"/>
          <w:szCs w:val="20"/>
          <w:color w:val="auto"/>
        </w:rPr>
      </w:pPr>
    </w:p>
    <w:p>
      <w:pPr>
        <w:ind w:left="220" w:hanging="212"/>
        <w:spacing w:after="0"/>
        <w:tabs>
          <w:tab w:leader="none" w:pos="220" w:val="left"/>
        </w:tabs>
        <w:numPr>
          <w:ilvl w:val="0"/>
          <w:numId w:val="213"/>
        </w:numPr>
        <w:rPr>
          <w:rFonts w:ascii="Arial" w:cs="Arial" w:eastAsia="Arial" w:hAnsi="Arial"/>
          <w:sz w:val="16"/>
          <w:szCs w:val="16"/>
          <w:b w:val="1"/>
          <w:bCs w:val="1"/>
          <w:color w:val="6D6E71"/>
        </w:rPr>
      </w:pPr>
      <w:r>
        <w:rPr>
          <w:rFonts w:ascii="Arial" w:cs="Arial" w:eastAsia="Arial" w:hAnsi="Arial"/>
          <w:sz w:val="16"/>
          <w:szCs w:val="16"/>
          <w:color w:val="6D6E71"/>
        </w:rPr>
        <w:t>RECONCILIATION OF ORGANIC SALES % CHANGE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Borders>
              <w:bottom w:val="single" w:sz="8" w:color="D7282F"/>
            </w:tcBorders>
          </w:tcPr>
          <w:p>
            <w:pPr>
              <w:spacing w:after="0"/>
              <w:rPr>
                <w:sz w:val="17"/>
                <w:szCs w:val="17"/>
                <w:color w:val="auto"/>
              </w:rPr>
            </w:pPr>
          </w:p>
        </w:tc>
        <w:tc>
          <w:tcPr>
            <w:tcW w:w="26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1Q23</w:t>
            </w:r>
          </w:p>
        </w:tc>
        <w:tc>
          <w:tcPr>
            <w:tcW w:w="9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2Q23</w:t>
            </w:r>
          </w:p>
        </w:tc>
        <w:tc>
          <w:tcPr>
            <w:tcW w:w="10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3Q23</w:t>
            </w:r>
          </w:p>
        </w:tc>
        <w:tc>
          <w:tcPr>
            <w:tcW w:w="10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4Q23</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23"/>
        </w:trPr>
        <w:tc>
          <w:tcPr>
            <w:tcW w:w="490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Honeywell reported sales % change</w:t>
            </w:r>
          </w:p>
        </w:tc>
        <w:tc>
          <w:tcPr>
            <w:tcW w:w="2680" w:type="dxa"/>
            <w:vAlign w:val="bottom"/>
            <w:tcBorders>
              <w:bottom w:val="single" w:sz="8" w:color="939598"/>
            </w:tcBorders>
          </w:tcPr>
          <w:p>
            <w:pPr>
              <w:jc w:val="right"/>
              <w:ind w:right="248"/>
              <w:spacing w:after="0"/>
              <w:rPr>
                <w:sz w:val="20"/>
                <w:szCs w:val="20"/>
                <w:color w:val="auto"/>
              </w:rPr>
            </w:pPr>
            <w:r>
              <w:rPr>
                <w:rFonts w:ascii="Arial" w:cs="Arial" w:eastAsia="Arial" w:hAnsi="Arial"/>
                <w:sz w:val="14"/>
                <w:szCs w:val="14"/>
                <w:b w:val="1"/>
                <w:bCs w:val="1"/>
                <w:color w:val="auto"/>
              </w:rPr>
              <w:t>6 %</w:t>
            </w:r>
          </w:p>
        </w:tc>
        <w:tc>
          <w:tcPr>
            <w:tcW w:w="980" w:type="dxa"/>
            <w:vAlign w:val="bottom"/>
            <w:tcBorders>
              <w:bottom w:val="single" w:sz="8" w:color="939598"/>
            </w:tcBorders>
          </w:tcPr>
          <w:p>
            <w:pPr>
              <w:jc w:val="right"/>
              <w:ind w:right="248"/>
              <w:spacing w:after="0"/>
              <w:rPr>
                <w:sz w:val="20"/>
                <w:szCs w:val="20"/>
                <w:color w:val="auto"/>
              </w:rPr>
            </w:pPr>
            <w:r>
              <w:rPr>
                <w:rFonts w:ascii="Arial" w:cs="Arial" w:eastAsia="Arial" w:hAnsi="Arial"/>
                <w:sz w:val="14"/>
                <w:szCs w:val="14"/>
                <w:b w:val="1"/>
                <w:bCs w:val="1"/>
                <w:color w:val="auto"/>
              </w:rPr>
              <w:t>2 %</w:t>
            </w:r>
          </w:p>
        </w:tc>
        <w:tc>
          <w:tcPr>
            <w:tcW w:w="1000" w:type="dxa"/>
            <w:vAlign w:val="bottom"/>
            <w:tcBorders>
              <w:bottom w:val="single" w:sz="8" w:color="939598"/>
            </w:tcBorders>
          </w:tcPr>
          <w:p>
            <w:pPr>
              <w:jc w:val="right"/>
              <w:ind w:right="248"/>
              <w:spacing w:after="0"/>
              <w:rPr>
                <w:sz w:val="20"/>
                <w:szCs w:val="20"/>
                <w:color w:val="auto"/>
              </w:rPr>
            </w:pPr>
            <w:r>
              <w:rPr>
                <w:rFonts w:ascii="Arial" w:cs="Arial" w:eastAsia="Arial" w:hAnsi="Arial"/>
                <w:sz w:val="14"/>
                <w:szCs w:val="14"/>
                <w:b w:val="1"/>
                <w:bCs w:val="1"/>
                <w:color w:val="auto"/>
              </w:rPr>
              <w:t>3 %</w:t>
            </w:r>
          </w:p>
        </w:tc>
        <w:tc>
          <w:tcPr>
            <w:tcW w:w="1000" w:type="dxa"/>
            <w:vAlign w:val="bottom"/>
            <w:tcBorders>
              <w:bottom w:val="single" w:sz="8" w:color="939598"/>
            </w:tcBorders>
          </w:tcPr>
          <w:p>
            <w:pPr>
              <w:jc w:val="right"/>
              <w:ind w:right="268"/>
              <w:spacing w:after="0"/>
              <w:rPr>
                <w:sz w:val="20"/>
                <w:szCs w:val="20"/>
                <w:color w:val="auto"/>
              </w:rPr>
            </w:pPr>
            <w:r>
              <w:rPr>
                <w:rFonts w:ascii="Arial" w:cs="Arial" w:eastAsia="Arial" w:hAnsi="Arial"/>
                <w:sz w:val="14"/>
                <w:szCs w:val="14"/>
                <w:b w:val="1"/>
                <w:bCs w:val="1"/>
                <w:color w:val="auto"/>
              </w:rPr>
              <w:t>3 %</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3 %</w:t>
            </w:r>
          </w:p>
        </w:tc>
      </w:tr>
      <w:tr>
        <w:trPr>
          <w:trHeight w:val="208"/>
        </w:trPr>
        <w:tc>
          <w:tcPr>
            <w:tcW w:w="4900" w:type="dxa"/>
            <w:vAlign w:val="bottom"/>
          </w:tcPr>
          <w:p>
            <w:pPr>
              <w:ind w:left="20"/>
              <w:spacing w:after="0"/>
              <w:rPr>
                <w:sz w:val="20"/>
                <w:szCs w:val="20"/>
                <w:color w:val="auto"/>
              </w:rPr>
            </w:pPr>
            <w:r>
              <w:rPr>
                <w:rFonts w:ascii="Arial" w:cs="Arial" w:eastAsia="Arial" w:hAnsi="Arial"/>
                <w:sz w:val="14"/>
                <w:szCs w:val="14"/>
                <w:color w:val="auto"/>
              </w:rPr>
              <w:t>Less: Foreign currency translation</w:t>
            </w:r>
          </w:p>
        </w:tc>
        <w:tc>
          <w:tcPr>
            <w:tcW w:w="2680" w:type="dxa"/>
            <w:vAlign w:val="bottom"/>
          </w:tcPr>
          <w:p>
            <w:pPr>
              <w:jc w:val="right"/>
              <w:ind w:right="248"/>
              <w:spacing w:after="0"/>
              <w:rPr>
                <w:sz w:val="20"/>
                <w:szCs w:val="20"/>
                <w:color w:val="auto"/>
              </w:rPr>
            </w:pPr>
            <w:r>
              <w:rPr>
                <w:rFonts w:ascii="Arial" w:cs="Arial" w:eastAsia="Arial" w:hAnsi="Arial"/>
                <w:sz w:val="14"/>
                <w:szCs w:val="14"/>
                <w:color w:val="auto"/>
              </w:rPr>
              <w:t>(2)%</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1 %</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4900" w:type="dxa"/>
            <w:vAlign w:val="bottom"/>
            <w:tcBorders>
              <w:bottom w:val="single" w:sz="8" w:color="939598"/>
            </w:tcBorders>
          </w:tcPr>
          <w:p>
            <w:pPr>
              <w:spacing w:after="0" w:line="20" w:lineRule="exact"/>
              <w:rPr>
                <w:sz w:val="1"/>
                <w:szCs w:val="1"/>
                <w:color w:val="auto"/>
              </w:rPr>
            </w:pPr>
          </w:p>
        </w:tc>
        <w:tc>
          <w:tcPr>
            <w:tcW w:w="268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1000" w:type="dxa"/>
            <w:vAlign w:val="bottom"/>
            <w:tcBorders>
              <w:bottom w:val="single" w:sz="8" w:color="939598"/>
            </w:tcBorders>
          </w:tcPr>
          <w:p>
            <w:pPr>
              <w:spacing w:after="0" w:line="20" w:lineRule="exact"/>
              <w:rPr>
                <w:sz w:val="1"/>
                <w:szCs w:val="1"/>
                <w:color w:val="auto"/>
              </w:rPr>
            </w:pPr>
          </w:p>
        </w:tc>
        <w:tc>
          <w:tcPr>
            <w:tcW w:w="660" w:type="dxa"/>
            <w:vAlign w:val="bottom"/>
            <w:tcBorders>
              <w:bottom w:val="single" w:sz="8" w:color="939598"/>
            </w:tcBorders>
          </w:tcPr>
          <w:p>
            <w:pPr>
              <w:spacing w:after="0" w:line="20" w:lineRule="exact"/>
              <w:rPr>
                <w:sz w:val="1"/>
                <w:szCs w:val="1"/>
                <w:color w:val="auto"/>
              </w:rPr>
            </w:pPr>
          </w:p>
        </w:tc>
      </w:tr>
      <w:tr>
        <w:trPr>
          <w:trHeight w:val="201"/>
        </w:trPr>
        <w:tc>
          <w:tcPr>
            <w:tcW w:w="4900" w:type="dxa"/>
            <w:vAlign w:val="bottom"/>
          </w:tcPr>
          <w:p>
            <w:pPr>
              <w:ind w:left="20"/>
              <w:spacing w:after="0"/>
              <w:rPr>
                <w:sz w:val="20"/>
                <w:szCs w:val="20"/>
                <w:color w:val="auto"/>
              </w:rPr>
            </w:pPr>
            <w:r>
              <w:rPr>
                <w:rFonts w:ascii="Arial" w:cs="Arial" w:eastAsia="Arial" w:hAnsi="Arial"/>
                <w:sz w:val="14"/>
                <w:szCs w:val="14"/>
                <w:color w:val="auto"/>
              </w:rPr>
              <w:t>Less: Acquisitions, divestitures and other, net</w:t>
            </w:r>
          </w:p>
        </w:tc>
        <w:tc>
          <w:tcPr>
            <w:tcW w:w="268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980" w:type="dxa"/>
            <w:vAlign w:val="bottom"/>
          </w:tcPr>
          <w:p>
            <w:pPr>
              <w:jc w:val="right"/>
              <w:ind w:right="248"/>
              <w:spacing w:after="0"/>
              <w:rPr>
                <w:sz w:val="20"/>
                <w:szCs w:val="20"/>
                <w:color w:val="auto"/>
              </w:rPr>
            </w:pPr>
            <w:r>
              <w:rPr>
                <w:rFonts w:ascii="Arial" w:cs="Arial" w:eastAsia="Arial" w:hAnsi="Arial"/>
                <w:sz w:val="14"/>
                <w:szCs w:val="14"/>
                <w:color w:val="auto"/>
              </w:rPr>
              <w:t>— %</w:t>
            </w:r>
          </w:p>
        </w:tc>
        <w:tc>
          <w:tcPr>
            <w:tcW w:w="1000" w:type="dxa"/>
            <w:vAlign w:val="bottom"/>
          </w:tcPr>
          <w:p>
            <w:pPr>
              <w:jc w:val="right"/>
              <w:ind w:right="248"/>
              <w:spacing w:after="0"/>
              <w:rPr>
                <w:sz w:val="20"/>
                <w:szCs w:val="20"/>
                <w:color w:val="auto"/>
              </w:rPr>
            </w:pPr>
            <w:r>
              <w:rPr>
                <w:rFonts w:ascii="Arial" w:cs="Arial" w:eastAsia="Arial" w:hAnsi="Arial"/>
                <w:sz w:val="14"/>
                <w:szCs w:val="14"/>
                <w:color w:val="auto"/>
              </w:rPr>
              <w:t>1 %</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 %</w:t>
            </w:r>
          </w:p>
        </w:tc>
        <w:tc>
          <w:tcPr>
            <w:tcW w:w="6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
        </w:trPr>
        <w:tc>
          <w:tcPr>
            <w:tcW w:w="4900" w:type="dxa"/>
            <w:vAlign w:val="bottom"/>
            <w:tcBorders>
              <w:bottom w:val="single" w:sz="8" w:color="D7282F"/>
            </w:tcBorders>
          </w:tcPr>
          <w:p>
            <w:pPr>
              <w:spacing w:after="0" w:line="20" w:lineRule="exact"/>
              <w:rPr>
                <w:sz w:val="1"/>
                <w:szCs w:val="1"/>
                <w:color w:val="auto"/>
              </w:rPr>
            </w:pPr>
          </w:p>
        </w:tc>
        <w:tc>
          <w:tcPr>
            <w:tcW w:w="2680" w:type="dxa"/>
            <w:vAlign w:val="bottom"/>
            <w:tcBorders>
              <w:bottom w:val="single" w:sz="8" w:color="D7282F"/>
            </w:tcBorders>
          </w:tcPr>
          <w:p>
            <w:pPr>
              <w:spacing w:after="0" w:line="20" w:lineRule="exact"/>
              <w:rPr>
                <w:sz w:val="1"/>
                <w:szCs w:val="1"/>
                <w:color w:val="auto"/>
              </w:rPr>
            </w:pPr>
          </w:p>
        </w:tc>
        <w:tc>
          <w:tcPr>
            <w:tcW w:w="980" w:type="dxa"/>
            <w:vAlign w:val="bottom"/>
            <w:tcBorders>
              <w:bottom w:val="single" w:sz="8" w:color="D7282F"/>
            </w:tcBorders>
          </w:tcPr>
          <w:p>
            <w:pPr>
              <w:spacing w:after="0" w:line="20" w:lineRule="exact"/>
              <w:rPr>
                <w:sz w:val="1"/>
                <w:szCs w:val="1"/>
                <w:color w:val="auto"/>
              </w:rPr>
            </w:pPr>
          </w:p>
        </w:tc>
        <w:tc>
          <w:tcPr>
            <w:tcW w:w="1000" w:type="dxa"/>
            <w:vAlign w:val="bottom"/>
            <w:tcBorders>
              <w:bottom w:val="single" w:sz="8" w:color="D7282F"/>
            </w:tcBorders>
          </w:tcPr>
          <w:p>
            <w:pPr>
              <w:spacing w:after="0" w:line="20" w:lineRule="exact"/>
              <w:rPr>
                <w:sz w:val="1"/>
                <w:szCs w:val="1"/>
                <w:color w:val="auto"/>
              </w:rPr>
            </w:pPr>
          </w:p>
        </w:tc>
        <w:tc>
          <w:tcPr>
            <w:tcW w:w="1000" w:type="dxa"/>
            <w:vAlign w:val="bottom"/>
            <w:tcBorders>
              <w:bottom w:val="single" w:sz="8" w:color="D7282F"/>
            </w:tcBorders>
          </w:tcPr>
          <w:p>
            <w:pPr>
              <w:spacing w:after="0" w:line="20" w:lineRule="exact"/>
              <w:rPr>
                <w:sz w:val="1"/>
                <w:szCs w:val="1"/>
                <w:color w:val="auto"/>
              </w:rPr>
            </w:pPr>
          </w:p>
        </w:tc>
        <w:tc>
          <w:tcPr>
            <w:tcW w:w="660" w:type="dxa"/>
            <w:vAlign w:val="bottom"/>
            <w:tcBorders>
              <w:bottom w:val="single" w:sz="8" w:color="D7282F"/>
            </w:tcBorders>
          </w:tcPr>
          <w:p>
            <w:pPr>
              <w:spacing w:after="0" w:line="20" w:lineRule="exact"/>
              <w:rPr>
                <w:sz w:val="1"/>
                <w:szCs w:val="1"/>
                <w:color w:val="auto"/>
              </w:rPr>
            </w:pPr>
          </w:p>
        </w:tc>
      </w:tr>
      <w:tr>
        <w:trPr>
          <w:trHeight w:val="216"/>
        </w:trPr>
        <w:tc>
          <w:tcPr>
            <w:tcW w:w="49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Honeywell organic sales % change</w:t>
            </w:r>
          </w:p>
        </w:tc>
        <w:tc>
          <w:tcPr>
            <w:tcW w:w="26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8 %</w:t>
            </w:r>
          </w:p>
        </w:tc>
        <w:tc>
          <w:tcPr>
            <w:tcW w:w="9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3 %</w:t>
            </w:r>
          </w:p>
        </w:tc>
        <w:tc>
          <w:tcPr>
            <w:tcW w:w="10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2 %</w:t>
            </w:r>
          </w:p>
        </w:tc>
        <w:tc>
          <w:tcPr>
            <w:tcW w:w="100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2 %</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4 %</w:t>
            </w:r>
          </w:p>
        </w:tc>
      </w:tr>
    </w:tbl>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define organic sales percentage change as the year-over-year change in reported sales relative to the comparable period,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p>
      <w:pPr>
        <w:spacing w:after="0" w:line="213"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116  </w:t>
      </w:r>
      <w:r>
        <w:rPr>
          <w:sz w:val="1"/>
          <w:szCs w:val="1"/>
          <w:color w:val="auto"/>
        </w:rPr>
        <w:drawing>
          <wp:inline distT="0" distB="0" distL="0" distR="0">
            <wp:extent cx="548640" cy="10287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right="920" w:hanging="252"/>
        <w:spacing w:after="0" w:line="286" w:lineRule="auto"/>
        <w:tabs>
          <w:tab w:leader="none" w:pos="212" w:val="left"/>
        </w:tabs>
        <w:numPr>
          <w:ilvl w:val="0"/>
          <w:numId w:val="214"/>
        </w:numPr>
        <w:rPr>
          <w:rFonts w:ascii="Arial" w:cs="Arial" w:eastAsia="Arial" w:hAnsi="Arial"/>
          <w:sz w:val="16"/>
          <w:szCs w:val="16"/>
          <w:b w:val="1"/>
          <w:bCs w:val="1"/>
          <w:color w:val="6D6E71"/>
        </w:rPr>
      </w:pPr>
      <w:r>
        <w:rPr>
          <w:rFonts w:ascii="Arial" w:cs="Arial" w:eastAsia="Arial" w:hAnsi="Arial"/>
          <w:sz w:val="16"/>
          <w:szCs w:val="16"/>
          <w:color w:val="6D6E71"/>
        </w:rPr>
        <w:t>RECONCILIATION OF CASH PROVIDED BY OPERATING ACTIVITIES TO FREE CASH FLOW AND ADJUSTED FREE CASH FLOW AND CALCULATION OF FREE CASH FLOW MARGIN AND ADJUSTED FREE CASH FLOW MARGIN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282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23"/>
        </w:trPr>
        <w:tc>
          <w:tcPr>
            <w:tcW w:w="51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Cash provided by operating activities</w:t>
            </w:r>
          </w:p>
        </w:tc>
        <w:tc>
          <w:tcPr>
            <w:tcW w:w="282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6,038</w:t>
            </w:r>
          </w:p>
        </w:tc>
        <w:tc>
          <w:tcPr>
            <w:tcW w:w="40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5,274</w:t>
            </w:r>
          </w:p>
        </w:tc>
        <w:tc>
          <w:tcPr>
            <w:tcW w:w="38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5,340</w:t>
            </w:r>
          </w:p>
        </w:tc>
      </w:tr>
      <w:tr>
        <w:trPr>
          <w:trHeight w:val="208"/>
        </w:trPr>
        <w:tc>
          <w:tcPr>
            <w:tcW w:w="518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2820" w:type="dxa"/>
            <w:vAlign w:val="bottom"/>
          </w:tcPr>
          <w:p>
            <w:pPr>
              <w:spacing w:after="0"/>
              <w:rPr>
                <w:sz w:val="18"/>
                <w:szCs w:val="18"/>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(895)</w:t>
            </w:r>
          </w:p>
        </w:tc>
        <w:tc>
          <w:tcPr>
            <w:tcW w:w="400" w:type="dxa"/>
            <w:vAlign w:val="bottom"/>
          </w:tcPr>
          <w:p>
            <w:pPr>
              <w:spacing w:after="0"/>
              <w:rPr>
                <w:sz w:val="18"/>
                <w:szCs w:val="18"/>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(766)</w:t>
            </w:r>
          </w:p>
        </w:tc>
        <w:tc>
          <w:tcPr>
            <w:tcW w:w="3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(1,039)</w:t>
            </w:r>
          </w:p>
        </w:tc>
      </w:tr>
      <w:tr>
        <w:trPr>
          <w:trHeight w:val="22"/>
        </w:trPr>
        <w:tc>
          <w:tcPr>
            <w:tcW w:w="5180" w:type="dxa"/>
            <w:vAlign w:val="bottom"/>
            <w:tcBorders>
              <w:bottom w:val="single" w:sz="8" w:color="939598"/>
            </w:tcBorders>
          </w:tcPr>
          <w:p>
            <w:pPr>
              <w:spacing w:after="0" w:line="20" w:lineRule="exact"/>
              <w:rPr>
                <w:sz w:val="1"/>
                <w:szCs w:val="1"/>
                <w:color w:val="auto"/>
              </w:rPr>
            </w:pPr>
          </w:p>
        </w:tc>
        <w:tc>
          <w:tcPr>
            <w:tcW w:w="282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auto"/>
              </w:rPr>
              <w:t>Garrett cash receipts</w:t>
            </w:r>
          </w:p>
        </w:tc>
        <w:tc>
          <w:tcPr>
            <w:tcW w:w="282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586</w:t>
            </w:r>
          </w:p>
        </w:tc>
        <w:tc>
          <w:tcPr>
            <w:tcW w:w="40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409</w:t>
            </w:r>
          </w:p>
        </w:tc>
        <w:tc>
          <w:tcPr>
            <w:tcW w:w="38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
        </w:trPr>
        <w:tc>
          <w:tcPr>
            <w:tcW w:w="5180" w:type="dxa"/>
            <w:vAlign w:val="bottom"/>
            <w:tcBorders>
              <w:bottom w:val="single" w:sz="8" w:color="D7282F"/>
            </w:tcBorders>
          </w:tcPr>
          <w:p>
            <w:pPr>
              <w:spacing w:after="0" w:line="20" w:lineRule="exact"/>
              <w:rPr>
                <w:sz w:val="1"/>
                <w:szCs w:val="1"/>
                <w:color w:val="auto"/>
              </w:rPr>
            </w:pPr>
          </w:p>
        </w:tc>
        <w:tc>
          <w:tcPr>
            <w:tcW w:w="282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r>
      <w:tr>
        <w:trPr>
          <w:trHeight w:val="217"/>
        </w:trPr>
        <w:tc>
          <w:tcPr>
            <w:tcW w:w="51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Free cash flow</w:t>
            </w:r>
          </w:p>
        </w:tc>
        <w:tc>
          <w:tcPr>
            <w:tcW w:w="2820" w:type="dxa"/>
            <w:vAlign w:val="bottom"/>
            <w:tcBorders>
              <w:bottom w:val="single" w:sz="8" w:color="939598"/>
            </w:tcBorders>
          </w:tcPr>
          <w:p>
            <w:pPr>
              <w:spacing w:after="0"/>
              <w:rPr>
                <w:sz w:val="18"/>
                <w:szCs w:val="18"/>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5,729</w:t>
            </w:r>
          </w:p>
        </w:tc>
        <w:tc>
          <w:tcPr>
            <w:tcW w:w="400" w:type="dxa"/>
            <w:vAlign w:val="bottom"/>
            <w:tcBorders>
              <w:bottom w:val="single" w:sz="8" w:color="939598"/>
            </w:tcBorders>
          </w:tcPr>
          <w:p>
            <w:pPr>
              <w:spacing w:after="0"/>
              <w:rPr>
                <w:sz w:val="18"/>
                <w:szCs w:val="18"/>
                <w:color w:val="auto"/>
              </w:rPr>
            </w:pP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b w:val="1"/>
                <w:bCs w:val="1"/>
                <w:color w:val="auto"/>
              </w:rPr>
              <w:t>4,917</w:t>
            </w:r>
          </w:p>
        </w:tc>
        <w:tc>
          <w:tcPr>
            <w:tcW w:w="3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4,301</w:t>
            </w:r>
          </w:p>
        </w:tc>
      </w:tr>
      <w:tr>
        <w:trPr>
          <w:trHeight w:val="230"/>
        </w:trPr>
        <w:tc>
          <w:tcPr>
            <w:tcW w:w="5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Impact of settlements</w:t>
            </w:r>
            <w:r>
              <w:rPr>
                <w:rFonts w:ascii="Arial" w:cs="Arial" w:eastAsia="Arial" w:hAnsi="Arial"/>
                <w:sz w:val="18"/>
                <w:szCs w:val="18"/>
                <w:color w:val="auto"/>
                <w:vertAlign w:val="superscript"/>
              </w:rPr>
              <w:t>(1)</w:t>
            </w:r>
          </w:p>
        </w:tc>
        <w:tc>
          <w:tcPr>
            <w:tcW w:w="2820" w:type="dxa"/>
            <w:vAlign w:val="bottom"/>
            <w:tcBorders>
              <w:bottom w:val="single" w:sz="8" w:color="D7282F"/>
            </w:tcBorders>
          </w:tcPr>
          <w:p>
            <w:pPr>
              <w:spacing w:after="0"/>
              <w:rPr>
                <w:sz w:val="19"/>
                <w:szCs w:val="19"/>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7282F"/>
            </w:tcBorders>
          </w:tcPr>
          <w:p>
            <w:pPr>
              <w:spacing w:after="0"/>
              <w:rPr>
                <w:sz w:val="19"/>
                <w:szCs w:val="19"/>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7282F"/>
            </w:tcBorders>
          </w:tcPr>
          <w:p>
            <w:pPr>
              <w:spacing w:after="0"/>
              <w:rPr>
                <w:sz w:val="19"/>
                <w:szCs w:val="19"/>
                <w:color w:val="auto"/>
              </w:rPr>
            </w:pPr>
          </w:p>
        </w:tc>
        <w:tc>
          <w:tcPr>
            <w:tcW w:w="7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1,001</w:t>
            </w:r>
          </w:p>
        </w:tc>
      </w:tr>
      <w:tr>
        <w:trPr>
          <w:trHeight w:val="216"/>
        </w:trPr>
        <w:tc>
          <w:tcPr>
            <w:tcW w:w="5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free cash flow</w:t>
            </w:r>
          </w:p>
        </w:tc>
        <w:tc>
          <w:tcPr>
            <w:tcW w:w="282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5,729</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4,917</w:t>
            </w:r>
          </w:p>
        </w:tc>
        <w:tc>
          <w:tcPr>
            <w:tcW w:w="380" w:type="dxa"/>
            <w:vAlign w:val="bottom"/>
            <w:tcBorders>
              <w:bottom w:val="single" w:sz="8" w:color="D7282F"/>
            </w:tcBorders>
          </w:tcPr>
          <w:p>
            <w:pPr>
              <w:spacing w:after="0"/>
              <w:rPr>
                <w:sz w:val="18"/>
                <w:szCs w:val="18"/>
                <w:color w:val="auto"/>
              </w:rPr>
            </w:pPr>
          </w:p>
        </w:tc>
        <w:tc>
          <w:tcPr>
            <w:tcW w:w="7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5,302</w:t>
            </w:r>
          </w:p>
        </w:tc>
      </w:tr>
      <w:tr>
        <w:trPr>
          <w:trHeight w:val="208"/>
        </w:trPr>
        <w:tc>
          <w:tcPr>
            <w:tcW w:w="5180" w:type="dxa"/>
            <w:vAlign w:val="bottom"/>
          </w:tcPr>
          <w:p>
            <w:pPr>
              <w:ind w:left="20"/>
              <w:spacing w:after="0"/>
              <w:rPr>
                <w:sz w:val="20"/>
                <w:szCs w:val="20"/>
                <w:color w:val="auto"/>
              </w:rPr>
            </w:pPr>
            <w:r>
              <w:rPr>
                <w:rFonts w:ascii="Arial" w:cs="Arial" w:eastAsia="Arial" w:hAnsi="Arial"/>
                <w:sz w:val="14"/>
                <w:szCs w:val="14"/>
                <w:color w:val="auto"/>
              </w:rPr>
              <w:t>Cash provided by operating activities</w:t>
            </w:r>
          </w:p>
        </w:tc>
        <w:tc>
          <w:tcPr>
            <w:tcW w:w="2820" w:type="dxa"/>
            <w:vAlign w:val="bottom"/>
          </w:tcPr>
          <w:p>
            <w:pPr>
              <w:spacing w:after="0"/>
              <w:rPr>
                <w:sz w:val="18"/>
                <w:szCs w:val="18"/>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6,038</w:t>
            </w:r>
          </w:p>
        </w:tc>
        <w:tc>
          <w:tcPr>
            <w:tcW w:w="400" w:type="dxa"/>
            <w:vAlign w:val="bottom"/>
          </w:tcPr>
          <w:p>
            <w:pPr>
              <w:spacing w:after="0"/>
              <w:rPr>
                <w:sz w:val="18"/>
                <w:szCs w:val="18"/>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5,274</w:t>
            </w:r>
          </w:p>
        </w:tc>
        <w:tc>
          <w:tcPr>
            <w:tcW w:w="3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5,340</w:t>
            </w:r>
          </w:p>
        </w:tc>
      </w:tr>
      <w:tr>
        <w:trPr>
          <w:trHeight w:val="22"/>
        </w:trPr>
        <w:tc>
          <w:tcPr>
            <w:tcW w:w="5180" w:type="dxa"/>
            <w:vAlign w:val="bottom"/>
            <w:tcBorders>
              <w:bottom w:val="single" w:sz="8" w:color="939598"/>
            </w:tcBorders>
          </w:tcPr>
          <w:p>
            <w:pPr>
              <w:spacing w:after="0" w:line="20" w:lineRule="exact"/>
              <w:rPr>
                <w:sz w:val="1"/>
                <w:szCs w:val="1"/>
                <w:color w:val="auto"/>
              </w:rPr>
            </w:pPr>
          </w:p>
        </w:tc>
        <w:tc>
          <w:tcPr>
            <w:tcW w:w="282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201"/>
        </w:trPr>
        <w:tc>
          <w:tcPr>
            <w:tcW w:w="518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282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34,392</w:t>
            </w:r>
          </w:p>
        </w:tc>
        <w:tc>
          <w:tcPr>
            <w:tcW w:w="40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35,466</w:t>
            </w:r>
          </w:p>
        </w:tc>
        <w:tc>
          <w:tcPr>
            <w:tcW w:w="38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36,662</w:t>
            </w:r>
          </w:p>
        </w:tc>
      </w:tr>
      <w:tr>
        <w:trPr>
          <w:trHeight w:val="22"/>
        </w:trPr>
        <w:tc>
          <w:tcPr>
            <w:tcW w:w="5180" w:type="dxa"/>
            <w:vAlign w:val="bottom"/>
            <w:tcBorders>
              <w:bottom w:val="single" w:sz="8" w:color="D7282F"/>
            </w:tcBorders>
          </w:tcPr>
          <w:p>
            <w:pPr>
              <w:spacing w:after="0" w:line="20" w:lineRule="exact"/>
              <w:rPr>
                <w:sz w:val="1"/>
                <w:szCs w:val="1"/>
                <w:color w:val="auto"/>
              </w:rPr>
            </w:pPr>
          </w:p>
        </w:tc>
        <w:tc>
          <w:tcPr>
            <w:tcW w:w="282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r>
      <w:tr>
        <w:trPr>
          <w:trHeight w:val="217"/>
        </w:trPr>
        <w:tc>
          <w:tcPr>
            <w:tcW w:w="5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cash flow margin %</w:t>
            </w:r>
          </w:p>
        </w:tc>
        <w:tc>
          <w:tcPr>
            <w:tcW w:w="282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17.6 %</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14.9 %</w:t>
            </w:r>
          </w:p>
        </w:tc>
        <w:tc>
          <w:tcPr>
            <w:tcW w:w="380" w:type="dxa"/>
            <w:vAlign w:val="bottom"/>
            <w:tcBorders>
              <w:bottom w:val="single" w:sz="8" w:color="D7282F"/>
            </w:tcBorders>
          </w:tcPr>
          <w:p>
            <w:pPr>
              <w:spacing w:after="0"/>
              <w:rPr>
                <w:sz w:val="18"/>
                <w:szCs w:val="18"/>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14.6 %</w:t>
            </w:r>
          </w:p>
        </w:tc>
      </w:tr>
      <w:tr>
        <w:trPr>
          <w:trHeight w:val="208"/>
        </w:trPr>
        <w:tc>
          <w:tcPr>
            <w:tcW w:w="51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2820" w:type="dxa"/>
            <w:vAlign w:val="bottom"/>
          </w:tcPr>
          <w:p>
            <w:pPr>
              <w:spacing w:after="0"/>
              <w:rPr>
                <w:sz w:val="18"/>
                <w:szCs w:val="18"/>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5,729</w:t>
            </w:r>
          </w:p>
        </w:tc>
        <w:tc>
          <w:tcPr>
            <w:tcW w:w="400" w:type="dxa"/>
            <w:vAlign w:val="bottom"/>
          </w:tcPr>
          <w:p>
            <w:pPr>
              <w:spacing w:after="0"/>
              <w:rPr>
                <w:sz w:val="18"/>
                <w:szCs w:val="18"/>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4,917</w:t>
            </w:r>
          </w:p>
        </w:tc>
        <w:tc>
          <w:tcPr>
            <w:tcW w:w="3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4,301</w:t>
            </w:r>
          </w:p>
        </w:tc>
      </w:tr>
      <w:tr>
        <w:trPr>
          <w:trHeight w:val="22"/>
        </w:trPr>
        <w:tc>
          <w:tcPr>
            <w:tcW w:w="5180" w:type="dxa"/>
            <w:vAlign w:val="bottom"/>
            <w:tcBorders>
              <w:bottom w:val="single" w:sz="8" w:color="939598"/>
            </w:tcBorders>
          </w:tcPr>
          <w:p>
            <w:pPr>
              <w:spacing w:after="0" w:line="20" w:lineRule="exact"/>
              <w:rPr>
                <w:sz w:val="1"/>
                <w:szCs w:val="1"/>
                <w:color w:val="auto"/>
              </w:rPr>
            </w:pPr>
          </w:p>
        </w:tc>
        <w:tc>
          <w:tcPr>
            <w:tcW w:w="282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202"/>
        </w:trPr>
        <w:tc>
          <w:tcPr>
            <w:tcW w:w="518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282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34,392</w:t>
            </w:r>
          </w:p>
        </w:tc>
        <w:tc>
          <w:tcPr>
            <w:tcW w:w="40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35,466</w:t>
            </w:r>
          </w:p>
        </w:tc>
        <w:tc>
          <w:tcPr>
            <w:tcW w:w="38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36,662</w:t>
            </w:r>
          </w:p>
        </w:tc>
      </w:tr>
      <w:tr>
        <w:trPr>
          <w:trHeight w:val="22"/>
        </w:trPr>
        <w:tc>
          <w:tcPr>
            <w:tcW w:w="5180" w:type="dxa"/>
            <w:vAlign w:val="bottom"/>
            <w:tcBorders>
              <w:bottom w:val="single" w:sz="8" w:color="D7282F"/>
            </w:tcBorders>
          </w:tcPr>
          <w:p>
            <w:pPr>
              <w:spacing w:after="0" w:line="20" w:lineRule="exact"/>
              <w:rPr>
                <w:sz w:val="1"/>
                <w:szCs w:val="1"/>
                <w:color w:val="auto"/>
              </w:rPr>
            </w:pPr>
          </w:p>
        </w:tc>
        <w:tc>
          <w:tcPr>
            <w:tcW w:w="282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r>
      <w:tr>
        <w:trPr>
          <w:trHeight w:val="217"/>
        </w:trPr>
        <w:tc>
          <w:tcPr>
            <w:tcW w:w="5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Free cash flow margin %</w:t>
            </w:r>
          </w:p>
        </w:tc>
        <w:tc>
          <w:tcPr>
            <w:tcW w:w="282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16.7 %</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13.9 %</w:t>
            </w:r>
          </w:p>
        </w:tc>
        <w:tc>
          <w:tcPr>
            <w:tcW w:w="380" w:type="dxa"/>
            <w:vAlign w:val="bottom"/>
            <w:tcBorders>
              <w:bottom w:val="single" w:sz="8" w:color="D7282F"/>
            </w:tcBorders>
          </w:tcPr>
          <w:p>
            <w:pPr>
              <w:spacing w:after="0"/>
              <w:rPr>
                <w:sz w:val="18"/>
                <w:szCs w:val="18"/>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11.7 %</w:t>
            </w:r>
          </w:p>
        </w:tc>
      </w:tr>
      <w:tr>
        <w:trPr>
          <w:trHeight w:val="208"/>
        </w:trPr>
        <w:tc>
          <w:tcPr>
            <w:tcW w:w="5180" w:type="dxa"/>
            <w:vAlign w:val="bottom"/>
          </w:tcPr>
          <w:p>
            <w:pPr>
              <w:ind w:left="20"/>
              <w:spacing w:after="0"/>
              <w:rPr>
                <w:sz w:val="20"/>
                <w:szCs w:val="20"/>
                <w:color w:val="auto"/>
              </w:rPr>
            </w:pPr>
            <w:r>
              <w:rPr>
                <w:rFonts w:ascii="Arial" w:cs="Arial" w:eastAsia="Arial" w:hAnsi="Arial"/>
                <w:sz w:val="14"/>
                <w:szCs w:val="14"/>
                <w:color w:val="auto"/>
              </w:rPr>
              <w:t>Adjusted free cash flow</w:t>
            </w:r>
          </w:p>
        </w:tc>
        <w:tc>
          <w:tcPr>
            <w:tcW w:w="2820" w:type="dxa"/>
            <w:vAlign w:val="bottom"/>
          </w:tcPr>
          <w:p>
            <w:pPr>
              <w:spacing w:after="0"/>
              <w:rPr>
                <w:sz w:val="18"/>
                <w:szCs w:val="18"/>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5,729</w:t>
            </w:r>
          </w:p>
        </w:tc>
        <w:tc>
          <w:tcPr>
            <w:tcW w:w="400" w:type="dxa"/>
            <w:vAlign w:val="bottom"/>
          </w:tcPr>
          <w:p>
            <w:pPr>
              <w:spacing w:after="0"/>
              <w:rPr>
                <w:sz w:val="18"/>
                <w:szCs w:val="18"/>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4,917</w:t>
            </w:r>
          </w:p>
        </w:tc>
        <w:tc>
          <w:tcPr>
            <w:tcW w:w="38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5,302</w:t>
            </w:r>
          </w:p>
        </w:tc>
      </w:tr>
      <w:tr>
        <w:trPr>
          <w:trHeight w:val="22"/>
        </w:trPr>
        <w:tc>
          <w:tcPr>
            <w:tcW w:w="5180" w:type="dxa"/>
            <w:vAlign w:val="bottom"/>
            <w:tcBorders>
              <w:bottom w:val="single" w:sz="8" w:color="939598"/>
            </w:tcBorders>
          </w:tcPr>
          <w:p>
            <w:pPr>
              <w:spacing w:after="0" w:line="20" w:lineRule="exact"/>
              <w:rPr>
                <w:sz w:val="1"/>
                <w:szCs w:val="1"/>
                <w:color w:val="auto"/>
              </w:rPr>
            </w:pPr>
          </w:p>
        </w:tc>
        <w:tc>
          <w:tcPr>
            <w:tcW w:w="282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202"/>
        </w:trPr>
        <w:tc>
          <w:tcPr>
            <w:tcW w:w="5180" w:type="dxa"/>
            <w:vAlign w:val="bottom"/>
          </w:tcPr>
          <w:p>
            <w:pPr>
              <w:ind w:left="20"/>
              <w:spacing w:after="0"/>
              <w:rPr>
                <w:sz w:val="20"/>
                <w:szCs w:val="20"/>
                <w:color w:val="auto"/>
              </w:rPr>
            </w:pPr>
            <w:r>
              <w:rPr>
                <w:rFonts w:ascii="Arial" w:cs="Arial" w:eastAsia="Arial" w:hAnsi="Arial"/>
                <w:sz w:val="14"/>
                <w:szCs w:val="14"/>
                <w:color w:val="auto"/>
              </w:rPr>
              <w:t>÷ Net sales</w:t>
            </w:r>
          </w:p>
        </w:tc>
        <w:tc>
          <w:tcPr>
            <w:tcW w:w="282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34,392</w:t>
            </w:r>
          </w:p>
        </w:tc>
        <w:tc>
          <w:tcPr>
            <w:tcW w:w="40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35,466</w:t>
            </w:r>
          </w:p>
        </w:tc>
        <w:tc>
          <w:tcPr>
            <w:tcW w:w="38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36,662</w:t>
            </w:r>
          </w:p>
        </w:tc>
      </w:tr>
      <w:tr>
        <w:trPr>
          <w:trHeight w:val="22"/>
        </w:trPr>
        <w:tc>
          <w:tcPr>
            <w:tcW w:w="5180" w:type="dxa"/>
            <w:vAlign w:val="bottom"/>
            <w:tcBorders>
              <w:bottom w:val="single" w:sz="8" w:color="D7282F"/>
            </w:tcBorders>
          </w:tcPr>
          <w:p>
            <w:pPr>
              <w:spacing w:after="0" w:line="20" w:lineRule="exact"/>
              <w:rPr>
                <w:sz w:val="1"/>
                <w:szCs w:val="1"/>
                <w:color w:val="auto"/>
              </w:rPr>
            </w:pPr>
          </w:p>
        </w:tc>
        <w:tc>
          <w:tcPr>
            <w:tcW w:w="282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c>
          <w:tcPr>
            <w:tcW w:w="400" w:type="dxa"/>
            <w:vAlign w:val="bottom"/>
            <w:tcBorders>
              <w:bottom w:val="single" w:sz="8" w:color="D7282F"/>
            </w:tcBorders>
          </w:tcPr>
          <w:p>
            <w:pPr>
              <w:spacing w:after="0" w:line="20" w:lineRule="exact"/>
              <w:rPr>
                <w:sz w:val="1"/>
                <w:szCs w:val="1"/>
                <w:color w:val="auto"/>
              </w:rPr>
            </w:pPr>
          </w:p>
        </w:tc>
        <w:tc>
          <w:tcPr>
            <w:tcW w:w="84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r>
      <w:tr>
        <w:trPr>
          <w:trHeight w:val="216"/>
        </w:trPr>
        <w:tc>
          <w:tcPr>
            <w:tcW w:w="5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free cash flow margin %</w:t>
            </w:r>
          </w:p>
        </w:tc>
        <w:tc>
          <w:tcPr>
            <w:tcW w:w="282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16.7 %</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13.9 %</w:t>
            </w:r>
          </w:p>
        </w:tc>
        <w:tc>
          <w:tcPr>
            <w:tcW w:w="380" w:type="dxa"/>
            <w:vAlign w:val="bottom"/>
            <w:tcBorders>
              <w:bottom w:val="single" w:sz="8" w:color="D7282F"/>
            </w:tcBorders>
          </w:tcPr>
          <w:p>
            <w:pPr>
              <w:spacing w:after="0"/>
              <w:rPr>
                <w:sz w:val="18"/>
                <w:szCs w:val="18"/>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14.5 %</w:t>
            </w:r>
          </w:p>
        </w:tc>
      </w:tr>
    </w:tbl>
    <w:p>
      <w:pPr>
        <w:spacing w:after="0" w:line="144" w:lineRule="exact"/>
        <w:rPr>
          <w:sz w:val="20"/>
          <w:szCs w:val="20"/>
          <w:color w:val="auto"/>
        </w:rPr>
      </w:pPr>
    </w:p>
    <w:p>
      <w:pPr>
        <w:ind w:left="200" w:right="120" w:hanging="192"/>
        <w:spacing w:after="0" w:line="226" w:lineRule="auto"/>
        <w:tabs>
          <w:tab w:leader="none" w:pos="200" w:val="left"/>
        </w:tabs>
        <w:numPr>
          <w:ilvl w:val="0"/>
          <w:numId w:val="215"/>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2023, impact of settlements was $1,001 million, net of tax benefit of $252 million, due to settlements related to the NARCO Buyout, HWI Sale, and UOP Matters.</w:t>
      </w:r>
    </w:p>
    <w:p>
      <w:pPr>
        <w:spacing w:after="0" w:line="9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define free cash flow as cash provided by operating activities less cash for capital expenditures plus cash receipts from Garrett. We define adjusted free cash flow as free cash flow adjusted for settlements related to the NARCO Buyout, HWI Sale, and UOP Matters. We define free cash flow margin as free cash flow divided by net sales. We define adjusted free cash flow margin as adjusted free cash flow divided by net sales.</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believe that free cash flow, adjusted free cash flow, free cash flow margin, and adjusted free cash flow margin are non-GAAP measures that are useful to investors and management as a measure of cash generated by operations that will be used to repay scheduled debt maturities and can be used to invest in future growth through new business development activities or acquisitions, pay dividends, repurchase stock, or repay debt obligations prior to their maturities. These measures can also be used to evaluate our ability to generate cash flow from operations and the impact that this cash flow has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liquidity.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360"/>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-368300</wp:posOffset>
            </wp:positionV>
            <wp:extent cx="548640" cy="10287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hanging="212"/>
        <w:spacing w:after="0"/>
        <w:tabs>
          <w:tab w:leader="none" w:pos="220" w:val="left"/>
        </w:tabs>
        <w:numPr>
          <w:ilvl w:val="0"/>
          <w:numId w:val="216"/>
        </w:numPr>
        <w:rPr>
          <w:rFonts w:ascii="Arial" w:cs="Arial" w:eastAsia="Arial" w:hAnsi="Arial"/>
          <w:sz w:val="16"/>
          <w:szCs w:val="16"/>
          <w:b w:val="1"/>
          <w:bCs w:val="1"/>
          <w:color w:val="6D6E71"/>
        </w:rPr>
      </w:pPr>
      <w:r>
        <w:rPr>
          <w:rFonts w:ascii="Arial" w:cs="Arial" w:eastAsia="Arial" w:hAnsi="Arial"/>
          <w:sz w:val="16"/>
          <w:szCs w:val="16"/>
          <w:color w:val="6D6E71"/>
        </w:rPr>
        <w:t>RECONCILIATION OF ADJUSTED NET INCOME ATTRIBUTABLE TO HONEYWELL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3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09"/>
        </w:trPr>
        <w:tc>
          <w:tcPr>
            <w:tcW w:w="61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3220" w:type="dxa"/>
            <w:vAlign w:val="bottom"/>
            <w:tcBorders>
              <w:bottom w:val="single" w:sz="8" w:color="939598"/>
            </w:tcBorders>
          </w:tcPr>
          <w:p>
            <w:pPr>
              <w:jc w:val="right"/>
              <w:ind w:right="128"/>
              <w:spacing w:after="0"/>
              <w:rPr>
                <w:sz w:val="20"/>
                <w:szCs w:val="20"/>
                <w:color w:val="auto"/>
              </w:rPr>
            </w:pPr>
            <w:r>
              <w:rPr>
                <w:rFonts w:ascii="Arial" w:cs="Arial" w:eastAsia="Arial" w:hAnsi="Arial"/>
                <w:sz w:val="14"/>
                <w:szCs w:val="14"/>
                <w:b w:val="1"/>
                <w:bCs w:val="1"/>
                <w:color w:val="auto"/>
              </w:rPr>
              <w:t>$   5,542</w:t>
            </w:r>
          </w:p>
        </w:tc>
        <w:tc>
          <w:tcPr>
            <w:tcW w:w="98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b w:val="1"/>
                <w:bCs w:val="1"/>
                <w:color w:val="auto"/>
              </w:rPr>
              <w:t>$   4,966</w:t>
            </w:r>
          </w:p>
        </w:tc>
        <w:tc>
          <w:tcPr>
            <w:tcW w:w="8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   5,658</w:t>
            </w:r>
          </w:p>
        </w:tc>
      </w:tr>
      <w:tr>
        <w:trPr>
          <w:trHeight w:val="194"/>
        </w:trPr>
        <w:tc>
          <w:tcPr>
            <w:tcW w:w="6160" w:type="dxa"/>
            <w:vAlign w:val="bottom"/>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(1)</w:t>
            </w:r>
          </w:p>
        </w:tc>
        <w:tc>
          <w:tcPr>
            <w:tcW w:w="3220" w:type="dxa"/>
            <w:vAlign w:val="bottom"/>
          </w:tcPr>
          <w:p>
            <w:pPr>
              <w:jc w:val="right"/>
              <w:ind w:right="128"/>
              <w:spacing w:after="0"/>
              <w:rPr>
                <w:sz w:val="20"/>
                <w:szCs w:val="20"/>
                <w:color w:val="auto"/>
              </w:rPr>
            </w:pPr>
            <w:r>
              <w:rPr>
                <w:rFonts w:ascii="Arial" w:cs="Arial" w:eastAsia="Arial" w:hAnsi="Arial"/>
                <w:sz w:val="14"/>
                <w:szCs w:val="14"/>
                <w:color w:val="auto"/>
              </w:rPr>
              <w:t>30</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440</w:t>
            </w:r>
          </w:p>
        </w:tc>
        <w:tc>
          <w:tcPr>
            <w:tcW w:w="8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Garret related adjustments</w:t>
            </w:r>
            <w:r>
              <w:rPr>
                <w:rFonts w:ascii="Arial" w:cs="Arial" w:eastAsia="Arial" w:hAnsi="Arial"/>
                <w:sz w:val="9"/>
                <w:szCs w:val="9"/>
                <w:color w:val="auto"/>
              </w:rPr>
              <w:t>(2)</w:t>
            </w:r>
          </w:p>
        </w:tc>
        <w:tc>
          <w:tcPr>
            <w:tcW w:w="32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Changes in fair value of equity related securities</w:t>
            </w:r>
            <w:r>
              <w:rPr>
                <w:rFonts w:ascii="Arial" w:cs="Arial" w:eastAsia="Arial" w:hAnsi="Arial"/>
                <w:sz w:val="9"/>
                <w:szCs w:val="9"/>
                <w:color w:val="auto"/>
              </w:rPr>
              <w:t>(3)</w:t>
            </w:r>
          </w:p>
        </w:tc>
        <w:tc>
          <w:tcPr>
            <w:tcW w:w="32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Gain on sale of retail footwear business</w:t>
            </w:r>
            <w:r>
              <w:rPr>
                <w:rFonts w:ascii="Arial" w:cs="Arial" w:eastAsia="Arial" w:hAnsi="Arial"/>
                <w:sz w:val="9"/>
                <w:szCs w:val="9"/>
                <w:color w:val="auto"/>
              </w:rPr>
              <w:t>(4)</w:t>
            </w:r>
          </w:p>
        </w:tc>
        <w:tc>
          <w:tcPr>
            <w:tcW w:w="322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Expense related to UOP Matters</w:t>
            </w:r>
            <w:r>
              <w:rPr>
                <w:rFonts w:ascii="Arial" w:cs="Arial" w:eastAsia="Arial" w:hAnsi="Arial"/>
                <w:sz w:val="9"/>
                <w:szCs w:val="9"/>
                <w:color w:val="auto"/>
              </w:rPr>
              <w:t>(5)</w:t>
            </w:r>
          </w:p>
        </w:tc>
        <w:tc>
          <w:tcPr>
            <w:tcW w:w="322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Russian-related charges</w:t>
            </w:r>
            <w:r>
              <w:rPr>
                <w:rFonts w:ascii="Arial" w:cs="Arial" w:eastAsia="Arial" w:hAnsi="Arial"/>
                <w:sz w:val="9"/>
                <w:szCs w:val="9"/>
                <w:color w:val="auto"/>
              </w:rPr>
              <w:t>(6)</w:t>
            </w:r>
          </w:p>
        </w:tc>
        <w:tc>
          <w:tcPr>
            <w:tcW w:w="3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297</w:t>
            </w: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Gain on sale of Russian entities</w:t>
            </w:r>
            <w:r>
              <w:rPr>
                <w:rFonts w:ascii="Arial" w:cs="Arial" w:eastAsia="Arial" w:hAnsi="Arial"/>
                <w:sz w:val="9"/>
                <w:szCs w:val="9"/>
                <w:color w:val="auto"/>
              </w:rPr>
              <w:t>(7)</w:t>
            </w:r>
          </w:p>
        </w:tc>
        <w:tc>
          <w:tcPr>
            <w:tcW w:w="3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Net expense related to the NARCO Buyout and HWI Sale</w:t>
            </w:r>
            <w:r>
              <w:rPr>
                <w:rFonts w:ascii="Arial" w:cs="Arial" w:eastAsia="Arial" w:hAnsi="Arial"/>
                <w:sz w:val="9"/>
                <w:szCs w:val="9"/>
                <w:color w:val="auto"/>
              </w:rPr>
              <w:t>(8)</w:t>
            </w:r>
          </w:p>
        </w:tc>
        <w:tc>
          <w:tcPr>
            <w:tcW w:w="3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260</w:t>
            </w: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6160" w:type="dxa"/>
            <w:vAlign w:val="bottom"/>
            <w:tcBorders>
              <w:bottom w:val="single" w:sz="8" w:color="939598"/>
            </w:tcBorders>
          </w:tcPr>
          <w:p>
            <w:pPr>
              <w:spacing w:after="0" w:line="20" w:lineRule="exact"/>
              <w:rPr>
                <w:sz w:val="1"/>
                <w:szCs w:val="1"/>
                <w:color w:val="auto"/>
              </w:rPr>
            </w:pPr>
          </w:p>
        </w:tc>
        <w:tc>
          <w:tcPr>
            <w:tcW w:w="3220" w:type="dxa"/>
            <w:vAlign w:val="bottom"/>
            <w:tcBorders>
              <w:bottom w:val="single" w:sz="8" w:color="939598"/>
            </w:tcBorders>
          </w:tcPr>
          <w:p>
            <w:pPr>
              <w:spacing w:after="0" w:line="20" w:lineRule="exact"/>
              <w:rPr>
                <w:sz w:val="1"/>
                <w:szCs w:val="1"/>
                <w:color w:val="auto"/>
              </w:rPr>
            </w:pPr>
          </w:p>
        </w:tc>
        <w:tc>
          <w:tcPr>
            <w:tcW w:w="98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r>
      <w:tr>
        <w:trPr>
          <w:trHeight w:val="188"/>
        </w:trPr>
        <w:tc>
          <w:tcPr>
            <w:tcW w:w="6160" w:type="dxa"/>
            <w:vAlign w:val="bottom"/>
          </w:tcPr>
          <w:p>
            <w:pPr>
              <w:ind w:left="20"/>
              <w:spacing w:after="0"/>
              <w:rPr>
                <w:sz w:val="20"/>
                <w:szCs w:val="20"/>
                <w:color w:val="auto"/>
              </w:rPr>
            </w:pPr>
            <w:r>
              <w:rPr>
                <w:rFonts w:ascii="Arial" w:cs="Arial" w:eastAsia="Arial" w:hAnsi="Arial"/>
                <w:sz w:val="14"/>
                <w:szCs w:val="14"/>
                <w:color w:val="auto"/>
              </w:rPr>
              <w:t>Adjustment to estimated future Bendix liability</w:t>
            </w:r>
            <w:r>
              <w:rPr>
                <w:rFonts w:ascii="Arial" w:cs="Arial" w:eastAsia="Arial" w:hAnsi="Arial"/>
                <w:sz w:val="9"/>
                <w:szCs w:val="9"/>
                <w:color w:val="auto"/>
              </w:rPr>
              <w:t>(9)</w:t>
            </w:r>
          </w:p>
        </w:tc>
        <w:tc>
          <w:tcPr>
            <w:tcW w:w="32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2"/>
        </w:trPr>
        <w:tc>
          <w:tcPr>
            <w:tcW w:w="6160" w:type="dxa"/>
            <w:vAlign w:val="bottom"/>
            <w:tcBorders>
              <w:bottom w:val="single" w:sz="8" w:color="D7282F"/>
            </w:tcBorders>
          </w:tcPr>
          <w:p>
            <w:pPr>
              <w:spacing w:after="0" w:line="20" w:lineRule="exact"/>
              <w:rPr>
                <w:sz w:val="1"/>
                <w:szCs w:val="1"/>
                <w:color w:val="auto"/>
              </w:rPr>
            </w:pPr>
          </w:p>
        </w:tc>
        <w:tc>
          <w:tcPr>
            <w:tcW w:w="3220" w:type="dxa"/>
            <w:vAlign w:val="bottom"/>
            <w:tcBorders>
              <w:bottom w:val="single" w:sz="8" w:color="D7282F"/>
            </w:tcBorders>
          </w:tcPr>
          <w:p>
            <w:pPr>
              <w:spacing w:after="0" w:line="20" w:lineRule="exact"/>
              <w:rPr>
                <w:sz w:val="1"/>
                <w:szCs w:val="1"/>
                <w:color w:val="auto"/>
              </w:rPr>
            </w:pPr>
          </w:p>
        </w:tc>
        <w:tc>
          <w:tcPr>
            <w:tcW w:w="980" w:type="dxa"/>
            <w:vAlign w:val="bottom"/>
            <w:tcBorders>
              <w:bottom w:val="single" w:sz="8" w:color="D7282F"/>
            </w:tcBorders>
          </w:tcPr>
          <w:p>
            <w:pPr>
              <w:spacing w:after="0" w:line="20" w:lineRule="exact"/>
              <w:rPr>
                <w:sz w:val="1"/>
                <w:szCs w:val="1"/>
                <w:color w:val="auto"/>
              </w:rPr>
            </w:pPr>
          </w:p>
        </w:tc>
        <w:tc>
          <w:tcPr>
            <w:tcW w:w="860" w:type="dxa"/>
            <w:vAlign w:val="bottom"/>
            <w:tcBorders>
              <w:bottom w:val="single" w:sz="8" w:color="D7282F"/>
            </w:tcBorders>
          </w:tcPr>
          <w:p>
            <w:pPr>
              <w:spacing w:after="0" w:line="20" w:lineRule="exact"/>
              <w:rPr>
                <w:sz w:val="1"/>
                <w:szCs w:val="1"/>
                <w:color w:val="auto"/>
              </w:rPr>
            </w:pPr>
          </w:p>
        </w:tc>
      </w:tr>
      <w:tr>
        <w:trPr>
          <w:trHeight w:val="203"/>
        </w:trPr>
        <w:tc>
          <w:tcPr>
            <w:tcW w:w="6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net income attributable to Honeywell</w:t>
            </w:r>
          </w:p>
        </w:tc>
        <w:tc>
          <w:tcPr>
            <w:tcW w:w="32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5,644</w:t>
            </w: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5,986</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6,119</w:t>
            </w:r>
          </w:p>
        </w:tc>
      </w:tr>
    </w:tbl>
    <w:p>
      <w:pPr>
        <w:spacing w:after="0" w:line="126" w:lineRule="exact"/>
        <w:rPr>
          <w:sz w:val="20"/>
          <w:szCs w:val="20"/>
          <w:color w:val="auto"/>
        </w:rPr>
      </w:pPr>
    </w:p>
    <w:p>
      <w:pPr>
        <w:ind w:left="200" w:hanging="192"/>
        <w:spacing w:after="0"/>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Pension mark-to-market expense uses a blended tax rate of 18%, 16%, and 25% for 2023, 2022, and 2021, respectively.</w:t>
      </w:r>
    </w:p>
    <w:p>
      <w:pPr>
        <w:spacing w:after="0" w:line="63" w:lineRule="exact"/>
        <w:rPr>
          <w:rFonts w:ascii="Arial" w:cs="Arial" w:eastAsia="Arial" w:hAnsi="Arial"/>
          <w:sz w:val="16"/>
          <w:szCs w:val="16"/>
          <w:color w:val="auto"/>
          <w:vertAlign w:val="superscript"/>
        </w:rPr>
      </w:pPr>
    </w:p>
    <w:p>
      <w:pPr>
        <w:ind w:left="200" w:right="240" w:hanging="192"/>
        <w:spacing w:after="0" w:line="226"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2021, the adjustment was $7 million, without tax benefit, due to a non-cash charge associated with a reduction in value of reimbursement receivables following Garrett's emergence from bankruptcy on April 30, 2021.</w:t>
      </w:r>
    </w:p>
    <w:p>
      <w:pPr>
        <w:spacing w:after="0" w:line="45"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2021, the adjustment was $19 million, net of tax impact of $5 million, due to changes in fair value for Garrett equity securities.</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2021, the adjustment was $76 million, net of tax impact of $19 million, due to the gain on sale of the retail footwear business.</w:t>
      </w:r>
    </w:p>
    <w:p>
      <w:pPr>
        <w:spacing w:after="0" w:line="57"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2022, and 2021, the adjustments were $45 million and $160 million, respectively, without tax benefit, due to an expense related to UOP matters.</w:t>
      </w:r>
    </w:p>
    <w:p>
      <w:pPr>
        <w:spacing w:after="0" w:line="50" w:lineRule="exact"/>
        <w:rPr>
          <w:rFonts w:ascii="Arial" w:cs="Arial" w:eastAsia="Arial" w:hAnsi="Arial"/>
          <w:sz w:val="16"/>
          <w:szCs w:val="16"/>
          <w:color w:val="auto"/>
          <w:vertAlign w:val="superscript"/>
        </w:rPr>
      </w:pPr>
    </w:p>
    <w:p>
      <w:pPr>
        <w:ind w:left="200" w:right="60" w:hanging="192"/>
        <w:spacing w:after="0" w:line="237"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year ended December 31, 2023, the adjustment was a benefit of $3 million, without tax expense. For the twelve months ended December 31, 2022, the adjustment was $297 million, without tax benefit, to exclude charges and the accrual of reserves related to outstanding accounts receivable and contract assets, impairment of intangible assets, foreign exchange revaluation, inventory reserves, the write-down of other assets, impairment of property, plant and equipment, employee severance, and called guarantees related to the initial suspension and wind down of our businesses and operations in Russia.</w:t>
      </w:r>
    </w:p>
    <w:p>
      <w:pPr>
        <w:spacing w:after="0" w:line="32"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2022, the adjustment was $22 million, without tax expense, due to the gain on sale of Russian entities.</w:t>
      </w:r>
    </w:p>
    <w:p>
      <w:pPr>
        <w:spacing w:after="0" w:line="63" w:lineRule="exact"/>
        <w:rPr>
          <w:rFonts w:ascii="Arial" w:cs="Arial" w:eastAsia="Arial" w:hAnsi="Arial"/>
          <w:sz w:val="16"/>
          <w:szCs w:val="16"/>
          <w:color w:val="auto"/>
          <w:vertAlign w:val="superscript"/>
        </w:rPr>
      </w:pPr>
    </w:p>
    <w:p>
      <w:pPr>
        <w:ind w:left="200" w:right="200" w:hanging="192"/>
        <w:spacing w:after="0" w:line="226"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For the twelve months ended December 31, 2023, and 2022, the adjustments were $8 million and $260 million, net of tax benefit of $3 million and $82 million, respectively, due to the net expense related to the NARCO Buyout and HWI Sale.</w:t>
      </w:r>
    </w:p>
    <w:p>
      <w:pPr>
        <w:spacing w:after="0" w:line="50" w:lineRule="exact"/>
        <w:rPr>
          <w:rFonts w:ascii="Arial" w:cs="Arial" w:eastAsia="Arial" w:hAnsi="Arial"/>
          <w:sz w:val="16"/>
          <w:szCs w:val="16"/>
          <w:color w:val="auto"/>
          <w:vertAlign w:val="superscript"/>
        </w:rPr>
      </w:pPr>
    </w:p>
    <w:p>
      <w:pPr>
        <w:ind w:left="200" w:hanging="192"/>
        <w:spacing w:after="0" w:line="239" w:lineRule="auto"/>
        <w:tabs>
          <w:tab w:leader="none" w:pos="200" w:val="left"/>
        </w:tabs>
        <w:numPr>
          <w:ilvl w:val="0"/>
          <w:numId w:val="217"/>
        </w:numPr>
        <w:rPr>
          <w:rFonts w:ascii="Arial" w:cs="Arial" w:eastAsia="Arial" w:hAnsi="Arial"/>
          <w:sz w:val="16"/>
          <w:szCs w:val="16"/>
          <w:color w:val="auto"/>
          <w:vertAlign w:val="superscript"/>
        </w:rPr>
      </w:pPr>
      <w:r>
        <w:rPr>
          <w:rFonts w:ascii="Arial" w:cs="Arial" w:eastAsia="Arial" w:hAnsi="Arial"/>
          <w:sz w:val="13"/>
          <w:szCs w:val="13"/>
          <w:color w:val="auto"/>
        </w:rPr>
        <w:t>Bendix Friction Materials (“Bendix”) is a business no longer owned by the Company. In 2023, the Company changed its valuation methodology for calculating legacy Bendix liabilities. For the three and twelve months ended December 31, 2023, the adjustment was $330 million, net of tax benefit of $104 million (or $434 million pre-tax) due to a change in the estimated liability for resolution of asserted (claims filed as of the financial statement date) and unasserted Bendix-related asbestos claims. 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 The $434 million pre-tax amount is attributable primarily to shortening the look-back period to the two most recent years, and to a lesser extent to increasing expected resolution values for a subset of asserted claims to adjust for higher claim values in that subset than in the modelled two-year data set. 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define adjusted net income attributable to Honeywell as net income attributable to Honeywell, adjusted to exclude various charges as listed above. We believe adjusted net income attributable to Honeywell is a measure that is useful to investors and management in understanding our ongoing operations and in analysis of ongoing operating trends.</w:t>
      </w:r>
    </w:p>
    <w:p>
      <w:pPr>
        <w:spacing w:after="0" w:line="234"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b w:val="1"/>
          <w:bCs w:val="1"/>
          <w:color w:val="auto"/>
        </w:rPr>
        <w:t xml:space="preserve">118  </w:t>
      </w:r>
      <w:r>
        <w:rPr>
          <w:sz w:val="1"/>
          <w:szCs w:val="1"/>
          <w:color w:val="auto"/>
        </w:rPr>
        <w:drawing>
          <wp:inline distT="0" distB="0" distL="0" distR="0">
            <wp:extent cx="548640" cy="10287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548640" cy="102870"/>
                    </a:xfrm>
                    <a:prstGeom prst="rect">
                      <a:avLst/>
                    </a:prstGeom>
                    <a:noFill/>
                    <a:ln>
                      <a:noFill/>
                    </a:ln>
                  </pic:spPr>
                </pic:pic>
              </a:graphicData>
            </a:graphic>
          </wp:inline>
        </w:drawing>
      </w:r>
      <w:r>
        <w:rPr>
          <w:rFonts w:ascii="Arial" w:cs="Arial" w:eastAsia="Arial" w:hAnsi="Arial"/>
          <w:sz w:val="13"/>
          <w:szCs w:val="13"/>
          <w:b w:val="1"/>
          <w:bCs w:val="1"/>
          <w:color w:val="6D6E71"/>
        </w:rPr>
        <w:t xml:space="preserve">    |</w:t>
        <w:tab/>
        <w:t>2024 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5" w:name="page126"/>
    <w:bookmarkEnd w:id="125"/>
    <w:p>
      <w:pPr>
        <w:jc w:val="right"/>
        <w:spacing w:after="0"/>
        <w:rPr>
          <w:sz w:val="20"/>
          <w:szCs w:val="20"/>
          <w:color w:val="auto"/>
        </w:rPr>
      </w:pPr>
      <w:r>
        <w:rPr>
          <w:rFonts w:ascii="Arial" w:cs="Arial" w:eastAsia="Arial" w:hAnsi="Arial"/>
          <w:sz w:val="13"/>
          <w:szCs w:val="13"/>
          <w:b w:val="1"/>
          <w:bCs w:val="1"/>
          <w:color w:val="6D6E71"/>
        </w:rPr>
        <w:t>APPENDIX A: RECONCILIATION OF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hanging="212"/>
        <w:spacing w:after="0"/>
        <w:tabs>
          <w:tab w:leader="none" w:pos="220" w:val="left"/>
        </w:tabs>
        <w:numPr>
          <w:ilvl w:val="0"/>
          <w:numId w:val="218"/>
        </w:numPr>
        <w:rPr>
          <w:rFonts w:ascii="Arial" w:cs="Arial" w:eastAsia="Arial" w:hAnsi="Arial"/>
          <w:sz w:val="16"/>
          <w:szCs w:val="16"/>
          <w:b w:val="1"/>
          <w:bCs w:val="1"/>
          <w:color w:val="6D6E71"/>
        </w:rPr>
      </w:pPr>
      <w:r>
        <w:rPr>
          <w:rFonts w:ascii="Arial" w:cs="Arial" w:eastAsia="Arial" w:hAnsi="Arial"/>
          <w:sz w:val="16"/>
          <w:szCs w:val="16"/>
          <w:color w:val="6D6E71"/>
        </w:rPr>
        <w:t>RECONCILIATION OF OPERATING INCOME TO SEGMENT PROFIT AND CALCULATION OF INCREMENTAL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3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09"/>
        </w:trPr>
        <w:tc>
          <w:tcPr>
            <w:tcW w:w="6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398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b w:val="1"/>
                <w:bCs w:val="1"/>
                <w:color w:val="auto"/>
              </w:rPr>
              <w:t>$   35,466</w:t>
            </w:r>
          </w:p>
        </w:tc>
        <w:tc>
          <w:tcPr>
            <w:tcW w:w="380" w:type="dxa"/>
            <w:vAlign w:val="bottom"/>
            <w:tcBorders>
              <w:bottom w:val="single" w:sz="8" w:color="939598"/>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36,662</w:t>
            </w:r>
          </w:p>
        </w:tc>
      </w:tr>
      <w:tr>
        <w:trPr>
          <w:trHeight w:val="210"/>
        </w:trPr>
        <w:tc>
          <w:tcPr>
            <w:tcW w:w="61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980" w:type="dxa"/>
            <w:vAlign w:val="bottom"/>
            <w:tcBorders>
              <w:bottom w:val="single" w:sz="8" w:color="939598"/>
            </w:tcBorders>
          </w:tcPr>
          <w:p>
            <w:pPr>
              <w:jc w:val="right"/>
              <w:ind w:right="188"/>
              <w:spacing w:after="0"/>
              <w:rPr>
                <w:sz w:val="20"/>
                <w:szCs w:val="20"/>
                <w:color w:val="auto"/>
              </w:rPr>
            </w:pPr>
            <w:r>
              <w:rPr>
                <w:rFonts w:ascii="Arial" w:cs="Arial" w:eastAsia="Arial" w:hAnsi="Arial"/>
                <w:sz w:val="14"/>
                <w:szCs w:val="14"/>
                <w:b w:val="1"/>
                <w:bCs w:val="1"/>
                <w:color w:val="auto"/>
              </w:rPr>
              <w:t>6,427</w:t>
            </w:r>
          </w:p>
        </w:tc>
        <w:tc>
          <w:tcPr>
            <w:tcW w:w="380" w:type="dxa"/>
            <w:vAlign w:val="bottom"/>
            <w:tcBorders>
              <w:bottom w:val="single" w:sz="8" w:color="939598"/>
            </w:tcBorders>
          </w:tcPr>
          <w:p>
            <w:pPr>
              <w:spacing w:after="0"/>
              <w:rPr>
                <w:sz w:val="18"/>
                <w:szCs w:val="18"/>
                <w:color w:val="auto"/>
              </w:rPr>
            </w:pPr>
          </w:p>
        </w:tc>
        <w:tc>
          <w:tcPr>
            <w:tcW w:w="7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b w:val="1"/>
                <w:bCs w:val="1"/>
                <w:color w:val="auto"/>
              </w:rPr>
              <w:t>7,084</w:t>
            </w:r>
          </w:p>
        </w:tc>
      </w:tr>
      <w:tr>
        <w:trPr>
          <w:trHeight w:val="194"/>
        </w:trPr>
        <w:tc>
          <w:tcPr>
            <w:tcW w:w="6120" w:type="dxa"/>
            <w:vAlign w:val="bottom"/>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(1)</w:t>
            </w:r>
          </w:p>
        </w:tc>
        <w:tc>
          <w:tcPr>
            <w:tcW w:w="3980" w:type="dxa"/>
            <w:vAlign w:val="bottom"/>
          </w:tcPr>
          <w:p>
            <w:pPr>
              <w:jc w:val="right"/>
              <w:ind w:right="188"/>
              <w:spacing w:after="0"/>
              <w:rPr>
                <w:sz w:val="20"/>
                <w:szCs w:val="20"/>
                <w:color w:val="auto"/>
              </w:rPr>
            </w:pPr>
            <w:r>
              <w:rPr>
                <w:rFonts w:ascii="Arial" w:cs="Arial" w:eastAsia="Arial" w:hAnsi="Arial"/>
                <w:sz w:val="14"/>
                <w:szCs w:val="14"/>
                <w:color w:val="auto"/>
              </w:rPr>
              <w:t>188</w:t>
            </w:r>
          </w:p>
        </w:tc>
        <w:tc>
          <w:tcPr>
            <w:tcW w:w="3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202</w:t>
            </w:r>
          </w:p>
        </w:tc>
      </w:tr>
      <w:tr>
        <w:trPr>
          <w:trHeight w:val="22"/>
        </w:trPr>
        <w:tc>
          <w:tcPr>
            <w:tcW w:w="6120" w:type="dxa"/>
            <w:vAlign w:val="bottom"/>
            <w:tcBorders>
              <w:bottom w:val="single" w:sz="8" w:color="939598"/>
            </w:tcBorders>
          </w:tcPr>
          <w:p>
            <w:pPr>
              <w:spacing w:after="0" w:line="20" w:lineRule="exact"/>
              <w:rPr>
                <w:sz w:val="1"/>
                <w:szCs w:val="1"/>
                <w:color w:val="auto"/>
              </w:rPr>
            </w:pPr>
          </w:p>
        </w:tc>
        <w:tc>
          <w:tcPr>
            <w:tcW w:w="39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188"/>
        </w:trPr>
        <w:tc>
          <w:tcPr>
            <w:tcW w:w="6120" w:type="dxa"/>
            <w:vAlign w:val="bottom"/>
          </w:tcPr>
          <w:p>
            <w:pPr>
              <w:ind w:left="20"/>
              <w:spacing w:after="0"/>
              <w:rPr>
                <w:sz w:val="20"/>
                <w:szCs w:val="20"/>
                <w:color w:val="auto"/>
              </w:rPr>
            </w:pPr>
            <w:r>
              <w:rPr>
                <w:rFonts w:ascii="Arial" w:cs="Arial" w:eastAsia="Arial" w:hAnsi="Arial"/>
                <w:sz w:val="14"/>
                <w:szCs w:val="14"/>
                <w:color w:val="auto"/>
              </w:rPr>
              <w:t>Repositioning, Other</w:t>
            </w:r>
            <w:r>
              <w:rPr>
                <w:rFonts w:ascii="Arial" w:cs="Arial" w:eastAsia="Arial" w:hAnsi="Arial"/>
                <w:sz w:val="9"/>
                <w:szCs w:val="9"/>
                <w:color w:val="auto"/>
              </w:rPr>
              <w:t>(2,3)</w:t>
            </w:r>
          </w:p>
        </w:tc>
        <w:tc>
          <w:tcPr>
            <w:tcW w:w="3980" w:type="dxa"/>
            <w:vAlign w:val="bottom"/>
          </w:tcPr>
          <w:p>
            <w:pPr>
              <w:jc w:val="right"/>
              <w:ind w:right="188"/>
              <w:spacing w:after="0"/>
              <w:rPr>
                <w:sz w:val="20"/>
                <w:szCs w:val="20"/>
                <w:color w:val="auto"/>
              </w:rPr>
            </w:pPr>
            <w:r>
              <w:rPr>
                <w:rFonts w:ascii="Arial" w:cs="Arial" w:eastAsia="Arial" w:hAnsi="Arial"/>
                <w:sz w:val="14"/>
                <w:szCs w:val="14"/>
                <w:color w:val="auto"/>
              </w:rPr>
              <w:t>942</w:t>
            </w:r>
          </w:p>
        </w:tc>
        <w:tc>
          <w:tcPr>
            <w:tcW w:w="3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952</w:t>
            </w:r>
          </w:p>
        </w:tc>
      </w:tr>
      <w:tr>
        <w:trPr>
          <w:trHeight w:val="22"/>
        </w:trPr>
        <w:tc>
          <w:tcPr>
            <w:tcW w:w="6120" w:type="dxa"/>
            <w:vAlign w:val="bottom"/>
            <w:tcBorders>
              <w:bottom w:val="single" w:sz="8" w:color="939598"/>
            </w:tcBorders>
          </w:tcPr>
          <w:p>
            <w:pPr>
              <w:spacing w:after="0" w:line="20" w:lineRule="exact"/>
              <w:rPr>
                <w:sz w:val="1"/>
                <w:szCs w:val="1"/>
                <w:color w:val="auto"/>
              </w:rPr>
            </w:pPr>
          </w:p>
        </w:tc>
        <w:tc>
          <w:tcPr>
            <w:tcW w:w="39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188"/>
        </w:trPr>
        <w:tc>
          <w:tcPr>
            <w:tcW w:w="6120" w:type="dxa"/>
            <w:vAlign w:val="bottom"/>
          </w:tcPr>
          <w:p>
            <w:pPr>
              <w:ind w:left="20"/>
              <w:spacing w:after="0"/>
              <w:rPr>
                <w:sz w:val="20"/>
                <w:szCs w:val="20"/>
                <w:color w:val="auto"/>
              </w:rPr>
            </w:pPr>
            <w:r>
              <w:rPr>
                <w:rFonts w:ascii="Arial" w:cs="Arial" w:eastAsia="Arial" w:hAnsi="Arial"/>
                <w:sz w:val="14"/>
                <w:szCs w:val="14"/>
                <w:color w:val="auto"/>
              </w:rPr>
              <w:t>Pension and other postretirement service costs</w:t>
            </w:r>
            <w:r>
              <w:rPr>
                <w:rFonts w:ascii="Arial" w:cs="Arial" w:eastAsia="Arial" w:hAnsi="Arial"/>
                <w:sz w:val="9"/>
                <w:szCs w:val="9"/>
                <w:color w:val="auto"/>
              </w:rPr>
              <w:t>(4)</w:t>
            </w:r>
          </w:p>
        </w:tc>
        <w:tc>
          <w:tcPr>
            <w:tcW w:w="3980" w:type="dxa"/>
            <w:vAlign w:val="bottom"/>
          </w:tcPr>
          <w:p>
            <w:pPr>
              <w:jc w:val="right"/>
              <w:ind w:right="188"/>
              <w:spacing w:after="0"/>
              <w:rPr>
                <w:sz w:val="20"/>
                <w:szCs w:val="20"/>
                <w:color w:val="auto"/>
              </w:rPr>
            </w:pPr>
            <w:r>
              <w:rPr>
                <w:rFonts w:ascii="Arial" w:cs="Arial" w:eastAsia="Arial" w:hAnsi="Arial"/>
                <w:sz w:val="14"/>
                <w:szCs w:val="14"/>
                <w:color w:val="auto"/>
              </w:rPr>
              <w:t>132</w:t>
            </w:r>
          </w:p>
        </w:tc>
        <w:tc>
          <w:tcPr>
            <w:tcW w:w="3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66</w:t>
            </w:r>
          </w:p>
        </w:tc>
      </w:tr>
      <w:tr>
        <w:trPr>
          <w:trHeight w:val="22"/>
        </w:trPr>
        <w:tc>
          <w:tcPr>
            <w:tcW w:w="6120" w:type="dxa"/>
            <w:vAlign w:val="bottom"/>
            <w:tcBorders>
              <w:bottom w:val="single" w:sz="8" w:color="D7282F"/>
            </w:tcBorders>
          </w:tcPr>
          <w:p>
            <w:pPr>
              <w:spacing w:after="0" w:line="20" w:lineRule="exact"/>
              <w:rPr>
                <w:sz w:val="1"/>
                <w:szCs w:val="1"/>
                <w:color w:val="auto"/>
              </w:rPr>
            </w:pPr>
          </w:p>
        </w:tc>
        <w:tc>
          <w:tcPr>
            <w:tcW w:w="398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r>
      <w:tr>
        <w:trPr>
          <w:trHeight w:val="203"/>
        </w:trPr>
        <w:tc>
          <w:tcPr>
            <w:tcW w:w="6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39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7,689</w:t>
            </w:r>
          </w:p>
        </w:tc>
        <w:tc>
          <w:tcPr>
            <w:tcW w:w="3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8,304</w:t>
            </w:r>
          </w:p>
        </w:tc>
      </w:tr>
      <w:tr>
        <w:trPr>
          <w:trHeight w:val="194"/>
        </w:trPr>
        <w:tc>
          <w:tcPr>
            <w:tcW w:w="6120" w:type="dxa"/>
            <w:vAlign w:val="bottom"/>
          </w:tcPr>
          <w:p>
            <w:pPr>
              <w:ind w:left="20"/>
              <w:spacing w:after="0"/>
              <w:rPr>
                <w:sz w:val="20"/>
                <w:szCs w:val="20"/>
                <w:color w:val="auto"/>
              </w:rPr>
            </w:pPr>
            <w:r>
              <w:rPr>
                <w:rFonts w:ascii="Arial" w:cs="Arial" w:eastAsia="Arial" w:hAnsi="Arial"/>
                <w:sz w:val="14"/>
                <w:szCs w:val="14"/>
                <w:color w:val="auto"/>
              </w:rPr>
              <w:t>Year-over-year change in Segment profit</w:t>
            </w:r>
          </w:p>
        </w:tc>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615</w:t>
            </w:r>
          </w:p>
        </w:tc>
      </w:tr>
      <w:tr>
        <w:trPr>
          <w:trHeight w:val="22"/>
        </w:trPr>
        <w:tc>
          <w:tcPr>
            <w:tcW w:w="6120" w:type="dxa"/>
            <w:vAlign w:val="bottom"/>
            <w:tcBorders>
              <w:bottom w:val="single" w:sz="8" w:color="939598"/>
            </w:tcBorders>
          </w:tcPr>
          <w:p>
            <w:pPr>
              <w:spacing w:after="0" w:line="20" w:lineRule="exact"/>
              <w:rPr>
                <w:sz w:val="1"/>
                <w:szCs w:val="1"/>
                <w:color w:val="auto"/>
              </w:rPr>
            </w:pPr>
          </w:p>
        </w:tc>
        <w:tc>
          <w:tcPr>
            <w:tcW w:w="3980" w:type="dxa"/>
            <w:vAlign w:val="bottom"/>
            <w:tcBorders>
              <w:bottom w:val="single" w:sz="8" w:color="939598"/>
            </w:tcBorders>
          </w:tcPr>
          <w:p>
            <w:pPr>
              <w:spacing w:after="0" w:line="20" w:lineRule="exact"/>
              <w:rPr>
                <w:sz w:val="1"/>
                <w:szCs w:val="1"/>
                <w:color w:val="auto"/>
              </w:rPr>
            </w:pPr>
          </w:p>
        </w:tc>
        <w:tc>
          <w:tcPr>
            <w:tcW w:w="380" w:type="dxa"/>
            <w:vAlign w:val="bottom"/>
            <w:tcBorders>
              <w:bottom w:val="single" w:sz="8" w:color="939598"/>
            </w:tcBorders>
          </w:tcPr>
          <w:p>
            <w:pPr>
              <w:spacing w:after="0" w:line="20" w:lineRule="exact"/>
              <w:rPr>
                <w:sz w:val="1"/>
                <w:szCs w:val="1"/>
                <w:color w:val="auto"/>
              </w:rPr>
            </w:pPr>
          </w:p>
        </w:tc>
        <w:tc>
          <w:tcPr>
            <w:tcW w:w="740" w:type="dxa"/>
            <w:vAlign w:val="bottom"/>
            <w:tcBorders>
              <w:bottom w:val="single" w:sz="8" w:color="939598"/>
            </w:tcBorders>
          </w:tcPr>
          <w:p>
            <w:pPr>
              <w:spacing w:after="0" w:line="20" w:lineRule="exact"/>
              <w:rPr>
                <w:sz w:val="1"/>
                <w:szCs w:val="1"/>
                <w:color w:val="auto"/>
              </w:rPr>
            </w:pPr>
          </w:p>
        </w:tc>
      </w:tr>
      <w:tr>
        <w:trPr>
          <w:trHeight w:val="188"/>
        </w:trPr>
        <w:tc>
          <w:tcPr>
            <w:tcW w:w="6120" w:type="dxa"/>
            <w:vAlign w:val="bottom"/>
          </w:tcPr>
          <w:p>
            <w:pPr>
              <w:ind w:left="20"/>
              <w:spacing w:after="0"/>
              <w:rPr>
                <w:sz w:val="20"/>
                <w:szCs w:val="20"/>
                <w:color w:val="auto"/>
              </w:rPr>
            </w:pPr>
            <w:r>
              <w:rPr>
                <w:rFonts w:ascii="Arial" w:cs="Arial" w:eastAsia="Arial" w:hAnsi="Arial"/>
                <w:sz w:val="14"/>
                <w:szCs w:val="14"/>
                <w:color w:val="auto"/>
              </w:rPr>
              <w:t>÷ Year-over-year change in Net sales</w:t>
            </w:r>
          </w:p>
        </w:tc>
        <w:tc>
          <w:tcPr>
            <w:tcW w:w="3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1,196</w:t>
            </w:r>
          </w:p>
        </w:tc>
      </w:tr>
      <w:tr>
        <w:trPr>
          <w:trHeight w:val="22"/>
        </w:trPr>
        <w:tc>
          <w:tcPr>
            <w:tcW w:w="6120" w:type="dxa"/>
            <w:vAlign w:val="bottom"/>
            <w:tcBorders>
              <w:bottom w:val="single" w:sz="8" w:color="D7282F"/>
            </w:tcBorders>
          </w:tcPr>
          <w:p>
            <w:pPr>
              <w:spacing w:after="0" w:line="20" w:lineRule="exact"/>
              <w:rPr>
                <w:sz w:val="1"/>
                <w:szCs w:val="1"/>
                <w:color w:val="auto"/>
              </w:rPr>
            </w:pPr>
          </w:p>
        </w:tc>
        <w:tc>
          <w:tcPr>
            <w:tcW w:w="3980" w:type="dxa"/>
            <w:vAlign w:val="bottom"/>
            <w:tcBorders>
              <w:bottom w:val="single" w:sz="8" w:color="D7282F"/>
            </w:tcBorders>
          </w:tcPr>
          <w:p>
            <w:pPr>
              <w:spacing w:after="0" w:line="20" w:lineRule="exact"/>
              <w:rPr>
                <w:sz w:val="1"/>
                <w:szCs w:val="1"/>
                <w:color w:val="auto"/>
              </w:rPr>
            </w:pPr>
          </w:p>
        </w:tc>
        <w:tc>
          <w:tcPr>
            <w:tcW w:w="380" w:type="dxa"/>
            <w:vAlign w:val="bottom"/>
            <w:tcBorders>
              <w:bottom w:val="single" w:sz="8" w:color="D7282F"/>
            </w:tcBorders>
          </w:tcPr>
          <w:p>
            <w:pPr>
              <w:spacing w:after="0" w:line="20" w:lineRule="exact"/>
              <w:rPr>
                <w:sz w:val="1"/>
                <w:szCs w:val="1"/>
                <w:color w:val="auto"/>
              </w:rPr>
            </w:pPr>
          </w:p>
        </w:tc>
        <w:tc>
          <w:tcPr>
            <w:tcW w:w="740" w:type="dxa"/>
            <w:vAlign w:val="bottom"/>
            <w:tcBorders>
              <w:bottom w:val="single" w:sz="8" w:color="D7282F"/>
            </w:tcBorders>
          </w:tcPr>
          <w:p>
            <w:pPr>
              <w:spacing w:after="0" w:line="20" w:lineRule="exact"/>
              <w:rPr>
                <w:sz w:val="1"/>
                <w:szCs w:val="1"/>
                <w:color w:val="auto"/>
              </w:rPr>
            </w:pPr>
          </w:p>
        </w:tc>
      </w:tr>
      <w:tr>
        <w:trPr>
          <w:trHeight w:val="203"/>
        </w:trPr>
        <w:tc>
          <w:tcPr>
            <w:tcW w:w="61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Incremental margin %</w:t>
            </w:r>
          </w:p>
        </w:tc>
        <w:tc>
          <w:tcPr>
            <w:tcW w:w="398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51.4 %</w:t>
            </w:r>
          </w:p>
        </w:tc>
      </w:tr>
    </w:tbl>
    <w:p>
      <w:pPr>
        <w:spacing w:after="0" w:line="126" w:lineRule="exact"/>
        <w:rPr>
          <w:sz w:val="20"/>
          <w:szCs w:val="20"/>
          <w:color w:val="auto"/>
        </w:rPr>
      </w:pPr>
    </w:p>
    <w:p>
      <w:pPr>
        <w:ind w:left="200" w:hanging="192"/>
        <w:spacing w:after="0"/>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Included in Selling, general, and administrative expenses.</w:t>
      </w:r>
    </w:p>
    <w:p>
      <w:pPr>
        <w:spacing w:after="0" w:line="63" w:lineRule="exact"/>
        <w:rPr>
          <w:rFonts w:ascii="Arial" w:cs="Arial" w:eastAsia="Arial" w:hAnsi="Arial"/>
          <w:sz w:val="16"/>
          <w:szCs w:val="16"/>
          <w:color w:val="auto"/>
          <w:vertAlign w:val="superscript"/>
        </w:rPr>
      </w:pPr>
    </w:p>
    <w:p>
      <w:pPr>
        <w:ind w:left="200" w:right="20" w:hanging="192"/>
        <w:spacing w:after="0" w:line="237" w:lineRule="auto"/>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Includes repositioning, asbestos, environmental expenses, equity income adjustment, and other charges. For the twelve months ended December 31, 2022, other charges include an expense of $250 million related to reserves against outstanding accounts receivables, contract assets, and inventory, as well as the write-down of other assets and employee severance related to the initial suspension and wind down of our businesses and operations in Russia. For the twelve months ended December 31, 2022, other charges include $41 million of incremental long-term contract labor cost inefficiencies due to severe supply chain disruptions (attributable to the COVID-19 pandemic) relating to the warehouse automation business within the Safety and Productivity Solutions segment. These costs include incurred amounts and provisions for anticipated losses recognized when total estimated costs at completion for certain of the business’ long-term contracts exceeded total estimated revenue. These certain costs represent unproductive labor costs due to unexpected supplier delays and the resulting downstream installation issues, demobilization and remobilization of contract workers, and resolution of contractor disputes.</w:t>
      </w:r>
    </w:p>
    <w:p>
      <w:pPr>
        <w:spacing w:after="0" w:line="48" w:lineRule="exact"/>
        <w:rPr>
          <w:rFonts w:ascii="Arial" w:cs="Arial" w:eastAsia="Arial" w:hAnsi="Arial"/>
          <w:sz w:val="16"/>
          <w:szCs w:val="16"/>
          <w:color w:val="auto"/>
          <w:vertAlign w:val="superscript"/>
        </w:rPr>
      </w:pPr>
    </w:p>
    <w:p>
      <w:pPr>
        <w:ind w:left="200" w:hanging="192"/>
        <w:spacing w:after="0"/>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Selling, general and administrative expenses, and Other income/expense.</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219"/>
        </w:numPr>
        <w:rPr>
          <w:rFonts w:ascii="Arial" w:cs="Arial" w:eastAsia="Arial" w:hAnsi="Arial"/>
          <w:sz w:val="16"/>
          <w:szCs w:val="16"/>
          <w:color w:val="auto"/>
          <w:vertAlign w:val="superscript"/>
        </w:rPr>
      </w:pPr>
      <w:r>
        <w:rPr>
          <w:rFonts w:ascii="Arial" w:cs="Arial" w:eastAsia="Arial" w:hAnsi="Arial"/>
          <w:sz w:val="13"/>
          <w:szCs w:val="13"/>
          <w:color w:val="auto"/>
        </w:rPr>
        <w:t>Included in Cost of products and services sold and Selling, general and administrative expenses.</w:t>
      </w:r>
    </w:p>
    <w:p>
      <w:pPr>
        <w:spacing w:after="0" w:line="95"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define segment profit, on an overall Honeywell basis, as operating income, excluding stock compensation expense, pension and other postretirement service costs, and repositioning and other charges. We define incremental margin as the year-over-year change in segment profit divided by the year-over-year change in net sales. We believe these measures are useful to investors and management in understanding our ongoing operations and in analysis of ongoing operating trends.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6D6E71"/>
        </w:rPr>
        <w:t>(8) CALCULATION OF RETURN ON INVESTED CAPITAL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($M)</w:t>
            </w:r>
          </w:p>
        </w:tc>
        <w:tc>
          <w:tcPr>
            <w:tcW w:w="260" w:type="dxa"/>
            <w:vAlign w:val="bottom"/>
            <w:tcBorders>
              <w:bottom w:val="single" w:sz="8" w:color="DC202E"/>
            </w:tcBorders>
          </w:tcPr>
          <w:p>
            <w:pPr>
              <w:spacing w:after="0"/>
              <w:rPr>
                <w:sz w:val="17"/>
                <w:szCs w:val="17"/>
                <w:color w:val="auto"/>
              </w:rPr>
            </w:pPr>
          </w:p>
        </w:tc>
        <w:tc>
          <w:tcPr>
            <w:tcW w:w="86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DC202E"/>
            </w:tcBorders>
          </w:tcPr>
          <w:p>
            <w:pPr>
              <w:spacing w:after="0"/>
              <w:rPr>
                <w:sz w:val="17"/>
                <w:szCs w:val="17"/>
                <w:color w:val="auto"/>
              </w:rPr>
            </w:pPr>
          </w:p>
        </w:tc>
        <w:tc>
          <w:tcPr>
            <w:tcW w:w="84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08"/>
        </w:trPr>
        <w:tc>
          <w:tcPr>
            <w:tcW w:w="7740" w:type="dxa"/>
            <w:vAlign w:val="bottom"/>
          </w:tcPr>
          <w:p>
            <w:pPr>
              <w:ind w:left="20"/>
              <w:spacing w:after="0"/>
              <w:rPr>
                <w:sz w:val="20"/>
                <w:szCs w:val="20"/>
                <w:color w:val="auto"/>
              </w:rPr>
            </w:pPr>
            <w:r>
              <w:rPr>
                <w:rFonts w:ascii="Arial" w:cs="Arial" w:eastAsia="Arial" w:hAnsi="Arial"/>
                <w:sz w:val="14"/>
                <w:szCs w:val="14"/>
                <w:color w:val="auto"/>
              </w:rPr>
              <w:t>Adjusted net income attributable to Honeywell</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5,644</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5,986</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6,119</w:t>
            </w:r>
          </w:p>
        </w:tc>
      </w:tr>
      <w:tr>
        <w:trPr>
          <w:trHeight w:val="22"/>
        </w:trPr>
        <w:tc>
          <w:tcPr>
            <w:tcW w:w="774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r>
      <w:tr>
        <w:trPr>
          <w:trHeight w:val="201"/>
        </w:trPr>
        <w:tc>
          <w:tcPr>
            <w:tcW w:w="7740" w:type="dxa"/>
            <w:vAlign w:val="bottom"/>
          </w:tcPr>
          <w:p>
            <w:pPr>
              <w:ind w:left="20"/>
              <w:spacing w:after="0"/>
              <w:rPr>
                <w:sz w:val="20"/>
                <w:szCs w:val="20"/>
                <w:color w:val="auto"/>
              </w:rPr>
            </w:pPr>
            <w:r>
              <w:rPr>
                <w:rFonts w:ascii="Arial" w:cs="Arial" w:eastAsia="Arial" w:hAnsi="Arial"/>
                <w:sz w:val="14"/>
                <w:szCs w:val="14"/>
                <w:color w:val="auto"/>
              </w:rPr>
              <w:t>Interest and other financial charges</w:t>
            </w:r>
          </w:p>
        </w:tc>
        <w:tc>
          <w:tcPr>
            <w:tcW w:w="260" w:type="dxa"/>
            <w:vAlign w:val="bottom"/>
          </w:tcPr>
          <w:p>
            <w:pPr>
              <w:spacing w:after="0"/>
              <w:rPr>
                <w:sz w:val="17"/>
                <w:szCs w:val="17"/>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343</w:t>
            </w:r>
          </w:p>
        </w:tc>
        <w:tc>
          <w:tcPr>
            <w:tcW w:w="40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414</w:t>
            </w:r>
          </w:p>
        </w:tc>
        <w:tc>
          <w:tcPr>
            <w:tcW w:w="40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765</w:t>
            </w:r>
          </w:p>
        </w:tc>
      </w:tr>
      <w:tr>
        <w:trPr>
          <w:trHeight w:val="22"/>
        </w:trPr>
        <w:tc>
          <w:tcPr>
            <w:tcW w:w="7740" w:type="dxa"/>
            <w:vAlign w:val="bottom"/>
            <w:tcBorders>
              <w:bottom w:val="single" w:sz="8" w:color="939598"/>
            </w:tcBorders>
          </w:tcPr>
          <w:p>
            <w:pPr>
              <w:spacing w:after="0" w:line="20" w:lineRule="exact"/>
              <w:rPr>
                <w:sz w:val="1"/>
                <w:szCs w:val="1"/>
                <w:color w:val="auto"/>
              </w:rPr>
            </w:pPr>
          </w:p>
        </w:tc>
        <w:tc>
          <w:tcPr>
            <w:tcW w:w="260" w:type="dxa"/>
            <w:vAlign w:val="bottom"/>
            <w:tcBorders>
              <w:bottom w:val="single" w:sz="8" w:color="939598"/>
            </w:tcBorders>
          </w:tcPr>
          <w:p>
            <w:pPr>
              <w:spacing w:after="0" w:line="20" w:lineRule="exact"/>
              <w:rPr>
                <w:sz w:val="1"/>
                <w:szCs w:val="1"/>
                <w:color w:val="auto"/>
              </w:rPr>
            </w:pPr>
          </w:p>
        </w:tc>
        <w:tc>
          <w:tcPr>
            <w:tcW w:w="86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840" w:type="dxa"/>
            <w:vAlign w:val="bottom"/>
            <w:tcBorders>
              <w:bottom w:val="single" w:sz="8" w:color="939598"/>
            </w:tcBorders>
          </w:tcPr>
          <w:p>
            <w:pPr>
              <w:spacing w:after="0" w:line="20" w:lineRule="exact"/>
              <w:rPr>
                <w:sz w:val="1"/>
                <w:szCs w:val="1"/>
                <w:color w:val="auto"/>
              </w:rPr>
            </w:pPr>
          </w:p>
        </w:tc>
        <w:tc>
          <w:tcPr>
            <w:tcW w:w="400" w:type="dxa"/>
            <w:vAlign w:val="bottom"/>
            <w:tcBorders>
              <w:bottom w:val="single" w:sz="8" w:color="939598"/>
            </w:tcBorders>
          </w:tcPr>
          <w:p>
            <w:pPr>
              <w:spacing w:after="0" w:line="20" w:lineRule="exact"/>
              <w:rPr>
                <w:sz w:val="1"/>
                <w:szCs w:val="1"/>
                <w:color w:val="auto"/>
              </w:rPr>
            </w:pPr>
          </w:p>
        </w:tc>
        <w:tc>
          <w:tcPr>
            <w:tcW w:w="720" w:type="dxa"/>
            <w:vAlign w:val="bottom"/>
            <w:tcBorders>
              <w:bottom w:val="single" w:sz="8" w:color="939598"/>
            </w:tcBorders>
          </w:tcPr>
          <w:p>
            <w:pPr>
              <w:spacing w:after="0" w:line="20" w:lineRule="exact"/>
              <w:rPr>
                <w:sz w:val="1"/>
                <w:szCs w:val="1"/>
                <w:color w:val="auto"/>
              </w:rPr>
            </w:pPr>
          </w:p>
        </w:tc>
      </w:tr>
      <w:tr>
        <w:trPr>
          <w:trHeight w:val="223"/>
        </w:trPr>
        <w:tc>
          <w:tcPr>
            <w:tcW w:w="7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attributable to interest expense</w:t>
            </w:r>
            <w:r>
              <w:rPr>
                <w:rFonts w:ascii="Arial" w:cs="Arial" w:eastAsia="Arial" w:hAnsi="Arial"/>
                <w:sz w:val="18"/>
                <w:szCs w:val="18"/>
                <w:color w:val="auto"/>
                <w:vertAlign w:val="superscript"/>
              </w:rPr>
              <w:t>(1)</w:t>
            </w:r>
          </w:p>
        </w:tc>
        <w:tc>
          <w:tcPr>
            <w:tcW w:w="260" w:type="dxa"/>
            <w:vAlign w:val="bottom"/>
            <w:tcBorders>
              <w:bottom w:val="single" w:sz="8" w:color="D7282F"/>
            </w:tcBorders>
          </w:tcPr>
          <w:p>
            <w:pPr>
              <w:spacing w:after="0"/>
              <w:rPr>
                <w:sz w:val="19"/>
                <w:szCs w:val="19"/>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(77)</w:t>
            </w:r>
          </w:p>
        </w:tc>
        <w:tc>
          <w:tcPr>
            <w:tcW w:w="400" w:type="dxa"/>
            <w:vAlign w:val="bottom"/>
            <w:tcBorders>
              <w:bottom w:val="single" w:sz="8" w:color="D7282F"/>
            </w:tcBorders>
          </w:tcPr>
          <w:p>
            <w:pPr>
              <w:spacing w:after="0"/>
              <w:rPr>
                <w:sz w:val="19"/>
                <w:szCs w:val="19"/>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(86)</w:t>
            </w:r>
          </w:p>
        </w:tc>
        <w:tc>
          <w:tcPr>
            <w:tcW w:w="400" w:type="dxa"/>
            <w:vAlign w:val="bottom"/>
            <w:tcBorders>
              <w:bottom w:val="single" w:sz="8" w:color="D7282F"/>
            </w:tcBorders>
          </w:tcPr>
          <w:p>
            <w:pPr>
              <w:spacing w:after="0"/>
              <w:rPr>
                <w:sz w:val="19"/>
                <w:szCs w:val="19"/>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(160)</w:t>
            </w:r>
          </w:p>
        </w:tc>
      </w:tr>
      <w:tr>
        <w:trPr>
          <w:trHeight w:val="217"/>
        </w:trPr>
        <w:tc>
          <w:tcPr>
            <w:tcW w:w="77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Adjusted net income before interest</w:t>
            </w:r>
          </w:p>
        </w:tc>
        <w:tc>
          <w:tcPr>
            <w:tcW w:w="26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5,910</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6,314</w:t>
            </w:r>
          </w:p>
        </w:tc>
        <w:tc>
          <w:tcPr>
            <w:tcW w:w="400" w:type="dxa"/>
            <w:vAlign w:val="bottom"/>
            <w:tcBorders>
              <w:bottom w:val="single" w:sz="8" w:color="D7282F"/>
            </w:tcBorders>
          </w:tcPr>
          <w:p>
            <w:pPr>
              <w:spacing w:after="0"/>
              <w:rPr>
                <w:sz w:val="18"/>
                <w:szCs w:val="18"/>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6,724</w:t>
            </w:r>
          </w:p>
        </w:tc>
      </w:tr>
      <w:tr>
        <w:trPr>
          <w:trHeight w:val="230"/>
        </w:trPr>
        <w:tc>
          <w:tcPr>
            <w:tcW w:w="77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Long-term debt</w:t>
            </w:r>
            <w:r>
              <w:rPr>
                <w:rFonts w:ascii="Arial" w:cs="Arial" w:eastAsia="Arial" w:hAnsi="Arial"/>
                <w:sz w:val="18"/>
                <w:szCs w:val="18"/>
                <w:color w:val="auto"/>
                <w:vertAlign w:val="superscript"/>
              </w:rPr>
              <w:t>(2)</w:t>
            </w:r>
          </w:p>
        </w:tc>
        <w:tc>
          <w:tcPr>
            <w:tcW w:w="26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15,298</w:t>
            </w:r>
          </w:p>
        </w:tc>
        <w:tc>
          <w:tcPr>
            <w:tcW w:w="4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14,689</w:t>
            </w:r>
          </w:p>
        </w:tc>
        <w:tc>
          <w:tcPr>
            <w:tcW w:w="40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15,843</w:t>
            </w:r>
          </w:p>
        </w:tc>
      </w:tr>
      <w:tr>
        <w:trPr>
          <w:trHeight w:val="223"/>
        </w:trPr>
        <w:tc>
          <w:tcPr>
            <w:tcW w:w="77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Current maturities of long-term debt</w:t>
            </w:r>
            <w:r>
              <w:rPr>
                <w:rFonts w:ascii="Arial" w:cs="Arial" w:eastAsia="Arial" w:hAnsi="Arial"/>
                <w:sz w:val="18"/>
                <w:szCs w:val="18"/>
                <w:color w:val="auto"/>
                <w:vertAlign w:val="superscript"/>
              </w:rPr>
              <w:t>(2)</w:t>
            </w:r>
          </w:p>
        </w:tc>
        <w:tc>
          <w:tcPr>
            <w:tcW w:w="26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2,124</w:t>
            </w:r>
          </w:p>
        </w:tc>
        <w:tc>
          <w:tcPr>
            <w:tcW w:w="4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1,767</w:t>
            </w:r>
          </w:p>
        </w:tc>
        <w:tc>
          <w:tcPr>
            <w:tcW w:w="40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1,763</w:t>
            </w:r>
          </w:p>
        </w:tc>
      </w:tr>
      <w:tr>
        <w:trPr>
          <w:trHeight w:val="223"/>
        </w:trPr>
        <w:tc>
          <w:tcPr>
            <w:tcW w:w="774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Commercial paper and other short-term borrowings</w:t>
            </w:r>
            <w:r>
              <w:rPr>
                <w:rFonts w:ascii="Arial" w:cs="Arial" w:eastAsia="Arial" w:hAnsi="Arial"/>
                <w:sz w:val="18"/>
                <w:szCs w:val="18"/>
                <w:color w:val="auto"/>
                <w:vertAlign w:val="superscript"/>
              </w:rPr>
              <w:t>(2)</w:t>
            </w:r>
          </w:p>
        </w:tc>
        <w:tc>
          <w:tcPr>
            <w:tcW w:w="260" w:type="dxa"/>
            <w:vAlign w:val="bottom"/>
            <w:tcBorders>
              <w:bottom w:val="single" w:sz="8" w:color="939598"/>
            </w:tcBorders>
          </w:tcPr>
          <w:p>
            <w:pPr>
              <w:spacing w:after="0"/>
              <w:rPr>
                <w:sz w:val="19"/>
                <w:szCs w:val="19"/>
                <w:color w:val="auto"/>
              </w:rPr>
            </w:pPr>
          </w:p>
        </w:tc>
        <w:tc>
          <w:tcPr>
            <w:tcW w:w="86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3,570</w:t>
            </w:r>
          </w:p>
        </w:tc>
        <w:tc>
          <w:tcPr>
            <w:tcW w:w="4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168"/>
              <w:spacing w:after="0"/>
              <w:rPr>
                <w:sz w:val="20"/>
                <w:szCs w:val="20"/>
                <w:color w:val="auto"/>
              </w:rPr>
            </w:pPr>
            <w:r>
              <w:rPr>
                <w:rFonts w:ascii="Arial" w:cs="Arial" w:eastAsia="Arial" w:hAnsi="Arial"/>
                <w:sz w:val="14"/>
                <w:szCs w:val="14"/>
                <w:color w:val="auto"/>
              </w:rPr>
              <w:t>3,130</w:t>
            </w:r>
          </w:p>
        </w:tc>
        <w:tc>
          <w:tcPr>
            <w:tcW w:w="400" w:type="dxa"/>
            <w:vAlign w:val="bottom"/>
            <w:tcBorders>
              <w:bottom w:val="single" w:sz="8" w:color="939598"/>
            </w:tcBorders>
          </w:tcPr>
          <w:p>
            <w:pPr>
              <w:spacing w:after="0"/>
              <w:rPr>
                <w:sz w:val="19"/>
                <w:szCs w:val="19"/>
                <w:color w:val="auto"/>
              </w:rPr>
            </w:pPr>
          </w:p>
        </w:tc>
        <w:tc>
          <w:tcPr>
            <w:tcW w:w="72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2,401</w:t>
            </w:r>
          </w:p>
        </w:tc>
      </w:tr>
      <w:tr>
        <w:trPr>
          <w:trHeight w:val="223"/>
        </w:trPr>
        <w:tc>
          <w:tcPr>
            <w:tcW w:w="7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Total shareowners' equity</w:t>
            </w:r>
            <w:r>
              <w:rPr>
                <w:rFonts w:ascii="Arial" w:cs="Arial" w:eastAsia="Arial" w:hAnsi="Arial"/>
                <w:sz w:val="18"/>
                <w:szCs w:val="18"/>
                <w:color w:val="auto"/>
                <w:vertAlign w:val="superscript"/>
              </w:rPr>
              <w:t>(2)</w:t>
            </w:r>
          </w:p>
        </w:tc>
        <w:tc>
          <w:tcPr>
            <w:tcW w:w="260" w:type="dxa"/>
            <w:vAlign w:val="bottom"/>
            <w:tcBorders>
              <w:bottom w:val="single" w:sz="8" w:color="D7282F"/>
            </w:tcBorders>
          </w:tcPr>
          <w:p>
            <w:pPr>
              <w:spacing w:after="0"/>
              <w:rPr>
                <w:sz w:val="19"/>
                <w:szCs w:val="19"/>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18,516</w:t>
            </w:r>
          </w:p>
        </w:tc>
        <w:tc>
          <w:tcPr>
            <w:tcW w:w="400" w:type="dxa"/>
            <w:vAlign w:val="bottom"/>
            <w:tcBorders>
              <w:bottom w:val="single" w:sz="8" w:color="D7282F"/>
            </w:tcBorders>
          </w:tcPr>
          <w:p>
            <w:pPr>
              <w:spacing w:after="0"/>
              <w:rPr>
                <w:sz w:val="19"/>
                <w:szCs w:val="19"/>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18,281</w:t>
            </w:r>
          </w:p>
        </w:tc>
        <w:tc>
          <w:tcPr>
            <w:tcW w:w="400" w:type="dxa"/>
            <w:vAlign w:val="bottom"/>
            <w:tcBorders>
              <w:bottom w:val="single" w:sz="8" w:color="D7282F"/>
            </w:tcBorders>
          </w:tcPr>
          <w:p>
            <w:pPr>
              <w:spacing w:after="0"/>
              <w:rPr>
                <w:sz w:val="19"/>
                <w:szCs w:val="19"/>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16,877</w:t>
            </w:r>
          </w:p>
        </w:tc>
      </w:tr>
      <w:tr>
        <w:trPr>
          <w:trHeight w:val="217"/>
        </w:trPr>
        <w:tc>
          <w:tcPr>
            <w:tcW w:w="77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investment (two-point average)</w:t>
            </w:r>
          </w:p>
        </w:tc>
        <w:tc>
          <w:tcPr>
            <w:tcW w:w="260" w:type="dxa"/>
            <w:vAlign w:val="bottom"/>
            <w:tcBorders>
              <w:bottom w:val="single" w:sz="8" w:color="D7282F"/>
            </w:tcBorders>
          </w:tcPr>
          <w:p>
            <w:pPr>
              <w:spacing w:after="0"/>
              <w:rPr>
                <w:sz w:val="18"/>
                <w:szCs w:val="18"/>
                <w:color w:val="auto"/>
              </w:rPr>
            </w:pPr>
          </w:p>
        </w:tc>
        <w:tc>
          <w:tcPr>
            <w:tcW w:w="8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39,508</w:t>
            </w:r>
          </w:p>
        </w:tc>
        <w:tc>
          <w:tcPr>
            <w:tcW w:w="400" w:type="dxa"/>
            <w:vAlign w:val="bottom"/>
            <w:tcBorders>
              <w:bottom w:val="single" w:sz="8" w:color="D7282F"/>
            </w:tcBorders>
          </w:tcPr>
          <w:p>
            <w:pPr>
              <w:spacing w:after="0"/>
              <w:rPr>
                <w:sz w:val="18"/>
                <w:szCs w:val="18"/>
                <w:color w:val="auto"/>
              </w:rPr>
            </w:pPr>
          </w:p>
        </w:tc>
        <w:tc>
          <w:tcPr>
            <w:tcW w:w="8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37,867</w:t>
            </w:r>
          </w:p>
        </w:tc>
        <w:tc>
          <w:tcPr>
            <w:tcW w:w="400" w:type="dxa"/>
            <w:vAlign w:val="bottom"/>
            <w:tcBorders>
              <w:bottom w:val="single" w:sz="8" w:color="D7282F"/>
            </w:tcBorders>
          </w:tcPr>
          <w:p>
            <w:pPr>
              <w:spacing w:after="0"/>
              <w:rPr>
                <w:sz w:val="18"/>
                <w:szCs w:val="18"/>
                <w:color w:val="auto"/>
              </w:rPr>
            </w:pPr>
          </w:p>
        </w:tc>
        <w:tc>
          <w:tcPr>
            <w:tcW w:w="7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36,884</w:t>
            </w:r>
          </w:p>
        </w:tc>
      </w:tr>
      <w:tr>
        <w:trPr>
          <w:trHeight w:val="223"/>
        </w:trPr>
        <w:tc>
          <w:tcPr>
            <w:tcW w:w="77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Return on invested capital</w:t>
            </w:r>
          </w:p>
        </w:tc>
        <w:tc>
          <w:tcPr>
            <w:tcW w:w="260" w:type="dxa"/>
            <w:vAlign w:val="bottom"/>
            <w:tcBorders>
              <w:bottom w:val="single" w:sz="8" w:color="D7282F"/>
            </w:tcBorders>
          </w:tcPr>
          <w:p>
            <w:pPr>
              <w:spacing w:after="0"/>
              <w:rPr>
                <w:sz w:val="19"/>
                <w:szCs w:val="19"/>
                <w:color w:val="auto"/>
              </w:rPr>
            </w:pPr>
          </w:p>
        </w:tc>
        <w:tc>
          <w:tcPr>
            <w:tcW w:w="8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15.0 %</w:t>
            </w:r>
          </w:p>
        </w:tc>
        <w:tc>
          <w:tcPr>
            <w:tcW w:w="400" w:type="dxa"/>
            <w:vAlign w:val="bottom"/>
            <w:tcBorders>
              <w:bottom w:val="single" w:sz="8" w:color="D7282F"/>
            </w:tcBorders>
          </w:tcPr>
          <w:p>
            <w:pPr>
              <w:spacing w:after="0"/>
              <w:rPr>
                <w:sz w:val="19"/>
                <w:szCs w:val="19"/>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16.7 %</w:t>
            </w:r>
          </w:p>
        </w:tc>
        <w:tc>
          <w:tcPr>
            <w:tcW w:w="400" w:type="dxa"/>
            <w:vAlign w:val="bottom"/>
            <w:tcBorders>
              <w:bottom w:val="single" w:sz="8" w:color="D7282F"/>
            </w:tcBorders>
          </w:tcPr>
          <w:p>
            <w:pPr>
              <w:spacing w:after="0"/>
              <w:rPr>
                <w:sz w:val="19"/>
                <w:szCs w:val="19"/>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18.2 %</w:t>
            </w:r>
          </w:p>
        </w:tc>
      </w:tr>
    </w:tbl>
    <w:p>
      <w:pPr>
        <w:spacing w:after="0" w:line="126" w:lineRule="exact"/>
        <w:rPr>
          <w:sz w:val="20"/>
          <w:szCs w:val="20"/>
          <w:color w:val="auto"/>
        </w:rPr>
      </w:pPr>
    </w:p>
    <w:p>
      <w:pPr>
        <w:ind w:left="200" w:hanging="192"/>
        <w:spacing w:after="0"/>
        <w:tabs>
          <w:tab w:leader="none" w:pos="200" w:val="left"/>
        </w:tabs>
        <w:numPr>
          <w:ilvl w:val="0"/>
          <w:numId w:val="220"/>
        </w:numPr>
        <w:rPr>
          <w:rFonts w:ascii="Arial" w:cs="Arial" w:eastAsia="Arial" w:hAnsi="Arial"/>
          <w:sz w:val="16"/>
          <w:szCs w:val="16"/>
          <w:color w:val="auto"/>
          <w:vertAlign w:val="superscript"/>
        </w:rPr>
      </w:pPr>
      <w:r>
        <w:rPr>
          <w:rFonts w:ascii="Arial" w:cs="Arial" w:eastAsia="Arial" w:hAnsi="Arial"/>
          <w:sz w:val="13"/>
          <w:szCs w:val="13"/>
          <w:color w:val="auto"/>
        </w:rPr>
        <w:t>Tax attributable to interest expense uses rates of 20.9%, 20.8%, and 22.5% for 2023, 2022, and 2021, respectively.</w:t>
      </w:r>
    </w:p>
    <w:p>
      <w:pPr>
        <w:spacing w:after="0" w:line="63" w:lineRule="exact"/>
        <w:rPr>
          <w:rFonts w:ascii="Arial" w:cs="Arial" w:eastAsia="Arial" w:hAnsi="Arial"/>
          <w:sz w:val="16"/>
          <w:szCs w:val="16"/>
          <w:color w:val="auto"/>
          <w:vertAlign w:val="superscript"/>
        </w:rPr>
      </w:pPr>
    </w:p>
    <w:p>
      <w:pPr>
        <w:ind w:left="200" w:right="300" w:hanging="192"/>
        <w:spacing w:after="0" w:line="226" w:lineRule="auto"/>
        <w:tabs>
          <w:tab w:leader="none" w:pos="200" w:val="left"/>
        </w:tabs>
        <w:numPr>
          <w:ilvl w:val="0"/>
          <w:numId w:val="220"/>
        </w:numPr>
        <w:rPr>
          <w:rFonts w:ascii="Arial" w:cs="Arial" w:eastAsia="Arial" w:hAnsi="Arial"/>
          <w:sz w:val="16"/>
          <w:szCs w:val="16"/>
          <w:color w:val="auto"/>
          <w:vertAlign w:val="superscript"/>
        </w:rPr>
      </w:pPr>
      <w:r>
        <w:rPr>
          <w:rFonts w:ascii="Arial" w:cs="Arial" w:eastAsia="Arial" w:hAnsi="Arial"/>
          <w:sz w:val="13"/>
          <w:szCs w:val="13"/>
          <w:color w:val="auto"/>
        </w:rPr>
        <w:t>Long-term debt, Current maturities of long-term debt, Commercial paper and other short-term borrowings, and Total shareowners' equity amounts are calculated as the average of the balance of each in the current year and year immediately preceding.</w:t>
      </w:r>
    </w:p>
    <w:p>
      <w:pPr>
        <w:spacing w:after="0" w:line="95"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We calculate adjusted net income before interest by taking adjusted net income attributable to Honeywell and adjusting for items as listed above. We calculate net investment (two-point average) as the sum of the two-year averages of the balance sheet categories listed above. We calculate return on invested capital (ROIC) by dividing adjusted net income before interest by net investment (two-point average) calculations presented above. We believe ROIC is a measure that is useful to investors and management in understanding our ability to generate growth on investments made in our business.</w:t>
      </w:r>
    </w:p>
    <w:p>
      <w:pPr>
        <w:spacing w:after="0" w:line="7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believe ROIC should be considered in addition to, not as a substitute for, operating income or loss, net income or loss, cash flows provided by or used in operating, investing, and financing activities, or other income statement or cash flow statement line items reported in accordance with GAAP. Other companies may calculate ROIC differently than we do, which may limit its usefulness as a comparative measure.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260" w:type="dxa"/>
            <w:vAlign w:val="bottom"/>
          </w:tcPr>
          <w:p>
            <w:pPr>
              <w:ind w:left="6840"/>
              <w:spacing w:after="0"/>
              <w:rPr>
                <w:sz w:val="20"/>
                <w:szCs w:val="20"/>
                <w:color w:val="auto"/>
              </w:rPr>
            </w:pPr>
            <w:r>
              <w:rPr>
                <w:rFonts w:ascii="Arial" w:cs="Arial" w:eastAsia="Arial" w:hAnsi="Arial"/>
                <w:sz w:val="13"/>
                <w:szCs w:val="13"/>
                <w:b w:val="1"/>
                <w:bCs w:val="1"/>
                <w:color w:val="6D6E71"/>
              </w:rPr>
              <w:t>2024 NOTICE AND PROXY STATEMENT   |</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37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-376555</wp:posOffset>
            </wp:positionV>
            <wp:extent cx="548640" cy="10287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48640" cy="10287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1440" w:right="1440" w:bottom="1440"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401955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rFonts w:ascii="Arial" w:cs="Arial" w:eastAsia="Arial" w:hAnsi="Arial"/>
          <w:sz w:val="44"/>
          <w:szCs w:val="44"/>
          <w:b w:val="1"/>
          <w:bCs w:val="1"/>
          <w:color w:val="auto"/>
        </w:rPr>
        <w:t>RECENT AWARDS</w:t>
      </w:r>
    </w:p>
    <w:p>
      <w:pPr>
        <w:sectPr>
          <w:pgSz w:w="11900" w:h="16838" w:orient="portrait"/>
          <w:cols w:equalWidth="0" w:num="1">
            <w:col w:w="11040"/>
          </w:cols>
          <w:pgMar w:left="320" w:top="107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CORPORATE REPUTATION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Equality 100 Award CEI Recipient</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Human Rights Campaign Foundation, 2023-2024</w:t>
      </w:r>
    </w:p>
    <w:p>
      <w:pPr>
        <w:spacing w:after="0" w:line="109" w:lineRule="exact"/>
        <w:rPr>
          <w:sz w:val="20"/>
          <w:szCs w:val="20"/>
          <w:color w:val="auto"/>
        </w:rPr>
      </w:pPr>
    </w:p>
    <w:p>
      <w:pPr>
        <w:ind w:right="1000"/>
        <w:spacing w:after="0" w:line="305" w:lineRule="auto"/>
        <w:rPr>
          <w:sz w:val="20"/>
          <w:szCs w:val="20"/>
          <w:color w:val="auto"/>
        </w:rPr>
      </w:pPr>
      <w:r>
        <w:rPr>
          <w:rFonts w:ascii="Arial" w:cs="Arial" w:eastAsia="Arial" w:hAnsi="Arial"/>
          <w:sz w:val="14"/>
          <w:szCs w:val="14"/>
          <w:b w:val="1"/>
          <w:bCs w:val="1"/>
          <w:color w:val="auto"/>
        </w:rPr>
        <w:t xml:space="preserve">Top Employer, Bronze Award </w:t>
      </w:r>
      <w:r>
        <w:rPr>
          <w:rFonts w:ascii="Arial" w:cs="Arial" w:eastAsia="Arial" w:hAnsi="Arial"/>
          <w:sz w:val="14"/>
          <w:szCs w:val="14"/>
          <w:color w:val="auto"/>
        </w:rPr>
        <w:t>India Workplace Equality Index. 2023</w:t>
      </w:r>
    </w:p>
    <w:p>
      <w:pPr>
        <w:spacing w:after="0" w:line="36" w:lineRule="exact"/>
        <w:rPr>
          <w:sz w:val="20"/>
          <w:szCs w:val="20"/>
          <w:color w:val="auto"/>
        </w:rPr>
      </w:pPr>
    </w:p>
    <w:p>
      <w:pPr>
        <w:spacing w:after="0" w:line="305" w:lineRule="auto"/>
        <w:rPr>
          <w:sz w:val="20"/>
          <w:szCs w:val="20"/>
          <w:color w:val="auto"/>
        </w:rPr>
      </w:pPr>
      <w:r>
        <w:rPr>
          <w:rFonts w:ascii="Arial" w:cs="Arial" w:eastAsia="Arial" w:hAnsi="Arial"/>
          <w:sz w:val="14"/>
          <w:szCs w:val="14"/>
          <w:b w:val="1"/>
          <w:bCs w:val="1"/>
          <w:color w:val="auto"/>
        </w:rPr>
        <w:t xml:space="preserve">Innovative Lawyers of North America, Operations </w:t>
      </w:r>
      <w:r>
        <w:rPr>
          <w:rFonts w:ascii="Arial" w:cs="Arial" w:eastAsia="Arial" w:hAnsi="Arial"/>
          <w:sz w:val="14"/>
          <w:szCs w:val="14"/>
          <w:color w:val="auto"/>
        </w:rPr>
        <w:t>Financial Times. 2023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Most Effective Globalization,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Honeywell Technology Solutions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Zinnov Awards. 2023</w:t>
      </w:r>
    </w:p>
    <w:p>
      <w:pPr>
        <w:spacing w:after="0" w:line="109"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b w:val="1"/>
          <w:bCs w:val="1"/>
          <w:color w:val="auto"/>
        </w:rPr>
        <w:t xml:space="preserve">Best Places to Work for Disability Inclusion </w:t>
      </w:r>
      <w:r>
        <w:rPr>
          <w:rFonts w:ascii="Arial" w:cs="Arial" w:eastAsia="Arial" w:hAnsi="Arial"/>
          <w:sz w:val="14"/>
          <w:szCs w:val="14"/>
          <w:color w:val="auto"/>
        </w:rPr>
        <w:t>Disability:In. 2022-2023</w:t>
      </w:r>
    </w:p>
    <w:p>
      <w:pPr>
        <w:spacing w:after="0" w:line="50" w:lineRule="exact"/>
        <w:rPr>
          <w:sz w:val="20"/>
          <w:szCs w:val="20"/>
          <w:color w:val="auto"/>
        </w:rPr>
      </w:pPr>
    </w:p>
    <w:p>
      <w:pPr>
        <w:ind w:right="1040"/>
        <w:spacing w:after="0" w:line="305" w:lineRule="auto"/>
        <w:rPr>
          <w:sz w:val="20"/>
          <w:szCs w:val="20"/>
          <w:color w:val="auto"/>
        </w:rPr>
      </w:pPr>
      <w:r>
        <w:rPr>
          <w:rFonts w:ascii="Arial" w:cs="Arial" w:eastAsia="Arial" w:hAnsi="Arial"/>
          <w:sz w:val="14"/>
          <w:szCs w:val="14"/>
          <w:b w:val="1"/>
          <w:bCs w:val="1"/>
          <w:color w:val="auto"/>
        </w:rPr>
        <w:t xml:space="preserve">World’s Most Admired Companies </w:t>
      </w:r>
      <w:r>
        <w:rPr>
          <w:rFonts w:ascii="Arial" w:cs="Arial" w:eastAsia="Arial" w:hAnsi="Arial"/>
          <w:sz w:val="14"/>
          <w:szCs w:val="14"/>
          <w:color w:val="auto"/>
        </w:rPr>
        <w:t>Fortune Magazine. 2006-2022</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Top 100 Companies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NAIC/BetterInvesting. 2021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World's Best Employers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Forbes. 2021</w:t>
      </w:r>
    </w:p>
    <w:p>
      <w:pPr>
        <w:spacing w:after="0" w:line="109" w:lineRule="exact"/>
        <w:rPr>
          <w:sz w:val="20"/>
          <w:szCs w:val="20"/>
          <w:color w:val="auto"/>
        </w:rPr>
      </w:pPr>
    </w:p>
    <w:p>
      <w:pPr>
        <w:ind w:right="1400"/>
        <w:spacing w:after="0" w:line="285" w:lineRule="auto"/>
        <w:rPr>
          <w:sz w:val="20"/>
          <w:szCs w:val="20"/>
          <w:color w:val="auto"/>
        </w:rPr>
      </w:pPr>
      <w:r>
        <w:rPr>
          <w:rFonts w:ascii="Arial" w:cs="Arial" w:eastAsia="Arial" w:hAnsi="Arial"/>
          <w:sz w:val="14"/>
          <w:szCs w:val="14"/>
          <w:b w:val="1"/>
          <w:bCs w:val="1"/>
          <w:color w:val="auto"/>
        </w:rPr>
        <w:t xml:space="preserve">America's Safest Companies </w:t>
      </w:r>
      <w:r>
        <w:rPr>
          <w:rFonts w:ascii="Arial" w:cs="Arial" w:eastAsia="Arial" w:hAnsi="Arial"/>
          <w:sz w:val="14"/>
          <w:szCs w:val="14"/>
          <w:color w:val="auto"/>
        </w:rPr>
        <w:t>EHS Today. 2021</w:t>
      </w:r>
    </w:p>
    <w:p>
      <w:pPr>
        <w:spacing w:after="0" w:line="63" w:lineRule="exact"/>
        <w:rPr>
          <w:sz w:val="20"/>
          <w:szCs w:val="20"/>
          <w:color w:val="auto"/>
        </w:rPr>
      </w:pPr>
    </w:p>
    <w:p>
      <w:pPr>
        <w:ind w:right="1340"/>
        <w:spacing w:after="0" w:line="305" w:lineRule="auto"/>
        <w:rPr>
          <w:sz w:val="20"/>
          <w:szCs w:val="20"/>
          <w:color w:val="auto"/>
        </w:rPr>
      </w:pPr>
      <w:r>
        <w:rPr>
          <w:rFonts w:ascii="Arial" w:cs="Arial" w:eastAsia="Arial" w:hAnsi="Arial"/>
          <w:sz w:val="14"/>
          <w:szCs w:val="14"/>
          <w:b w:val="1"/>
          <w:bCs w:val="1"/>
          <w:color w:val="auto"/>
        </w:rPr>
        <w:t xml:space="preserve">Most Honored Company </w:t>
      </w:r>
      <w:r>
        <w:rPr>
          <w:rFonts w:ascii="Arial" w:cs="Arial" w:eastAsia="Arial" w:hAnsi="Arial"/>
          <w:sz w:val="14"/>
          <w:szCs w:val="14"/>
          <w:color w:val="auto"/>
        </w:rPr>
        <w:t>Institutional Investor. 2015-2021</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Most Innovative Lawyers Award,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Digital Transformation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 Times. 2020</w:t>
      </w:r>
    </w:p>
    <w:p>
      <w:pPr>
        <w:spacing w:after="0" w:line="109" w:lineRule="exact"/>
        <w:rPr>
          <w:sz w:val="20"/>
          <w:szCs w:val="20"/>
          <w:color w:val="auto"/>
        </w:rPr>
      </w:pPr>
    </w:p>
    <w:p>
      <w:pPr>
        <w:ind w:right="800"/>
        <w:spacing w:after="0" w:line="305" w:lineRule="auto"/>
        <w:rPr>
          <w:sz w:val="20"/>
          <w:szCs w:val="20"/>
          <w:color w:val="auto"/>
        </w:rPr>
      </w:pPr>
      <w:r>
        <w:rPr>
          <w:rFonts w:ascii="Arial" w:cs="Arial" w:eastAsia="Arial" w:hAnsi="Arial"/>
          <w:sz w:val="14"/>
          <w:szCs w:val="14"/>
          <w:b w:val="1"/>
          <w:bCs w:val="1"/>
          <w:color w:val="auto"/>
        </w:rPr>
        <w:t xml:space="preserve">Top 25 Best Places to Work in Mexico </w:t>
      </w:r>
      <w:r>
        <w:rPr>
          <w:rFonts w:ascii="Arial" w:cs="Arial" w:eastAsia="Arial" w:hAnsi="Arial"/>
          <w:sz w:val="14"/>
          <w:szCs w:val="14"/>
          <w:color w:val="auto"/>
        </w:rPr>
        <w:t>Glassdoor. 2020</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Ethics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Golden Peacock Award. 2018, 2020</w:t>
      </w:r>
    </w:p>
    <w:p>
      <w:pPr>
        <w:spacing w:after="0" w:line="95" w:lineRule="exact"/>
        <w:rPr>
          <w:sz w:val="20"/>
          <w:szCs w:val="20"/>
          <w:color w:val="auto"/>
        </w:rPr>
      </w:pPr>
    </w:p>
    <w:p>
      <w:pPr>
        <w:ind w:right="200"/>
        <w:spacing w:after="0" w:line="305" w:lineRule="auto"/>
        <w:rPr>
          <w:sz w:val="20"/>
          <w:szCs w:val="20"/>
          <w:color w:val="auto"/>
        </w:rPr>
      </w:pPr>
      <w:r>
        <w:rPr>
          <w:rFonts w:ascii="Arial" w:cs="Arial" w:eastAsia="Arial" w:hAnsi="Arial"/>
          <w:sz w:val="14"/>
          <w:szCs w:val="14"/>
          <w:b w:val="1"/>
          <w:bCs w:val="1"/>
          <w:color w:val="auto"/>
        </w:rPr>
        <w:t xml:space="preserve">America’s Top 100 Most Reputable Companies </w:t>
      </w:r>
      <w:r>
        <w:rPr>
          <w:rFonts w:ascii="Arial" w:cs="Arial" w:eastAsia="Arial" w:hAnsi="Arial"/>
          <w:sz w:val="14"/>
          <w:szCs w:val="14"/>
          <w:color w:val="auto"/>
        </w:rPr>
        <w:t>Forbes Magazine. 2018-2019</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Best Business Tools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Newsweek. 2019</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LEADERSHIP</w:t>
      </w:r>
    </w:p>
    <w:p>
      <w:pPr>
        <w:spacing w:after="0" w:line="109" w:lineRule="exact"/>
        <w:rPr>
          <w:sz w:val="20"/>
          <w:szCs w:val="20"/>
          <w:color w:val="auto"/>
        </w:rPr>
      </w:pPr>
    </w:p>
    <w:p>
      <w:pPr>
        <w:ind w:right="940"/>
        <w:spacing w:after="0" w:line="305" w:lineRule="auto"/>
        <w:rPr>
          <w:sz w:val="20"/>
          <w:szCs w:val="20"/>
          <w:color w:val="auto"/>
        </w:rPr>
      </w:pPr>
      <w:r>
        <w:rPr>
          <w:rFonts w:ascii="Arial" w:cs="Arial" w:eastAsia="Arial" w:hAnsi="Arial"/>
          <w:sz w:val="14"/>
          <w:szCs w:val="14"/>
          <w:b w:val="1"/>
          <w:bCs w:val="1"/>
          <w:color w:val="auto"/>
        </w:rPr>
        <w:t xml:space="preserve">Best Companies for Future Leaders </w:t>
      </w:r>
      <w:r>
        <w:rPr>
          <w:rFonts w:ascii="Arial" w:cs="Arial" w:eastAsia="Arial" w:hAnsi="Arial"/>
          <w:sz w:val="14"/>
          <w:szCs w:val="14"/>
          <w:color w:val="auto"/>
        </w:rPr>
        <w:t>Time Magazine. 2024</w:t>
      </w:r>
    </w:p>
    <w:p>
      <w:pPr>
        <w:spacing w:after="0" w:line="50" w:lineRule="exact"/>
        <w:rPr>
          <w:sz w:val="20"/>
          <w:szCs w:val="20"/>
          <w:color w:val="auto"/>
        </w:rPr>
      </w:pPr>
    </w:p>
    <w:p>
      <w:pPr>
        <w:ind w:right="720"/>
        <w:spacing w:after="0" w:line="305" w:lineRule="auto"/>
        <w:rPr>
          <w:sz w:val="20"/>
          <w:szCs w:val="20"/>
          <w:color w:val="auto"/>
        </w:rPr>
      </w:pPr>
      <w:r>
        <w:rPr>
          <w:rFonts w:ascii="Arial" w:cs="Arial" w:eastAsia="Arial" w:hAnsi="Arial"/>
          <w:sz w:val="14"/>
          <w:szCs w:val="14"/>
          <w:b w:val="1"/>
          <w:bCs w:val="1"/>
          <w:color w:val="auto"/>
        </w:rPr>
        <w:t xml:space="preserve">Top 25 General Counsel, Anne Madden </w:t>
      </w:r>
      <w:r>
        <w:rPr>
          <w:rFonts w:ascii="Arial" w:cs="Arial" w:eastAsia="Arial" w:hAnsi="Arial"/>
          <w:sz w:val="14"/>
          <w:szCs w:val="14"/>
          <w:color w:val="auto"/>
        </w:rPr>
        <w:t>Attorney Intel. 2023</w:t>
      </w:r>
    </w:p>
    <w:p>
      <w:pPr>
        <w:spacing w:after="0" w:line="50" w:lineRule="exact"/>
        <w:rPr>
          <w:sz w:val="20"/>
          <w:szCs w:val="20"/>
          <w:color w:val="auto"/>
        </w:rPr>
      </w:pPr>
    </w:p>
    <w:p>
      <w:pPr>
        <w:ind w:right="1360"/>
        <w:spacing w:after="0" w:line="261" w:lineRule="auto"/>
        <w:rPr>
          <w:sz w:val="20"/>
          <w:szCs w:val="20"/>
          <w:color w:val="auto"/>
        </w:rPr>
      </w:pPr>
      <w:r>
        <w:rPr>
          <w:rFonts w:ascii="Arial" w:cs="Arial" w:eastAsia="Arial" w:hAnsi="Arial"/>
          <w:sz w:val="14"/>
          <w:szCs w:val="14"/>
          <w:b w:val="1"/>
          <w:bCs w:val="1"/>
          <w:color w:val="auto"/>
        </w:rPr>
        <w:t>Legend in Leadership Award, Darius Adamczyk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Yale Chief Executive Leadership Institute. 2022</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All-America Executive Team</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Institutional Investor, 2021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Most Admired CEO Award, Darius Adamczyk</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Charlotte Business Journal.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Best CEO, Darius Adamczyk</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Institutional Investor. 2018-2019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Best CFO, Gregory P. Lewis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Institutional Investor. 2019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GC 20, Anne T. Madden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Financial Times. 2019</w:t>
      </w:r>
    </w:p>
    <w:p>
      <w:pPr>
        <w:spacing w:after="0" w:line="109" w:lineRule="exact"/>
        <w:rPr>
          <w:sz w:val="20"/>
          <w:szCs w:val="20"/>
          <w:color w:val="auto"/>
        </w:rPr>
      </w:pPr>
    </w:p>
    <w:p>
      <w:pPr>
        <w:ind w:right="360"/>
        <w:spacing w:after="0" w:line="272" w:lineRule="auto"/>
        <w:rPr>
          <w:sz w:val="20"/>
          <w:szCs w:val="20"/>
          <w:color w:val="auto"/>
        </w:rPr>
      </w:pPr>
      <w:r>
        <w:rPr>
          <w:rFonts w:ascii="Arial" w:cs="Arial" w:eastAsia="Arial" w:hAnsi="Arial"/>
          <w:sz w:val="14"/>
          <w:szCs w:val="14"/>
          <w:b w:val="1"/>
          <w:bCs w:val="1"/>
          <w:color w:val="auto"/>
        </w:rPr>
        <w:t>General Counsel Global 100 Influencer USA, Anne T. Madden</w:t>
      </w:r>
    </w:p>
    <w:p>
      <w:pPr>
        <w:spacing w:after="0"/>
        <w:rPr>
          <w:sz w:val="20"/>
          <w:szCs w:val="20"/>
          <w:color w:val="auto"/>
        </w:rPr>
      </w:pPr>
      <w:r>
        <w:rPr>
          <w:rFonts w:ascii="Arial" w:cs="Arial" w:eastAsia="Arial" w:hAnsi="Arial"/>
          <w:sz w:val="14"/>
          <w:szCs w:val="14"/>
          <w:color w:val="auto"/>
        </w:rPr>
        <w:t>Chambers. 2019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INCLUSION AND DIVERSITY</w:t>
      </w:r>
    </w:p>
    <w:p>
      <w:pPr>
        <w:spacing w:after="0" w:line="123" w:lineRule="exact"/>
        <w:rPr>
          <w:sz w:val="20"/>
          <w:szCs w:val="20"/>
          <w:color w:val="auto"/>
        </w:rPr>
      </w:pPr>
    </w:p>
    <w:p>
      <w:pPr>
        <w:ind w:right="660"/>
        <w:spacing w:after="0" w:line="272" w:lineRule="auto"/>
        <w:rPr>
          <w:sz w:val="20"/>
          <w:szCs w:val="20"/>
          <w:color w:val="auto"/>
        </w:rPr>
      </w:pPr>
      <w:r>
        <w:rPr>
          <w:rFonts w:ascii="Arial" w:cs="Arial" w:eastAsia="Arial" w:hAnsi="Arial"/>
          <w:sz w:val="14"/>
          <w:szCs w:val="14"/>
          <w:b w:val="1"/>
          <w:bCs w:val="1"/>
          <w:color w:val="auto"/>
        </w:rPr>
        <w:t>Most Influential Executive in Diversity &amp; Inclusion, Cheya Dunlap</w:t>
      </w:r>
    </w:p>
    <w:p>
      <w:pPr>
        <w:spacing w:after="0"/>
        <w:rPr>
          <w:sz w:val="20"/>
          <w:szCs w:val="20"/>
          <w:color w:val="auto"/>
        </w:rPr>
      </w:pPr>
      <w:r>
        <w:rPr>
          <w:rFonts w:ascii="Arial" w:cs="Arial" w:eastAsia="Arial" w:hAnsi="Arial"/>
          <w:sz w:val="14"/>
          <w:szCs w:val="14"/>
          <w:color w:val="auto"/>
        </w:rPr>
        <w:t>Savoy Magazine. 2023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Top 100 Diversity Officer, Cheya Dunlap</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Diversity First. 2022</w:t>
      </w:r>
    </w:p>
    <w:p>
      <w:pPr>
        <w:spacing w:after="0" w:line="109" w:lineRule="exact"/>
        <w:rPr>
          <w:sz w:val="20"/>
          <w:szCs w:val="20"/>
          <w:color w:val="auto"/>
        </w:rPr>
      </w:pPr>
    </w:p>
    <w:p>
      <w:pPr>
        <w:ind w:right="640"/>
        <w:spacing w:after="0" w:line="305" w:lineRule="auto"/>
        <w:rPr>
          <w:sz w:val="20"/>
          <w:szCs w:val="20"/>
          <w:color w:val="auto"/>
        </w:rPr>
      </w:pPr>
      <w:r>
        <w:rPr>
          <w:rFonts w:ascii="Arial" w:cs="Arial" w:eastAsia="Arial" w:hAnsi="Arial"/>
          <w:sz w:val="14"/>
          <w:szCs w:val="14"/>
          <w:b w:val="1"/>
          <w:bCs w:val="1"/>
          <w:color w:val="auto"/>
        </w:rPr>
        <w:t xml:space="preserve">Top 50 Employers for Women Engineers </w:t>
      </w:r>
      <w:r>
        <w:rPr>
          <w:rFonts w:ascii="Arial" w:cs="Arial" w:eastAsia="Arial" w:hAnsi="Arial"/>
          <w:sz w:val="14"/>
          <w:szCs w:val="14"/>
          <w:color w:val="auto"/>
        </w:rPr>
        <w:t>Woman Engineer Magazine. 2022</w:t>
      </w:r>
    </w:p>
    <w:p>
      <w:pPr>
        <w:spacing w:after="0" w:line="50" w:lineRule="exact"/>
        <w:rPr>
          <w:sz w:val="20"/>
          <w:szCs w:val="20"/>
          <w:color w:val="auto"/>
        </w:rPr>
      </w:pPr>
    </w:p>
    <w:p>
      <w:pPr>
        <w:ind w:right="460"/>
        <w:spacing w:after="0" w:line="261" w:lineRule="auto"/>
        <w:rPr>
          <w:sz w:val="20"/>
          <w:szCs w:val="20"/>
          <w:color w:val="auto"/>
        </w:rPr>
      </w:pPr>
      <w:r>
        <w:rPr>
          <w:rFonts w:ascii="Arial" w:cs="Arial" w:eastAsia="Arial" w:hAnsi="Arial"/>
          <w:sz w:val="14"/>
          <w:szCs w:val="14"/>
          <w:b w:val="1"/>
          <w:bCs w:val="1"/>
          <w:color w:val="auto"/>
        </w:rPr>
        <w:t>Most Influential Black Corporate Directors, Deborah Flint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Savoy Magazine. 2021</w:t>
      </w:r>
    </w:p>
    <w:p>
      <w:pPr>
        <w:spacing w:after="0" w:line="109"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b w:val="1"/>
          <w:bCs w:val="1"/>
          <w:color w:val="auto"/>
        </w:rPr>
        <w:t>Most Influential Black Corporate Directors, Robin L. Washington</w:t>
      </w:r>
    </w:p>
    <w:p>
      <w:pPr>
        <w:spacing w:after="0"/>
        <w:rPr>
          <w:sz w:val="20"/>
          <w:szCs w:val="20"/>
          <w:color w:val="auto"/>
        </w:rPr>
      </w:pPr>
      <w:r>
        <w:rPr>
          <w:rFonts w:ascii="Arial" w:cs="Arial" w:eastAsia="Arial" w:hAnsi="Arial"/>
          <w:sz w:val="14"/>
          <w:szCs w:val="14"/>
          <w:color w:val="auto"/>
        </w:rPr>
        <w:t>Savoy Magazine. 2021, 2017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Top 50 Employers List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Minority Engineer Magazine. 2019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Women Worth Watching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Diversity Journal. 2005, 2007, 2010-2019</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Best for Vets: Employers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Military Times. 2017, 2019</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TECHNOLOGY</w:t>
      </w:r>
    </w:p>
    <w:p>
      <w:pPr>
        <w:spacing w:after="0" w:line="123" w:lineRule="exact"/>
        <w:rPr>
          <w:sz w:val="20"/>
          <w:szCs w:val="20"/>
          <w:color w:val="auto"/>
        </w:rPr>
      </w:pPr>
    </w:p>
    <w:p>
      <w:pPr>
        <w:ind w:right="60"/>
        <w:spacing w:after="0" w:line="314" w:lineRule="auto"/>
        <w:rPr>
          <w:sz w:val="20"/>
          <w:szCs w:val="20"/>
          <w:color w:val="auto"/>
        </w:rPr>
      </w:pPr>
      <w:r>
        <w:rPr>
          <w:rFonts w:ascii="Arial" w:cs="Arial" w:eastAsia="Arial" w:hAnsi="Arial"/>
          <w:sz w:val="14"/>
          <w:szCs w:val="14"/>
          <w:b w:val="1"/>
          <w:bCs w:val="1"/>
          <w:color w:val="auto"/>
        </w:rPr>
        <w:t>Top 30 Most Resilient Suppliers in the High-Tech Industry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Resilinc, 2023</w:t>
      </w:r>
    </w:p>
    <w:p>
      <w:pPr>
        <w:spacing w:after="0" w:line="123" w:lineRule="exact"/>
        <w:rPr>
          <w:sz w:val="20"/>
          <w:szCs w:val="20"/>
          <w:color w:val="auto"/>
        </w:rPr>
      </w:pPr>
    </w:p>
    <w:p>
      <w:pPr>
        <w:ind w:right="340"/>
        <w:spacing w:after="0" w:line="261" w:lineRule="auto"/>
        <w:rPr>
          <w:sz w:val="20"/>
          <w:szCs w:val="20"/>
          <w:color w:val="auto"/>
        </w:rPr>
      </w:pPr>
      <w:r>
        <w:rPr>
          <w:rFonts w:ascii="Arial" w:cs="Arial" w:eastAsia="Arial" w:hAnsi="Arial"/>
          <w:sz w:val="14"/>
          <w:szCs w:val="14"/>
          <w:b w:val="1"/>
          <w:bCs w:val="1"/>
          <w:color w:val="auto"/>
        </w:rPr>
        <w:t>Technical Innovation of the Year, MK Electric Connected Power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BCIA. 2023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Golden Globe, IT Innovation, Honeywell Sine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Golden Bridge Business and Innovation Awards.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2023</w:t>
      </w:r>
    </w:p>
    <w:p>
      <w:pPr>
        <w:spacing w:after="0" w:line="95" w:lineRule="exact"/>
        <w:rPr>
          <w:sz w:val="20"/>
          <w:szCs w:val="20"/>
          <w:color w:val="auto"/>
        </w:rPr>
      </w:pPr>
    </w:p>
    <w:p>
      <w:pPr>
        <w:spacing w:after="0" w:line="272" w:lineRule="auto"/>
        <w:rPr>
          <w:sz w:val="20"/>
          <w:szCs w:val="20"/>
          <w:color w:val="auto"/>
        </w:rPr>
      </w:pPr>
      <w:r>
        <w:rPr>
          <w:rFonts w:ascii="Arial" w:cs="Arial" w:eastAsia="Arial" w:hAnsi="Arial"/>
          <w:sz w:val="14"/>
          <w:szCs w:val="14"/>
          <w:b w:val="1"/>
          <w:bCs w:val="1"/>
          <w:color w:val="auto"/>
        </w:rPr>
        <w:t>Gold Winner, Honeywell Sine Visitor Management Software</w:t>
      </w:r>
    </w:p>
    <w:p>
      <w:pPr>
        <w:spacing w:after="0"/>
        <w:rPr>
          <w:sz w:val="20"/>
          <w:szCs w:val="20"/>
          <w:color w:val="auto"/>
        </w:rPr>
      </w:pPr>
      <w:r>
        <w:rPr>
          <w:rFonts w:ascii="Arial" w:cs="Arial" w:eastAsia="Arial" w:hAnsi="Arial"/>
          <w:sz w:val="14"/>
          <w:szCs w:val="14"/>
          <w:color w:val="auto"/>
        </w:rPr>
        <w:t>Titan Awards. 2023</w:t>
      </w:r>
    </w:p>
    <w:p>
      <w:pPr>
        <w:spacing w:after="0" w:line="109"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b w:val="1"/>
          <w:bCs w:val="1"/>
          <w:color w:val="auto"/>
        </w:rPr>
        <w:t>Gold Winner, Honeywell Forge for Industrial and IoT Analytics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Titan Awards. 2023</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Top Product Award, UOP Ecofining</w:t>
      </w:r>
      <w:r>
        <w:rPr>
          <w:rFonts w:ascii="Arial" w:cs="Arial" w:eastAsia="Arial" w:hAnsi="Arial"/>
          <w:sz w:val="18"/>
          <w:szCs w:val="18"/>
          <w:b w:val="1"/>
          <w:bCs w:val="1"/>
          <w:color w:val="auto"/>
          <w:vertAlign w:val="superscript"/>
        </w:rPr>
        <w:t>TM</w:t>
      </w:r>
    </w:p>
    <w:p>
      <w:pPr>
        <w:spacing w:after="0"/>
        <w:rPr>
          <w:sz w:val="20"/>
          <w:szCs w:val="20"/>
          <w:color w:val="auto"/>
        </w:rPr>
      </w:pPr>
      <w:r>
        <w:rPr>
          <w:rFonts w:ascii="Arial" w:cs="Arial" w:eastAsia="Arial" w:hAnsi="Arial"/>
          <w:sz w:val="14"/>
          <w:szCs w:val="14"/>
          <w:color w:val="auto"/>
        </w:rPr>
        <w:t>Environment + Energy Leader.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533400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b w:val="1"/>
          <w:bCs w:val="1"/>
          <w:color w:val="auto"/>
        </w:rPr>
        <w:t>Champion in Manufacturing Execution Systems, Honeywell Forge</w:t>
      </w:r>
    </w:p>
    <w:p>
      <w:pPr>
        <w:spacing w:after="0"/>
        <w:rPr>
          <w:sz w:val="20"/>
          <w:szCs w:val="20"/>
          <w:color w:val="auto"/>
        </w:rPr>
      </w:pPr>
      <w:r>
        <w:rPr>
          <w:rFonts w:ascii="Arial" w:cs="Arial" w:eastAsia="Arial" w:hAnsi="Arial"/>
          <w:sz w:val="14"/>
          <w:szCs w:val="14"/>
          <w:color w:val="auto"/>
        </w:rPr>
        <w:t>SoftwareReviews. 2023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Top 50 Most Innovative Companies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Boston Consulting Group. 2023</w:t>
      </w:r>
    </w:p>
    <w:p>
      <w:pPr>
        <w:spacing w:after="0" w:line="95" w:lineRule="exact"/>
        <w:rPr>
          <w:sz w:val="20"/>
          <w:szCs w:val="20"/>
          <w:color w:val="auto"/>
        </w:rPr>
      </w:pPr>
    </w:p>
    <w:p>
      <w:pPr>
        <w:ind w:right="740"/>
        <w:spacing w:after="0" w:line="272" w:lineRule="auto"/>
        <w:rPr>
          <w:sz w:val="20"/>
          <w:szCs w:val="20"/>
          <w:color w:val="auto"/>
        </w:rPr>
      </w:pPr>
      <w:r>
        <w:rPr>
          <w:rFonts w:ascii="Arial" w:cs="Arial" w:eastAsia="Arial" w:hAnsi="Arial"/>
          <w:sz w:val="14"/>
          <w:szCs w:val="14"/>
          <w:b w:val="1"/>
          <w:bCs w:val="1"/>
          <w:color w:val="auto"/>
        </w:rPr>
        <w:t>Golden Peacock Award, Ethanol-to-jet Technology</w:t>
      </w:r>
    </w:p>
    <w:p>
      <w:pPr>
        <w:spacing w:after="0"/>
        <w:rPr>
          <w:sz w:val="20"/>
          <w:szCs w:val="20"/>
          <w:color w:val="auto"/>
        </w:rPr>
      </w:pPr>
      <w:r>
        <w:rPr>
          <w:rFonts w:ascii="Arial" w:cs="Arial" w:eastAsia="Arial" w:hAnsi="Arial"/>
          <w:sz w:val="14"/>
          <w:szCs w:val="14"/>
          <w:color w:val="auto"/>
        </w:rPr>
        <w:t>Institute of Directors. 2023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Top 100 Global Innovator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Clarivate. 2023</w:t>
      </w:r>
    </w:p>
    <w:p>
      <w:pPr>
        <w:spacing w:after="0" w:line="109" w:lineRule="exact"/>
        <w:rPr>
          <w:sz w:val="20"/>
          <w:szCs w:val="20"/>
          <w:color w:val="auto"/>
        </w:rPr>
      </w:pPr>
    </w:p>
    <w:p>
      <w:pPr>
        <w:ind w:right="80"/>
        <w:spacing w:after="0" w:line="305" w:lineRule="auto"/>
        <w:rPr>
          <w:sz w:val="20"/>
          <w:szCs w:val="20"/>
          <w:color w:val="auto"/>
        </w:rPr>
      </w:pPr>
      <w:r>
        <w:rPr>
          <w:rFonts w:ascii="Arial" w:cs="Arial" w:eastAsia="Arial" w:hAnsi="Arial"/>
          <w:sz w:val="14"/>
          <w:szCs w:val="14"/>
          <w:b w:val="1"/>
          <w:bCs w:val="1"/>
          <w:color w:val="auto"/>
        </w:rPr>
        <w:t xml:space="preserve">Business Solution of the Year, Honeywell Forge </w:t>
      </w:r>
      <w:r>
        <w:rPr>
          <w:rFonts w:ascii="Arial" w:cs="Arial" w:eastAsia="Arial" w:hAnsi="Arial"/>
          <w:sz w:val="14"/>
          <w:szCs w:val="14"/>
          <w:color w:val="auto"/>
        </w:rPr>
        <w:t>Data Breakthrough Awards. 2022</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IoT Product of the Year Award,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Honeywell Forge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IoT Evolution World. 2022</w:t>
      </w:r>
    </w:p>
    <w:p>
      <w:pPr>
        <w:spacing w:after="0" w:line="109" w:lineRule="exact"/>
        <w:rPr>
          <w:sz w:val="20"/>
          <w:szCs w:val="20"/>
          <w:color w:val="auto"/>
        </w:rPr>
      </w:pPr>
    </w:p>
    <w:p>
      <w:pPr>
        <w:ind w:right="1420"/>
        <w:spacing w:after="0" w:line="272" w:lineRule="auto"/>
        <w:rPr>
          <w:sz w:val="20"/>
          <w:szCs w:val="20"/>
          <w:color w:val="auto"/>
        </w:rPr>
      </w:pPr>
      <w:r>
        <w:rPr>
          <w:rFonts w:ascii="Arial" w:cs="Arial" w:eastAsia="Arial" w:hAnsi="Arial"/>
          <w:sz w:val="14"/>
          <w:szCs w:val="14"/>
          <w:b w:val="1"/>
          <w:bCs w:val="1"/>
          <w:color w:val="auto"/>
        </w:rPr>
        <w:t>Golden Globe - Cloud/SaaS, Honeywell Forge</w:t>
      </w:r>
    </w:p>
    <w:p>
      <w:pPr>
        <w:ind w:right="240"/>
        <w:spacing w:after="0" w:line="284" w:lineRule="auto"/>
        <w:rPr>
          <w:sz w:val="20"/>
          <w:szCs w:val="20"/>
          <w:color w:val="auto"/>
        </w:rPr>
      </w:pPr>
      <w:r>
        <w:rPr>
          <w:rFonts w:ascii="Arial" w:cs="Arial" w:eastAsia="Arial" w:hAnsi="Arial"/>
          <w:sz w:val="14"/>
          <w:szCs w:val="14"/>
          <w:color w:val="auto"/>
        </w:rPr>
        <w:t>Golden Bridge Business and Innovation Awards. 2022</w:t>
      </w:r>
    </w:p>
    <w:p>
      <w:pPr>
        <w:spacing w:after="0" w:line="50"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color w:val="auto"/>
        </w:rPr>
        <w:t xml:space="preserve">Best Overall Business Technology Solution/Best Emerging Technology, Honeywell Forge </w:t>
      </w:r>
      <w:r>
        <w:rPr>
          <w:rFonts w:ascii="Arial" w:cs="Arial" w:eastAsia="Arial" w:hAnsi="Arial"/>
          <w:sz w:val="14"/>
          <w:szCs w:val="14"/>
          <w:color w:val="auto"/>
        </w:rPr>
        <w:t>Software &amp; Information Industry Association CODiE Awards. 2022</w:t>
      </w:r>
    </w:p>
    <w:p>
      <w:pPr>
        <w:spacing w:after="0" w:line="69" w:lineRule="exact"/>
        <w:rPr>
          <w:sz w:val="20"/>
          <w:szCs w:val="20"/>
          <w:color w:val="auto"/>
        </w:rPr>
      </w:pPr>
    </w:p>
    <w:p>
      <w:pPr>
        <w:ind w:right="880"/>
        <w:spacing w:after="0" w:line="285" w:lineRule="auto"/>
        <w:rPr>
          <w:sz w:val="20"/>
          <w:szCs w:val="20"/>
          <w:color w:val="auto"/>
        </w:rPr>
      </w:pPr>
      <w:r>
        <w:rPr>
          <w:rFonts w:ascii="Arial" w:cs="Arial" w:eastAsia="Arial" w:hAnsi="Arial"/>
          <w:sz w:val="14"/>
          <w:szCs w:val="14"/>
          <w:b w:val="1"/>
          <w:bCs w:val="1"/>
          <w:color w:val="auto"/>
        </w:rPr>
        <w:t xml:space="preserve">World’s Most Innovative Companies </w:t>
      </w:r>
      <w:r>
        <w:rPr>
          <w:rFonts w:ascii="Arial" w:cs="Arial" w:eastAsia="Arial" w:hAnsi="Arial"/>
          <w:sz w:val="14"/>
          <w:szCs w:val="14"/>
          <w:color w:val="auto"/>
        </w:rPr>
        <w:t>Fast Company. 2021</w:t>
      </w:r>
    </w:p>
    <w:p>
      <w:pPr>
        <w:spacing w:after="0" w:line="63" w:lineRule="exact"/>
        <w:rPr>
          <w:sz w:val="20"/>
          <w:szCs w:val="20"/>
          <w:color w:val="auto"/>
        </w:rPr>
      </w:pPr>
    </w:p>
    <w:p>
      <w:pPr>
        <w:ind w:right="480"/>
        <w:spacing w:after="0" w:line="305" w:lineRule="auto"/>
        <w:rPr>
          <w:sz w:val="20"/>
          <w:szCs w:val="20"/>
          <w:color w:val="auto"/>
        </w:rPr>
      </w:pPr>
      <w:r>
        <w:rPr>
          <w:rFonts w:ascii="Arial" w:cs="Arial" w:eastAsia="Arial" w:hAnsi="Arial"/>
          <w:sz w:val="14"/>
          <w:szCs w:val="14"/>
          <w:b w:val="1"/>
          <w:bCs w:val="1"/>
          <w:color w:val="auto"/>
        </w:rPr>
        <w:t xml:space="preserve">Global Customer Value Leadership Award </w:t>
      </w:r>
      <w:r>
        <w:rPr>
          <w:rFonts w:ascii="Arial" w:cs="Arial" w:eastAsia="Arial" w:hAnsi="Arial"/>
          <w:sz w:val="14"/>
          <w:szCs w:val="14"/>
          <w:color w:val="auto"/>
        </w:rPr>
        <w:t>Frost and Sullivan. 2019</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D7282F"/>
        </w:rPr>
        <w:t>CORPORATE RESPONSIBILITY</w:t>
      </w:r>
    </w:p>
    <w:p>
      <w:pPr>
        <w:spacing w:after="0" w:line="123"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color w:val="auto"/>
        </w:rPr>
        <w:t xml:space="preserve">Matching Gift Partner of the Year Award </w:t>
      </w:r>
      <w:r>
        <w:rPr>
          <w:rFonts w:ascii="Arial" w:cs="Arial" w:eastAsia="Arial" w:hAnsi="Arial"/>
          <w:sz w:val="14"/>
          <w:szCs w:val="14"/>
          <w:color w:val="auto"/>
        </w:rPr>
        <w:t>ALSAC/St. Jude Children's Research Hospital. 2023</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CSR Health Impact Award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IHW Council. 2023</w:t>
      </w:r>
    </w:p>
    <w:p>
      <w:pPr>
        <w:spacing w:after="0" w:line="109" w:lineRule="exact"/>
        <w:rPr>
          <w:sz w:val="20"/>
          <w:szCs w:val="20"/>
          <w:color w:val="auto"/>
        </w:rPr>
      </w:pPr>
    </w:p>
    <w:p>
      <w:pPr>
        <w:ind w:right="1120"/>
        <w:spacing w:after="0" w:line="305" w:lineRule="auto"/>
        <w:rPr>
          <w:sz w:val="20"/>
          <w:szCs w:val="20"/>
          <w:color w:val="auto"/>
        </w:rPr>
      </w:pPr>
      <w:r>
        <w:rPr>
          <w:rFonts w:ascii="Arial" w:cs="Arial" w:eastAsia="Arial" w:hAnsi="Arial"/>
          <w:sz w:val="14"/>
          <w:szCs w:val="14"/>
          <w:b w:val="1"/>
          <w:bCs w:val="1"/>
          <w:color w:val="auto"/>
        </w:rPr>
        <w:t xml:space="preserve">World’s Most Ethical Companies </w:t>
      </w:r>
      <w:r>
        <w:rPr>
          <w:rFonts w:ascii="Arial" w:cs="Arial" w:eastAsia="Arial" w:hAnsi="Arial"/>
          <w:sz w:val="14"/>
          <w:szCs w:val="14"/>
          <w:color w:val="auto"/>
        </w:rPr>
        <w:t>Ethisphere Institute. 2020-2022</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Excellence in CSR</w:t>
      </w:r>
    </w:p>
    <w:p>
      <w:pPr>
        <w:spacing w:after="0" w:line="29" w:lineRule="exact"/>
        <w:rPr>
          <w:sz w:val="20"/>
          <w:szCs w:val="20"/>
          <w:color w:val="auto"/>
        </w:rPr>
      </w:pPr>
    </w:p>
    <w:p>
      <w:pPr>
        <w:ind w:right="140"/>
        <w:spacing w:after="0" w:line="284" w:lineRule="auto"/>
        <w:rPr>
          <w:sz w:val="20"/>
          <w:szCs w:val="20"/>
          <w:color w:val="auto"/>
        </w:rPr>
      </w:pPr>
      <w:r>
        <w:rPr>
          <w:rFonts w:ascii="Arial" w:cs="Arial" w:eastAsia="Arial" w:hAnsi="Arial"/>
          <w:sz w:val="14"/>
          <w:szCs w:val="14"/>
          <w:color w:val="auto"/>
        </w:rPr>
        <w:t>Ministry of Corporate Affairs, Government of India. 2022</w:t>
      </w:r>
    </w:p>
    <w:p>
      <w:pPr>
        <w:spacing w:after="0" w:line="64" w:lineRule="exact"/>
        <w:rPr>
          <w:sz w:val="20"/>
          <w:szCs w:val="20"/>
          <w:color w:val="auto"/>
        </w:rPr>
      </w:pPr>
    </w:p>
    <w:p>
      <w:pPr>
        <w:ind w:right="280"/>
        <w:spacing w:after="0" w:line="305" w:lineRule="auto"/>
        <w:rPr>
          <w:sz w:val="20"/>
          <w:szCs w:val="20"/>
          <w:color w:val="auto"/>
        </w:rPr>
      </w:pPr>
      <w:r>
        <w:rPr>
          <w:rFonts w:ascii="Arial" w:cs="Arial" w:eastAsia="Arial" w:hAnsi="Arial"/>
          <w:sz w:val="14"/>
          <w:szCs w:val="14"/>
          <w:b w:val="1"/>
          <w:bCs w:val="1"/>
          <w:color w:val="auto"/>
        </w:rPr>
        <w:t xml:space="preserve">Environmental Stewardship Innovator Award </w:t>
      </w:r>
      <w:r>
        <w:rPr>
          <w:rFonts w:ascii="Arial" w:cs="Arial" w:eastAsia="Arial" w:hAnsi="Arial"/>
          <w:sz w:val="14"/>
          <w:szCs w:val="14"/>
          <w:color w:val="auto"/>
        </w:rPr>
        <w:t>Loyola University Chicago. 2021</w:t>
      </w:r>
    </w:p>
    <w:p>
      <w:pPr>
        <w:spacing w:after="0" w:line="36" w:lineRule="exact"/>
        <w:rPr>
          <w:sz w:val="20"/>
          <w:szCs w:val="20"/>
          <w:color w:val="auto"/>
        </w:rPr>
      </w:pPr>
    </w:p>
    <w:p>
      <w:pPr>
        <w:jc w:val="both"/>
        <w:ind w:right="200"/>
        <w:spacing w:after="0" w:line="283" w:lineRule="auto"/>
        <w:rPr>
          <w:sz w:val="20"/>
          <w:szCs w:val="20"/>
          <w:color w:val="auto"/>
        </w:rPr>
      </w:pPr>
      <w:r>
        <w:rPr>
          <w:rFonts w:ascii="Arial" w:cs="Arial" w:eastAsia="Arial" w:hAnsi="Arial"/>
          <w:sz w:val="14"/>
          <w:szCs w:val="14"/>
          <w:b w:val="1"/>
          <w:bCs w:val="1"/>
          <w:color w:val="auto"/>
        </w:rPr>
        <w:t xml:space="preserve">Corporate Citizenship Award, Large Company </w:t>
      </w:r>
      <w:r>
        <w:rPr>
          <w:rFonts w:ascii="Arial" w:cs="Arial" w:eastAsia="Arial" w:hAnsi="Arial"/>
          <w:sz w:val="14"/>
          <w:szCs w:val="14"/>
          <w:color w:val="auto"/>
        </w:rPr>
        <w:t>Boston College Center for Corporate Citizenship. 2021</w:t>
      </w:r>
    </w:p>
    <w:p>
      <w:pPr>
        <w:spacing w:after="0" w:line="65" w:lineRule="exact"/>
        <w:rPr>
          <w:sz w:val="20"/>
          <w:szCs w:val="20"/>
          <w:color w:val="auto"/>
        </w:rPr>
      </w:pPr>
    </w:p>
    <w:p>
      <w:pPr>
        <w:ind w:right="500"/>
        <w:spacing w:after="0" w:line="261" w:lineRule="auto"/>
        <w:rPr>
          <w:sz w:val="20"/>
          <w:szCs w:val="20"/>
          <w:color w:val="auto"/>
        </w:rPr>
      </w:pPr>
      <w:r>
        <w:rPr>
          <w:rFonts w:ascii="Arial" w:cs="Arial" w:eastAsia="Arial" w:hAnsi="Arial"/>
          <w:sz w:val="14"/>
          <w:szCs w:val="14"/>
          <w:b w:val="1"/>
          <w:bCs w:val="1"/>
          <w:color w:val="auto"/>
        </w:rPr>
        <w:t>Golden Peacock Award, Corporate Social Responsibility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Institute of Directors. 2021</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Best ESG/SRI Metrics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Institutional Investor. 2018–2019</w:t>
      </w:r>
    </w:p>
    <w:p>
      <w:pPr>
        <w:sectPr>
          <w:pgSz w:w="11900" w:h="16838" w:orient="portrait"/>
          <w:cols w:equalWidth="0" w:num="3">
            <w:col w:w="3380" w:space="480"/>
            <w:col w:w="3380" w:space="460"/>
            <w:col w:w="3340"/>
          </w:cols>
          <w:pgMar w:left="320" w:top="1077" w:right="539" w:bottom="1440" w:gutter="0" w:footer="0" w:header="0"/>
          <w:type w:val="continuous"/>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6878320</wp:posOffset>
            </wp:positionV>
            <wp:extent cx="1551305" cy="3511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For more information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www.honeywell.com</w:t>
            </w:r>
          </w:p>
        </w:tc>
        <w:tc>
          <w:tcPr>
            <w:tcW w:w="6180" w:type="dxa"/>
            <w:vAlign w:val="bottom"/>
          </w:tcPr>
          <w:p>
            <w:pPr>
              <w:jc w:val="right"/>
              <w:ind w:right="1059"/>
              <w:spacing w:after="0"/>
              <w:rPr>
                <w:sz w:val="20"/>
                <w:szCs w:val="20"/>
                <w:color w:val="auto"/>
              </w:rPr>
            </w:pPr>
            <w:r>
              <w:rPr>
                <w:rFonts w:ascii="Arial" w:cs="Arial" w:eastAsia="Arial" w:hAnsi="Arial"/>
                <w:sz w:val="16"/>
                <w:szCs w:val="16"/>
                <w:b w:val="1"/>
                <w:bCs w:val="1"/>
                <w:color w:val="auto"/>
              </w:rPr>
              <w:t>© 2024 Honeywell International Inc.</w:t>
            </w:r>
          </w:p>
        </w:tc>
        <w:tc>
          <w:tcPr>
            <w:tcW w:w="0" w:type="dxa"/>
            <w:vAlign w:val="bottom"/>
          </w:tcPr>
          <w:p>
            <w:pPr>
              <w:spacing w:after="0"/>
              <w:rPr>
                <w:sz w:val="1"/>
                <w:szCs w:val="1"/>
                <w:color w:val="auto"/>
              </w:rPr>
            </w:pPr>
          </w:p>
        </w:tc>
      </w:tr>
      <w:tr>
        <w:trPr>
          <w:trHeight w:val="115"/>
        </w:trPr>
        <w:tc>
          <w:tcPr>
            <w:tcW w:w="5060" w:type="dxa"/>
            <w:vAlign w:val="bottom"/>
            <w:vMerge w:val="continue"/>
          </w:tcPr>
          <w:p>
            <w:pPr>
              <w:spacing w:after="0"/>
              <w:rPr>
                <w:sz w:val="9"/>
                <w:szCs w:val="9"/>
                <w:color w:val="auto"/>
              </w:rPr>
            </w:pPr>
          </w:p>
        </w:tc>
        <w:tc>
          <w:tcPr>
            <w:tcW w:w="6180" w:type="dxa"/>
            <w:vAlign w:val="bottom"/>
            <w:vMerge w:val="restart"/>
          </w:tcPr>
          <w:p>
            <w:pPr>
              <w:jc w:val="right"/>
              <w:ind w:right="1059"/>
              <w:spacing w:after="0"/>
              <w:rPr>
                <w:sz w:val="20"/>
                <w:szCs w:val="20"/>
                <w:color w:val="auto"/>
              </w:rPr>
            </w:pPr>
            <w:r>
              <w:rPr>
                <w:rFonts w:ascii="Arial" w:cs="Arial" w:eastAsia="Arial" w:hAnsi="Arial"/>
                <w:sz w:val="16"/>
                <w:szCs w:val="16"/>
                <w:b w:val="1"/>
                <w:bCs w:val="1"/>
                <w:color w:val="auto"/>
              </w:rPr>
              <w:t>All rights reserved.</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6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9"/>
        </w:trPr>
        <w:tc>
          <w:tcPr>
            <w:tcW w:w="506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369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369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557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311785</wp:posOffset>
            </wp:positionV>
            <wp:extent cx="6789420" cy="884682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CA0C5FA"/>
    <w:multiLevelType w:val="hybridMultilevel"/>
    <w:lvl w:ilvl="0">
      <w:lvlJc w:val="left"/>
      <w:lvlText w:val="☐"/>
      <w:numFmt w:val="bullet"/>
      <w:start w:val="1"/>
    </w:lvl>
  </w:abstractNum>
  <w:abstractNum w:abstractNumId="1">
    <w:nsid w:val="53584BCB"/>
    <w:multiLevelType w:val="hybridMultilevel"/>
    <w:lvl w:ilvl="0">
      <w:lvlJc w:val="left"/>
      <w:lvlText w:val="☒"/>
      <w:numFmt w:val="bullet"/>
      <w:start w:val="1"/>
    </w:lvl>
  </w:abstractNum>
  <w:abstractNum w:abstractNumId="2">
    <w:nsid w:val="415E286C"/>
    <w:multiLevelType w:val="hybridMultilevel"/>
    <w:lvl w:ilvl="0">
      <w:lvlJc w:val="left"/>
      <w:lvlText w:val="☐"/>
      <w:numFmt w:val="bullet"/>
      <w:start w:val="1"/>
    </w:lvl>
  </w:abstractNum>
  <w:abstractNum w:abstractNumId="3">
    <w:nsid w:val="7C58FD05"/>
    <w:multiLevelType w:val="hybridMultilevel"/>
    <w:lvl w:ilvl="0">
      <w:lvlJc w:val="left"/>
      <w:lvlText w:val="•"/>
      <w:numFmt w:val="bullet"/>
      <w:start w:val="1"/>
    </w:lvl>
  </w:abstractNum>
  <w:abstractNum w:abstractNumId="4">
    <w:nsid w:val="23D86AAC"/>
    <w:multiLevelType w:val="hybridMultilevel"/>
    <w:lvl w:ilvl="0">
      <w:lvlJc w:val="left"/>
      <w:lvlText w:val="(%1)"/>
      <w:numFmt w:val="decimal"/>
      <w:start w:val="1"/>
    </w:lvl>
  </w:abstractNum>
  <w:abstractNum w:abstractNumId="5">
    <w:nsid w:val="45E6D486"/>
    <w:multiLevelType w:val="hybridMultilevel"/>
    <w:lvl w:ilvl="0">
      <w:lvlJc w:val="left"/>
      <w:lvlText w:val="(%1)"/>
      <w:numFmt w:val="decimal"/>
      <w:start w:val="1"/>
    </w:lvl>
  </w:abstractNum>
  <w:abstractNum w:abstractNumId="6">
    <w:nsid w:val="5C10FE21"/>
    <w:multiLevelType w:val="hybridMultilevel"/>
    <w:lvl w:ilvl="0">
      <w:lvlJc w:val="left"/>
      <w:lvlText w:val="•"/>
      <w:numFmt w:val="bullet"/>
      <w:start w:val="1"/>
    </w:lvl>
  </w:abstractNum>
  <w:abstractNum w:abstractNumId="7">
    <w:nsid w:val="E7FFA2B"/>
    <w:multiLevelType w:val="hybridMultilevel"/>
    <w:lvl w:ilvl="0">
      <w:lvlJc w:val="left"/>
      <w:lvlText w:val="•"/>
      <w:numFmt w:val="bullet"/>
      <w:start w:val="1"/>
    </w:lvl>
  </w:abstractNum>
  <w:abstractNum w:abstractNumId="8">
    <w:nsid w:val="3C5991AA"/>
    <w:multiLevelType w:val="hybridMultilevel"/>
    <w:lvl w:ilvl="0">
      <w:lvlJc w:val="left"/>
      <w:lvlText w:val="•"/>
      <w:numFmt w:val="bullet"/>
      <w:start w:val="1"/>
    </w:lvl>
  </w:abstractNum>
  <w:abstractNum w:abstractNumId="9">
    <w:nsid w:val="4BD8591A"/>
    <w:multiLevelType w:val="hybridMultilevel"/>
    <w:lvl w:ilvl="0">
      <w:lvlJc w:val="left"/>
      <w:lvlText w:val="(%1)"/>
      <w:numFmt w:val="decimal"/>
      <w:start w:val="1"/>
    </w:lvl>
  </w:abstractNum>
  <w:abstractNum w:abstractNumId="10">
    <w:nsid w:val="78DF6A55"/>
    <w:multiLevelType w:val="hybridMultilevel"/>
    <w:lvl w:ilvl="0">
      <w:lvlJc w:val="left"/>
      <w:lvlText w:val="•"/>
      <w:numFmt w:val="bullet"/>
      <w:start w:val="1"/>
    </w:lvl>
  </w:abstractNum>
  <w:abstractNum w:abstractNumId="11">
    <w:nsid w:val="39B7AAA2"/>
    <w:multiLevelType w:val="hybridMultilevel"/>
    <w:lvl w:ilvl="0">
      <w:lvlJc w:val="left"/>
      <w:lvlText w:val="(%1)"/>
      <w:numFmt w:val="decimal"/>
      <w:start w:val="1"/>
    </w:lvl>
  </w:abstractNum>
  <w:abstractNum w:abstractNumId="12">
    <w:nsid w:val="2B0D8DBE"/>
    <w:multiLevelType w:val="hybridMultilevel"/>
    <w:lvl w:ilvl="0">
      <w:lvlJc w:val="left"/>
      <w:lvlText w:val="•"/>
      <w:numFmt w:val="bullet"/>
      <w:start w:val="1"/>
    </w:lvl>
  </w:abstractNum>
  <w:abstractNum w:abstractNumId="13">
    <w:nsid w:val="6C80EC70"/>
    <w:multiLevelType w:val="hybridMultilevel"/>
    <w:lvl w:ilvl="0">
      <w:lvlJc w:val="left"/>
      <w:lvlText w:val="(%1)"/>
      <w:numFmt w:val="decimal"/>
      <w:start w:val="1"/>
    </w:lvl>
  </w:abstractNum>
  <w:abstractNum w:abstractNumId="14">
    <w:nsid w:val="379E21B5"/>
    <w:multiLevelType w:val="hybridMultilevel"/>
    <w:lvl w:ilvl="0">
      <w:lvlJc w:val="left"/>
      <w:lvlText w:val="•"/>
      <w:numFmt w:val="bullet"/>
      <w:start w:val="1"/>
    </w:lvl>
    <w:lvl w:ilvl="1">
      <w:lvlJc w:val="left"/>
      <w:lvlText w:val="2"/>
      <w:numFmt w:val="bullet"/>
      <w:start w:val="1"/>
    </w:lvl>
  </w:abstractNum>
  <w:abstractNum w:abstractNumId="15">
    <w:nsid w:val="69E373"/>
    <w:multiLevelType w:val="hybridMultilevel"/>
    <w:lvl w:ilvl="0">
      <w:lvlJc w:val="left"/>
      <w:lvlText w:val="•"/>
      <w:numFmt w:val="bullet"/>
      <w:start w:val="1"/>
    </w:lvl>
  </w:abstractNum>
  <w:abstractNum w:abstractNumId="16">
    <w:nsid w:val="2C27173B"/>
    <w:multiLevelType w:val="hybridMultilevel"/>
    <w:lvl w:ilvl="0">
      <w:lvlJc w:val="left"/>
      <w:lvlText w:val="•"/>
      <w:numFmt w:val="bullet"/>
      <w:start w:val="1"/>
    </w:lvl>
  </w:abstractNum>
  <w:abstractNum w:abstractNumId="17">
    <w:nsid w:val="4C9B0904"/>
    <w:multiLevelType w:val="hybridMultilevel"/>
    <w:lvl w:ilvl="0">
      <w:lvlJc w:val="left"/>
      <w:lvlText w:val="•"/>
      <w:numFmt w:val="bullet"/>
      <w:start w:val="1"/>
    </w:lvl>
  </w:abstractNum>
  <w:abstractNum w:abstractNumId="18">
    <w:nsid w:val="6AA7B75C"/>
    <w:multiLevelType w:val="hybridMultilevel"/>
    <w:lvl w:ilvl="0">
      <w:lvlJc w:val="left"/>
      <w:lvlText w:val="(%1)"/>
      <w:numFmt w:val="decimal"/>
      <w:start w:val="1"/>
    </w:lvl>
  </w:abstractNum>
  <w:abstractNum w:abstractNumId="19">
    <w:nsid w:val="1DF029D3"/>
    <w:multiLevelType w:val="hybridMultilevel"/>
    <w:lvl w:ilvl="0">
      <w:lvlJc w:val="left"/>
      <w:lvlText w:val="(%1)"/>
      <w:numFmt w:val="decimal"/>
      <w:start w:val="1"/>
    </w:lvl>
  </w:abstractNum>
  <w:abstractNum w:abstractNumId="20">
    <w:nsid w:val="5675FF36"/>
    <w:multiLevelType w:val="hybridMultilevel"/>
    <w:lvl w:ilvl="0">
      <w:lvlJc w:val="left"/>
      <w:lvlText w:val="•"/>
      <w:numFmt w:val="bullet"/>
      <w:start w:val="1"/>
    </w:lvl>
  </w:abstractNum>
  <w:abstractNum w:abstractNumId="21">
    <w:nsid w:val="3DD15094"/>
    <w:multiLevelType w:val="hybridMultilevel"/>
    <w:lvl w:ilvl="0">
      <w:lvlJc w:val="left"/>
      <w:lvlText w:val="4"/>
      <w:numFmt w:val="bullet"/>
      <w:start w:val="1"/>
    </w:lvl>
  </w:abstractNum>
  <w:abstractNum w:abstractNumId="22">
    <w:nsid w:val="3DB012B3"/>
    <w:multiLevelType w:val="hybridMultilevel"/>
    <w:lvl w:ilvl="0">
      <w:lvlJc w:val="left"/>
      <w:lvlText w:val="•"/>
      <w:numFmt w:val="bullet"/>
      <w:start w:val="1"/>
    </w:lvl>
  </w:abstractNum>
  <w:abstractNum w:abstractNumId="23">
    <w:nsid w:val="2708C9AF"/>
    <w:multiLevelType w:val="hybridMultilevel"/>
    <w:lvl w:ilvl="0">
      <w:lvlJc w:val="left"/>
      <w:lvlText w:val="(%1)"/>
      <w:numFmt w:val="decimal"/>
      <w:start w:val="1"/>
    </w:lvl>
  </w:abstractNum>
  <w:abstractNum w:abstractNumId="24">
    <w:nsid w:val="5B25ACE2"/>
    <w:multiLevelType w:val="hybridMultilevel"/>
    <w:lvl w:ilvl="0">
      <w:lvlJc w:val="left"/>
      <w:lvlText w:val="•"/>
      <w:numFmt w:val="bullet"/>
      <w:start w:val="1"/>
    </w:lvl>
  </w:abstractNum>
  <w:abstractNum w:abstractNumId="25">
    <w:nsid w:val="175DFCF0"/>
    <w:multiLevelType w:val="hybridMultilevel"/>
    <w:lvl w:ilvl="0">
      <w:lvlJc w:val="left"/>
      <w:lvlText w:val="•"/>
      <w:numFmt w:val="bullet"/>
      <w:start w:val="1"/>
    </w:lvl>
  </w:abstractNum>
  <w:abstractNum w:abstractNumId="26">
    <w:nsid w:val="4F97E3E4"/>
    <w:multiLevelType w:val="hybridMultilevel"/>
    <w:lvl w:ilvl="0">
      <w:lvlJc w:val="left"/>
      <w:lvlText w:val="•"/>
      <w:numFmt w:val="bullet"/>
      <w:start w:val="1"/>
    </w:lvl>
  </w:abstractNum>
  <w:abstractNum w:abstractNumId="27">
    <w:nsid w:val="53B0A9E"/>
    <w:multiLevelType w:val="hybridMultilevel"/>
    <w:lvl w:ilvl="0">
      <w:lvlJc w:val="left"/>
      <w:lvlText w:val="•"/>
      <w:numFmt w:val="bullet"/>
      <w:start w:val="1"/>
    </w:lvl>
    <w:lvl w:ilvl="1">
      <w:lvlJc w:val="left"/>
      <w:lvlText w:val="•"/>
      <w:numFmt w:val="bullet"/>
      <w:start w:val="1"/>
    </w:lvl>
  </w:abstractNum>
  <w:abstractNum w:abstractNumId="28">
    <w:nsid w:val="34FD6B4F"/>
    <w:multiLevelType w:val="hybridMultilevel"/>
    <w:lvl w:ilvl="0">
      <w:lvlJc w:val="left"/>
      <w:lvlText w:val="•"/>
      <w:numFmt w:val="bullet"/>
      <w:start w:val="1"/>
    </w:lvl>
  </w:abstractNum>
  <w:abstractNum w:abstractNumId="29">
    <w:nsid w:val="5915FF32"/>
    <w:multiLevelType w:val="hybridMultilevel"/>
    <w:lvl w:ilvl="0">
      <w:lvlJc w:val="left"/>
      <w:lvlText w:val="•"/>
      <w:numFmt w:val="bullet"/>
      <w:start w:val="1"/>
    </w:lvl>
  </w:abstractNum>
  <w:abstractNum w:abstractNumId="30">
    <w:nsid w:val="56438D15"/>
    <w:multiLevelType w:val="hybridMultilevel"/>
    <w:lvl w:ilvl="0">
      <w:lvlJc w:val="left"/>
      <w:lvlText w:val="•"/>
      <w:numFmt w:val="bullet"/>
      <w:start w:val="1"/>
    </w:lvl>
  </w:abstractNum>
  <w:abstractNum w:abstractNumId="31">
    <w:nsid w:val="519E3149"/>
    <w:multiLevelType w:val="hybridMultilevel"/>
    <w:lvl w:ilvl="0">
      <w:lvlJc w:val="left"/>
      <w:lvlText w:val="•"/>
      <w:numFmt w:val="bullet"/>
      <w:start w:val="1"/>
    </w:lvl>
    <w:lvl w:ilvl="1">
      <w:lvlJc w:val="left"/>
      <w:lvlText w:val="•"/>
      <w:numFmt w:val="bullet"/>
      <w:start w:val="1"/>
    </w:lvl>
  </w:abstractNum>
  <w:abstractNum w:abstractNumId="32">
    <w:nsid w:val="2C6E4AFD"/>
    <w:multiLevelType w:val="hybridMultilevel"/>
    <w:lvl w:ilvl="0">
      <w:lvlJc w:val="left"/>
      <w:lvlText w:val="•"/>
      <w:numFmt w:val="bullet"/>
      <w:start w:val="1"/>
    </w:lvl>
  </w:abstractNum>
  <w:abstractNum w:abstractNumId="33">
    <w:nsid w:val="17A1B582"/>
    <w:multiLevelType w:val="hybridMultilevel"/>
    <w:lvl w:ilvl="0">
      <w:lvlJc w:val="left"/>
      <w:lvlText w:val="•"/>
      <w:numFmt w:val="bullet"/>
      <w:start w:val="1"/>
    </w:lvl>
  </w:abstractNum>
  <w:abstractNum w:abstractNumId="34">
    <w:nsid w:val="4DF72E4E"/>
    <w:multiLevelType w:val="hybridMultilevel"/>
    <w:lvl w:ilvl="0">
      <w:lvlJc w:val="left"/>
      <w:lvlText w:val="•"/>
      <w:numFmt w:val="bullet"/>
      <w:start w:val="1"/>
    </w:lvl>
  </w:abstractNum>
  <w:abstractNum w:abstractNumId="35">
    <w:nsid w:val="5046B5A9"/>
    <w:multiLevelType w:val="hybridMultilevel"/>
    <w:lvl w:ilvl="0">
      <w:lvlJc w:val="left"/>
      <w:lvlText w:val="(%1)"/>
      <w:numFmt w:val="decimal"/>
      <w:start w:val="1"/>
    </w:lvl>
  </w:abstractNum>
  <w:abstractNum w:abstractNumId="36">
    <w:nsid w:val="5D888A08"/>
    <w:multiLevelType w:val="hybridMultilevel"/>
    <w:lvl w:ilvl="0">
      <w:lvlJc w:val="left"/>
      <w:lvlText w:val="•"/>
      <w:numFmt w:val="bullet"/>
      <w:start w:val="1"/>
    </w:lvl>
    <w:lvl w:ilvl="1">
      <w:lvlJc w:val="left"/>
      <w:lvlText w:val="•"/>
      <w:numFmt w:val="bullet"/>
      <w:start w:val="1"/>
    </w:lvl>
  </w:abstractNum>
  <w:abstractNum w:abstractNumId="37">
    <w:nsid w:val="2A082C70"/>
    <w:multiLevelType w:val="hybridMultilevel"/>
    <w:lvl w:ilvl="0">
      <w:lvlJc w:val="left"/>
      <w:lvlText w:val="•"/>
      <w:numFmt w:val="bullet"/>
      <w:start w:val="1"/>
    </w:lvl>
  </w:abstractNum>
  <w:abstractNum w:abstractNumId="38">
    <w:nsid w:val="5EC6AFD4"/>
    <w:multiLevelType w:val="hybridMultilevel"/>
    <w:lvl w:ilvl="0">
      <w:lvlJc w:val="left"/>
      <w:lvlText w:val="•"/>
      <w:numFmt w:val="bullet"/>
      <w:start w:val="1"/>
    </w:lvl>
  </w:abstractNum>
  <w:abstractNum w:abstractNumId="39">
    <w:nsid w:val="19E21BB2"/>
    <w:multiLevelType w:val="hybridMultilevel"/>
    <w:lvl w:ilvl="0">
      <w:lvlJc w:val="left"/>
      <w:lvlText w:val="•"/>
      <w:numFmt w:val="bullet"/>
      <w:start w:val="1"/>
    </w:lvl>
  </w:abstractNum>
  <w:abstractNum w:abstractNumId="40">
    <w:nsid w:val="75E0858A"/>
    <w:multiLevelType w:val="hybridMultilevel"/>
    <w:lvl w:ilvl="0">
      <w:lvlJc w:val="left"/>
      <w:lvlText w:val="•"/>
      <w:numFmt w:val="bullet"/>
      <w:start w:val="1"/>
    </w:lvl>
    <w:lvl w:ilvl="1">
      <w:lvlJc w:val="left"/>
      <w:lvlText w:val="•"/>
      <w:numFmt w:val="bullet"/>
      <w:start w:val="1"/>
    </w:lvl>
  </w:abstractNum>
  <w:abstractNum w:abstractNumId="41">
    <w:nsid w:val="57A61A29"/>
    <w:multiLevelType w:val="hybridMultilevel"/>
    <w:lvl w:ilvl="0">
      <w:lvlJc w:val="left"/>
      <w:lvlText w:val="•"/>
      <w:numFmt w:val="bullet"/>
      <w:start w:val="1"/>
    </w:lvl>
  </w:abstractNum>
  <w:abstractNum w:abstractNumId="42">
    <w:nsid w:val="5399C654"/>
    <w:multiLevelType w:val="hybridMultilevel"/>
    <w:lvl w:ilvl="0">
      <w:lvlJc w:val="left"/>
      <w:lvlText w:val="•"/>
      <w:numFmt w:val="bullet"/>
      <w:start w:val="1"/>
    </w:lvl>
  </w:abstractNum>
  <w:abstractNum w:abstractNumId="43">
    <w:nsid w:val="20EE1348"/>
    <w:multiLevelType w:val="hybridMultilevel"/>
    <w:lvl w:ilvl="0">
      <w:lvlJc w:val="left"/>
      <w:lvlText w:val="•"/>
      <w:numFmt w:val="bullet"/>
      <w:start w:val="1"/>
    </w:lvl>
  </w:abstractNum>
  <w:abstractNum w:abstractNumId="44">
    <w:nsid w:val="4427069A"/>
    <w:multiLevelType w:val="hybridMultilevel"/>
    <w:lvl w:ilvl="0">
      <w:lvlJc w:val="left"/>
      <w:lvlText w:val="•"/>
      <w:numFmt w:val="bullet"/>
      <w:start w:val="1"/>
    </w:lvl>
    <w:lvl w:ilvl="1">
      <w:lvlJc w:val="left"/>
      <w:lvlText w:val="•"/>
      <w:numFmt w:val="bullet"/>
      <w:start w:val="1"/>
    </w:lvl>
  </w:abstractNum>
  <w:abstractNum w:abstractNumId="45">
    <w:nsid w:val="B37E80A"/>
    <w:multiLevelType w:val="hybridMultilevel"/>
    <w:lvl w:ilvl="0">
      <w:lvlJc w:val="left"/>
      <w:lvlText w:val="(%1)"/>
      <w:numFmt w:val="decimal"/>
      <w:start w:val="1"/>
    </w:lvl>
  </w:abstractNum>
  <w:abstractNum w:abstractNumId="46">
    <w:nsid w:val="2157F6BC"/>
    <w:multiLevelType w:val="hybridMultilevel"/>
    <w:lvl w:ilvl="0">
      <w:lvlJc w:val="left"/>
      <w:lvlText w:val="•"/>
      <w:numFmt w:val="bullet"/>
      <w:start w:val="1"/>
    </w:lvl>
  </w:abstractNum>
  <w:abstractNum w:abstractNumId="47">
    <w:nsid w:val="704E1DD5"/>
    <w:multiLevelType w:val="hybridMultilevel"/>
    <w:lvl w:ilvl="0">
      <w:lvlJc w:val="left"/>
      <w:lvlText w:val="•"/>
      <w:numFmt w:val="bullet"/>
      <w:start w:val="1"/>
    </w:lvl>
  </w:abstractNum>
  <w:abstractNum w:abstractNumId="48">
    <w:nsid w:val="57D2F10E"/>
    <w:multiLevelType w:val="hybridMultilevel"/>
    <w:lvl w:ilvl="0">
      <w:lvlJc w:val="left"/>
      <w:lvlText w:val="•"/>
      <w:numFmt w:val="bullet"/>
      <w:start w:val="1"/>
    </w:lvl>
  </w:abstractNum>
  <w:abstractNum w:abstractNumId="49">
    <w:nsid w:val="BFFAE18"/>
    <w:multiLevelType w:val="hybridMultilevel"/>
    <w:lvl w:ilvl="0">
      <w:lvlJc w:val="left"/>
      <w:lvlText w:val="•"/>
      <w:numFmt w:val="bullet"/>
      <w:start w:val="1"/>
    </w:lvl>
    <w:lvl w:ilvl="1">
      <w:lvlJc w:val="left"/>
      <w:lvlText w:val="•"/>
      <w:numFmt w:val="bullet"/>
      <w:start w:val="1"/>
    </w:lvl>
  </w:abstractNum>
  <w:abstractNum w:abstractNumId="50">
    <w:nsid w:val="E3E47A8"/>
    <w:multiLevelType w:val="hybridMultilevel"/>
    <w:lvl w:ilvl="0">
      <w:lvlJc w:val="left"/>
      <w:lvlText w:val="•"/>
      <w:numFmt w:val="bullet"/>
      <w:start w:val="1"/>
    </w:lvl>
  </w:abstractNum>
  <w:abstractNum w:abstractNumId="51">
    <w:nsid w:val="2E48F044"/>
    <w:multiLevelType w:val="hybridMultilevel"/>
    <w:lvl w:ilvl="0">
      <w:lvlJc w:val="left"/>
      <w:lvlText w:val="•"/>
      <w:numFmt w:val="bullet"/>
      <w:start w:val="1"/>
    </w:lvl>
  </w:abstractNum>
  <w:abstractNum w:abstractNumId="52">
    <w:nsid w:val="49D0FEAC"/>
    <w:multiLevelType w:val="hybridMultilevel"/>
    <w:lvl w:ilvl="0">
      <w:lvlJc w:val="left"/>
      <w:lvlText w:val="•"/>
      <w:numFmt w:val="bullet"/>
      <w:start w:val="1"/>
    </w:lvl>
    <w:lvl w:ilvl="1">
      <w:lvlJc w:val="left"/>
      <w:lvlText w:val="•"/>
      <w:numFmt w:val="bullet"/>
      <w:start w:val="1"/>
    </w:lvl>
  </w:abstractNum>
  <w:abstractNum w:abstractNumId="53">
    <w:nsid w:val="4BEE5A5B"/>
    <w:multiLevelType w:val="hybridMultilevel"/>
    <w:lvl w:ilvl="0">
      <w:lvlJc w:val="left"/>
      <w:lvlText w:val="(%1)"/>
      <w:numFmt w:val="decimal"/>
      <w:start w:val="1"/>
    </w:lvl>
  </w:abstractNum>
  <w:abstractNum w:abstractNumId="54">
    <w:nsid w:val="5551B9F3"/>
    <w:multiLevelType w:val="hybridMultilevel"/>
    <w:lvl w:ilvl="0">
      <w:lvlJc w:val="left"/>
      <w:lvlText w:val="•"/>
      <w:numFmt w:val="bullet"/>
      <w:start w:val="1"/>
    </w:lvl>
  </w:abstractNum>
  <w:abstractNum w:abstractNumId="55">
    <w:nsid w:val="24F6AB8E"/>
    <w:multiLevelType w:val="hybridMultilevel"/>
    <w:lvl w:ilvl="0">
      <w:lvlJc w:val="left"/>
      <w:lvlText w:val="•"/>
      <w:numFmt w:val="bullet"/>
      <w:start w:val="1"/>
    </w:lvl>
  </w:abstractNum>
  <w:abstractNum w:abstractNumId="56">
    <w:nsid w:val="634C574C"/>
    <w:multiLevelType w:val="hybridMultilevel"/>
    <w:lvl w:ilvl="0">
      <w:lvlJc w:val="left"/>
      <w:lvlText w:val="•"/>
      <w:numFmt w:val="bullet"/>
      <w:start w:val="1"/>
    </w:lvl>
  </w:abstractNum>
  <w:abstractNum w:abstractNumId="57">
    <w:nsid w:val="24E99DD7"/>
    <w:multiLevelType w:val="hybridMultilevel"/>
    <w:lvl w:ilvl="0">
      <w:lvlJc w:val="left"/>
      <w:lvlText w:val="•"/>
      <w:numFmt w:val="bullet"/>
      <w:start w:val="1"/>
    </w:lvl>
    <w:lvl w:ilvl="1">
      <w:lvlJc w:val="left"/>
      <w:lvlText w:val="•"/>
      <w:numFmt w:val="bullet"/>
      <w:start w:val="1"/>
    </w:lvl>
  </w:abstractNum>
  <w:abstractNum w:abstractNumId="58">
    <w:nsid w:val="2A31B62D"/>
    <w:multiLevelType w:val="hybridMultilevel"/>
    <w:lvl w:ilvl="0">
      <w:lvlJc w:val="left"/>
      <w:lvlText w:val="•"/>
      <w:numFmt w:val="bullet"/>
      <w:start w:val="1"/>
    </w:lvl>
  </w:abstractNum>
  <w:abstractNum w:abstractNumId="59">
    <w:nsid w:val="1849C29B"/>
    <w:multiLevelType w:val="hybridMultilevel"/>
    <w:lvl w:ilvl="0">
      <w:lvlJc w:val="left"/>
      <w:lvlText w:val="•"/>
      <w:numFmt w:val="bullet"/>
      <w:start w:val="1"/>
    </w:lvl>
  </w:abstractNum>
  <w:abstractNum w:abstractNumId="60">
    <w:nsid w:val="7DFF9D09"/>
    <w:multiLevelType w:val="hybridMultilevel"/>
    <w:lvl w:ilvl="0">
      <w:lvlJc w:val="left"/>
      <w:lvlText w:val="•"/>
      <w:numFmt w:val="bullet"/>
      <w:start w:val="1"/>
    </w:lvl>
  </w:abstractNum>
  <w:abstractNum w:abstractNumId="61">
    <w:nsid w:val="754342"/>
    <w:multiLevelType w:val="hybridMultilevel"/>
    <w:lvl w:ilvl="0">
      <w:lvlJc w:val="left"/>
      <w:lvlText w:val="•"/>
      <w:numFmt w:val="bullet"/>
      <w:start w:val="1"/>
    </w:lvl>
    <w:lvl w:ilvl="1">
      <w:lvlJc w:val="left"/>
      <w:lvlText w:val="•"/>
      <w:numFmt w:val="bullet"/>
      <w:start w:val="1"/>
    </w:lvl>
  </w:abstractNum>
  <w:abstractNum w:abstractNumId="62">
    <w:nsid w:val="69E7F3E5"/>
    <w:multiLevelType w:val="hybridMultilevel"/>
    <w:lvl w:ilvl="0">
      <w:lvlJc w:val="left"/>
      <w:lvlText w:val="•"/>
      <w:numFmt w:val="bullet"/>
      <w:start w:val="1"/>
    </w:lvl>
  </w:abstractNum>
  <w:abstractNum w:abstractNumId="63">
    <w:nsid w:val="2A6DE806"/>
    <w:multiLevelType w:val="hybridMultilevel"/>
    <w:lvl w:ilvl="0">
      <w:lvlJc w:val="left"/>
      <w:lvlText w:val="•"/>
      <w:numFmt w:val="bullet"/>
      <w:start w:val="1"/>
    </w:lvl>
  </w:abstractNum>
  <w:abstractNum w:abstractNumId="64">
    <w:nsid w:val="1816F8C4"/>
    <w:multiLevelType w:val="hybridMultilevel"/>
    <w:lvl w:ilvl="0">
      <w:lvlJc w:val="left"/>
      <w:lvlText w:val="•"/>
      <w:numFmt w:val="bullet"/>
      <w:start w:val="1"/>
    </w:lvl>
  </w:abstractNum>
  <w:abstractNum w:abstractNumId="65">
    <w:nsid w:val="37DF2233"/>
    <w:multiLevelType w:val="hybridMultilevel"/>
    <w:lvl w:ilvl="0">
      <w:lvlJc w:val="left"/>
      <w:lvlText w:val="•"/>
      <w:numFmt w:val="bullet"/>
      <w:start w:val="1"/>
    </w:lvl>
    <w:lvl w:ilvl="1">
      <w:lvlJc w:val="left"/>
      <w:lvlText w:val="•"/>
      <w:numFmt w:val="bullet"/>
      <w:start w:val="1"/>
    </w:lvl>
  </w:abstractNum>
  <w:abstractNum w:abstractNumId="66">
    <w:nsid w:val="7AB49DAF"/>
    <w:multiLevelType w:val="hybridMultilevel"/>
    <w:lvl w:ilvl="0">
      <w:lvlJc w:val="left"/>
      <w:lvlText w:val="•"/>
      <w:numFmt w:val="bullet"/>
      <w:start w:val="1"/>
    </w:lvl>
  </w:abstractNum>
  <w:abstractNum w:abstractNumId="67">
    <w:nsid w:val="759F82CD"/>
    <w:multiLevelType w:val="hybridMultilevel"/>
    <w:lvl w:ilvl="0">
      <w:lvlJc w:val="left"/>
      <w:lvlText w:val="•"/>
      <w:numFmt w:val="bullet"/>
      <w:start w:val="1"/>
    </w:lvl>
  </w:abstractNum>
  <w:abstractNum w:abstractNumId="68">
    <w:nsid w:val="61E74EA3"/>
    <w:multiLevelType w:val="hybridMultilevel"/>
    <w:lvl w:ilvl="0">
      <w:lvlJc w:val="left"/>
      <w:lvlText w:val="•"/>
      <w:numFmt w:val="bullet"/>
      <w:start w:val="1"/>
    </w:lvl>
  </w:abstractNum>
  <w:abstractNum w:abstractNumId="69">
    <w:nsid w:val="597B4D84"/>
    <w:multiLevelType w:val="hybridMultilevel"/>
    <w:lvl w:ilvl="0">
      <w:lvlJc w:val="left"/>
      <w:lvlText w:val="•"/>
      <w:numFmt w:val="bullet"/>
      <w:start w:val="1"/>
    </w:lvl>
    <w:lvl w:ilvl="1">
      <w:lvlJc w:val="left"/>
      <w:lvlText w:val="•"/>
      <w:numFmt w:val="bullet"/>
      <w:start w:val="1"/>
    </w:lvl>
  </w:abstractNum>
  <w:abstractNum w:abstractNumId="70">
    <w:nsid w:val="F819E7F"/>
    <w:multiLevelType w:val="hybridMultilevel"/>
    <w:lvl w:ilvl="0">
      <w:lvlJc w:val="left"/>
      <w:lvlText w:val="•"/>
      <w:numFmt w:val="bullet"/>
      <w:start w:val="1"/>
    </w:lvl>
  </w:abstractNum>
  <w:abstractNum w:abstractNumId="71">
    <w:nsid w:val="57C7D42D"/>
    <w:multiLevelType w:val="hybridMultilevel"/>
    <w:lvl w:ilvl="0">
      <w:lvlJc w:val="left"/>
      <w:lvlText w:val="•"/>
      <w:numFmt w:val="bullet"/>
      <w:start w:val="1"/>
    </w:lvl>
  </w:abstractNum>
  <w:abstractNum w:abstractNumId="72">
    <w:nsid w:val="312167AD"/>
    <w:multiLevelType w:val="hybridMultilevel"/>
    <w:lvl w:ilvl="0">
      <w:lvlJc w:val="left"/>
      <w:lvlText w:val="•"/>
      <w:numFmt w:val="bullet"/>
      <w:start w:val="1"/>
    </w:lvl>
  </w:abstractNum>
  <w:abstractNum w:abstractNumId="73">
    <w:nsid w:val="631B64D4"/>
    <w:multiLevelType w:val="hybridMultilevel"/>
    <w:lvl w:ilvl="0">
      <w:lvlJc w:val="left"/>
      <w:lvlText w:val="•"/>
      <w:numFmt w:val="bullet"/>
      <w:start w:val="1"/>
    </w:lvl>
    <w:lvl w:ilvl="1">
      <w:lvlJc w:val="left"/>
      <w:lvlText w:val="•"/>
      <w:numFmt w:val="bullet"/>
      <w:start w:val="1"/>
    </w:lvl>
  </w:abstractNum>
  <w:abstractNum w:abstractNumId="74">
    <w:nsid w:val="78B5E776"/>
    <w:multiLevelType w:val="hybridMultilevel"/>
    <w:lvl w:ilvl="0">
      <w:lvlJc w:val="left"/>
      <w:lvlText w:val="•"/>
      <w:numFmt w:val="bullet"/>
      <w:start w:val="1"/>
    </w:lvl>
  </w:abstractNum>
  <w:abstractNum w:abstractNumId="75">
    <w:nsid w:val="75486E47"/>
    <w:multiLevelType w:val="hybridMultilevel"/>
    <w:lvl w:ilvl="0">
      <w:lvlJc w:val="left"/>
      <w:lvlText w:val="•"/>
      <w:numFmt w:val="bullet"/>
      <w:start w:val="1"/>
    </w:lvl>
  </w:abstractNum>
  <w:abstractNum w:abstractNumId="76">
    <w:nsid w:val="6E534CDE"/>
    <w:multiLevelType w:val="hybridMultilevel"/>
    <w:lvl w:ilvl="0">
      <w:lvlJc w:val="left"/>
      <w:lvlText w:val="•"/>
      <w:numFmt w:val="bullet"/>
      <w:start w:val="1"/>
    </w:lvl>
  </w:abstractNum>
  <w:abstractNum w:abstractNumId="77">
    <w:nsid w:val="1A0DDE32"/>
    <w:multiLevelType w:val="hybridMultilevel"/>
    <w:lvl w:ilvl="0">
      <w:lvlJc w:val="left"/>
      <w:lvlText w:val="•"/>
      <w:numFmt w:val="bullet"/>
      <w:start w:val="1"/>
    </w:lvl>
  </w:abstractNum>
  <w:abstractNum w:abstractNumId="78">
    <w:nsid w:val="65968C1C"/>
    <w:multiLevelType w:val="hybridMultilevel"/>
    <w:lvl w:ilvl="0">
      <w:lvlJc w:val="left"/>
      <w:lvlText w:val="•"/>
      <w:numFmt w:val="bullet"/>
      <w:start w:val="1"/>
    </w:lvl>
  </w:abstractNum>
  <w:abstractNum w:abstractNumId="79">
    <w:nsid w:val="46263DEC"/>
    <w:multiLevelType w:val="hybridMultilevel"/>
    <w:lvl w:ilvl="0">
      <w:lvlJc w:val="left"/>
      <w:lvlText w:val="•"/>
      <w:numFmt w:val="bullet"/>
      <w:start w:val="1"/>
    </w:lvl>
  </w:abstractNum>
  <w:abstractNum w:abstractNumId="80">
    <w:nsid w:val="260D8C4A"/>
    <w:multiLevelType w:val="hybridMultilevel"/>
    <w:lvl w:ilvl="0">
      <w:lvlJc w:val="left"/>
      <w:lvlText w:val="•"/>
      <w:numFmt w:val="bullet"/>
      <w:start w:val="1"/>
    </w:lvl>
  </w:abstractNum>
  <w:abstractNum w:abstractNumId="81">
    <w:nsid w:val="73D4D3C4"/>
    <w:multiLevelType w:val="hybridMultilevel"/>
    <w:lvl w:ilvl="0">
      <w:lvlJc w:val="left"/>
      <w:lvlText w:val="•"/>
      <w:numFmt w:val="bullet"/>
      <w:start w:val="1"/>
    </w:lvl>
  </w:abstractNum>
  <w:abstractNum w:abstractNumId="82">
    <w:nsid w:val="746F2E30"/>
    <w:multiLevelType w:val="hybridMultilevel"/>
    <w:lvl w:ilvl="0">
      <w:lvlJc w:val="left"/>
      <w:lvlText w:val="•"/>
      <w:numFmt w:val="bullet"/>
      <w:start w:val="1"/>
    </w:lvl>
  </w:abstractNum>
  <w:abstractNum w:abstractNumId="83">
    <w:nsid w:val="6FDE8AF6"/>
    <w:multiLevelType w:val="hybridMultilevel"/>
    <w:lvl w:ilvl="0">
      <w:lvlJc w:val="left"/>
      <w:lvlText w:val="•"/>
      <w:numFmt w:val="bullet"/>
      <w:start w:val="1"/>
    </w:lvl>
    <w:lvl w:ilvl="1">
      <w:lvlJc w:val="left"/>
      <w:lvlText w:val="•"/>
      <w:numFmt w:val="bullet"/>
      <w:start w:val="1"/>
    </w:lvl>
  </w:abstractNum>
  <w:abstractNum w:abstractNumId="84">
    <w:nsid w:val="3FC32E20"/>
    <w:multiLevelType w:val="hybridMultilevel"/>
    <w:lvl w:ilvl="0">
      <w:lvlJc w:val="left"/>
      <w:lvlText w:val="•"/>
      <w:numFmt w:val="bullet"/>
      <w:start w:val="1"/>
    </w:lvl>
  </w:abstractNum>
  <w:abstractNum w:abstractNumId="85">
    <w:nsid w:val="49C0E823"/>
    <w:multiLevelType w:val="hybridMultilevel"/>
    <w:lvl w:ilvl="0">
      <w:lvlJc w:val="left"/>
      <w:lvlText w:val="•"/>
      <w:numFmt w:val="bullet"/>
      <w:start w:val="1"/>
    </w:lvl>
  </w:abstractNum>
  <w:abstractNum w:abstractNumId="86">
    <w:nsid w:val="14D53685"/>
    <w:multiLevelType w:val="hybridMultilevel"/>
    <w:lvl w:ilvl="0">
      <w:lvlJc w:val="left"/>
      <w:lvlText w:val="•"/>
      <w:numFmt w:val="bullet"/>
      <w:start w:val="1"/>
    </w:lvl>
  </w:abstractNum>
  <w:abstractNum w:abstractNumId="87">
    <w:nsid w:val="230F856C"/>
    <w:multiLevelType w:val="hybridMultilevel"/>
    <w:lvl w:ilvl="0">
      <w:lvlJc w:val="left"/>
      <w:lvlText w:val="•"/>
      <w:numFmt w:val="bullet"/>
      <w:start w:val="1"/>
    </w:lvl>
  </w:abstractNum>
  <w:abstractNum w:abstractNumId="88">
    <w:nsid w:val="6EAA85FB"/>
    <w:multiLevelType w:val="hybridMultilevel"/>
    <w:lvl w:ilvl="0">
      <w:lvlJc w:val="left"/>
      <w:lvlText w:val="•"/>
      <w:numFmt w:val="bullet"/>
      <w:start w:val="1"/>
    </w:lvl>
  </w:abstractNum>
  <w:abstractNum w:abstractNumId="89">
    <w:nsid w:val="3F06ECB2"/>
    <w:multiLevelType w:val="hybridMultilevel"/>
    <w:lvl w:ilvl="0">
      <w:lvlJc w:val="left"/>
      <w:lvlText w:val="•"/>
      <w:numFmt w:val="bullet"/>
      <w:start w:val="1"/>
    </w:lvl>
  </w:abstractNum>
  <w:abstractNum w:abstractNumId="90">
    <w:nsid w:val="3B594807"/>
    <w:multiLevelType w:val="hybridMultilevel"/>
    <w:lvl w:ilvl="0">
      <w:lvlJc w:val="left"/>
      <w:lvlText w:val="•"/>
      <w:numFmt w:val="bullet"/>
      <w:start w:val="1"/>
    </w:lvl>
  </w:abstractNum>
  <w:abstractNum w:abstractNumId="91">
    <w:nsid w:val="6CAA2304"/>
    <w:multiLevelType w:val="hybridMultilevel"/>
    <w:lvl w:ilvl="0">
      <w:lvlJc w:val="left"/>
      <w:lvlText w:val="•"/>
      <w:numFmt w:val="bullet"/>
      <w:start w:val="1"/>
    </w:lvl>
  </w:abstractNum>
  <w:abstractNum w:abstractNumId="92">
    <w:nsid w:val="3F7C2FF4"/>
    <w:multiLevelType w:val="hybridMultilevel"/>
    <w:lvl w:ilvl="0">
      <w:lvlJc w:val="left"/>
      <w:lvlText w:val="(%1)"/>
      <w:numFmt w:val="decimal"/>
      <w:start w:val="1"/>
    </w:lvl>
  </w:abstractNum>
  <w:abstractNum w:abstractNumId="93">
    <w:nsid w:val="25413BEC"/>
    <w:multiLevelType w:val="hybridMultilevel"/>
    <w:lvl w:ilvl="0">
      <w:lvlJc w:val="left"/>
      <w:lvlText w:val="†"/>
      <w:numFmt w:val="bullet"/>
      <w:start w:val="1"/>
    </w:lvl>
  </w:abstractNum>
  <w:abstractNum w:abstractNumId="94">
    <w:nsid w:val="17180B0B"/>
    <w:multiLevelType w:val="hybridMultilevel"/>
    <w:lvl w:ilvl="0">
      <w:lvlJc w:val="left"/>
      <w:lvlText w:val="•"/>
      <w:numFmt w:val="bullet"/>
      <w:start w:val="1"/>
    </w:lvl>
  </w:abstractNum>
  <w:abstractNum w:abstractNumId="95">
    <w:nsid w:val="579328B9"/>
    <w:multiLevelType w:val="hybridMultilevel"/>
    <w:lvl w:ilvl="0">
      <w:lvlJc w:val="left"/>
      <w:lvlText w:val="•"/>
      <w:numFmt w:val="bullet"/>
      <w:start w:val="1"/>
    </w:lvl>
  </w:abstractNum>
  <w:abstractNum w:abstractNumId="96">
    <w:nsid w:val="5D205E20"/>
    <w:multiLevelType w:val="hybridMultilevel"/>
    <w:lvl w:ilvl="0">
      <w:lvlJc w:val="left"/>
      <w:lvlText w:val="(%1)"/>
      <w:numFmt w:val="decimal"/>
      <w:start w:val="1"/>
    </w:lvl>
  </w:abstractNum>
  <w:abstractNum w:abstractNumId="97">
    <w:nsid w:val="11CCA8BA"/>
    <w:multiLevelType w:val="hybridMultilevel"/>
    <w:lvl w:ilvl="0">
      <w:lvlJc w:val="left"/>
      <w:lvlText w:val="•"/>
      <w:numFmt w:val="bullet"/>
      <w:start w:val="1"/>
    </w:lvl>
  </w:abstractNum>
  <w:abstractNum w:abstractNumId="98">
    <w:nsid w:val="4D32AB86"/>
    <w:multiLevelType w:val="hybridMultilevel"/>
    <w:lvl w:ilvl="0">
      <w:lvlJc w:val="left"/>
      <w:lvlText w:val="•"/>
      <w:numFmt w:val="bullet"/>
      <w:start w:val="1"/>
    </w:lvl>
  </w:abstractNum>
  <w:abstractNum w:abstractNumId="99">
    <w:nsid w:val="3F07ACC3"/>
    <w:multiLevelType w:val="hybridMultilevel"/>
    <w:lvl w:ilvl="0">
      <w:lvlJc w:val="left"/>
      <w:lvlText w:val="(%1)"/>
      <w:numFmt w:val="decimal"/>
      <w:start w:val="1"/>
    </w:lvl>
  </w:abstractNum>
  <w:abstractNum w:abstractNumId="100">
    <w:nsid w:val="6B47F63E"/>
    <w:multiLevelType w:val="hybridMultilevel"/>
    <w:lvl w:ilvl="0">
      <w:lvlJc w:val="left"/>
      <w:lvlText w:val="•"/>
      <w:numFmt w:val="bullet"/>
      <w:start w:val="1"/>
    </w:lvl>
  </w:abstractNum>
  <w:abstractNum w:abstractNumId="101">
    <w:nsid w:val="5CB44A05"/>
    <w:multiLevelType w:val="hybridMultilevel"/>
    <w:lvl w:ilvl="0">
      <w:lvlJc w:val="left"/>
      <w:lvlText w:val="•"/>
      <w:numFmt w:val="bullet"/>
      <w:start w:val="1"/>
    </w:lvl>
  </w:abstractNum>
  <w:abstractNum w:abstractNumId="102">
    <w:nsid w:val="16CF80F1"/>
    <w:multiLevelType w:val="hybridMultilevel"/>
    <w:lvl w:ilvl="0">
      <w:lvlJc w:val="left"/>
      <w:lvlText w:val="(%1)"/>
      <w:numFmt w:val="decimal"/>
      <w:start w:val="1"/>
    </w:lvl>
  </w:abstractNum>
  <w:abstractNum w:abstractNumId="103">
    <w:nsid w:val="1C695DEC"/>
    <w:multiLevelType w:val="hybridMultilevel"/>
    <w:lvl w:ilvl="0">
      <w:lvlJc w:val="left"/>
      <w:lvlText w:val="•"/>
      <w:numFmt w:val="bullet"/>
      <w:start w:val="1"/>
    </w:lvl>
  </w:abstractNum>
  <w:abstractNum w:abstractNumId="104">
    <w:nsid w:val="3FCFAED9"/>
    <w:multiLevelType w:val="hybridMultilevel"/>
    <w:lvl w:ilvl="0">
      <w:lvlJc w:val="left"/>
      <w:lvlText w:val="•"/>
      <w:numFmt w:val="bullet"/>
      <w:start w:val="1"/>
    </w:lvl>
  </w:abstractNum>
  <w:abstractNum w:abstractNumId="105">
    <w:nsid w:val="F856867"/>
    <w:multiLevelType w:val="hybridMultilevel"/>
    <w:lvl w:ilvl="0">
      <w:lvlJc w:val="left"/>
      <w:lvlText w:val="•"/>
      <w:numFmt w:val="bullet"/>
      <w:start w:val="1"/>
    </w:lvl>
  </w:abstractNum>
  <w:abstractNum w:abstractNumId="106">
    <w:nsid w:val="11B1CC33"/>
    <w:multiLevelType w:val="hybridMultilevel"/>
    <w:lvl w:ilvl="0">
      <w:lvlJc w:val="left"/>
      <w:lvlText w:val="•"/>
      <w:numFmt w:val="bullet"/>
      <w:start w:val="1"/>
    </w:lvl>
  </w:abstractNum>
  <w:abstractNum w:abstractNumId="107">
    <w:nsid w:val="2E22FBB7"/>
    <w:multiLevelType w:val="hybridMultilevel"/>
    <w:lvl w:ilvl="0">
      <w:lvlJc w:val="left"/>
      <w:lvlText w:val="•"/>
      <w:numFmt w:val="bullet"/>
      <w:start w:val="1"/>
    </w:lvl>
  </w:abstractNum>
  <w:abstractNum w:abstractNumId="108">
    <w:nsid w:val="29934699"/>
    <w:multiLevelType w:val="hybridMultilevel"/>
    <w:lvl w:ilvl="0">
      <w:lvlJc w:val="left"/>
      <w:lvlText w:val="•"/>
      <w:numFmt w:val="bullet"/>
      <w:start w:val="1"/>
    </w:lvl>
  </w:abstractNum>
  <w:abstractNum w:abstractNumId="109">
    <w:nsid w:val="77485850"/>
    <w:multiLevelType w:val="hybridMultilevel"/>
    <w:lvl w:ilvl="0">
      <w:lvlJc w:val="left"/>
      <w:lvlText w:val="•"/>
      <w:numFmt w:val="bullet"/>
      <w:start w:val="1"/>
    </w:lvl>
  </w:abstractNum>
  <w:abstractNum w:abstractNumId="110">
    <w:nsid w:val="744939A3"/>
    <w:multiLevelType w:val="hybridMultilevel"/>
    <w:lvl w:ilvl="0">
      <w:lvlJc w:val="left"/>
      <w:lvlText w:val="•"/>
      <w:numFmt w:val="bullet"/>
      <w:start w:val="1"/>
    </w:lvl>
  </w:abstractNum>
  <w:abstractNum w:abstractNumId="111">
    <w:nsid w:val="4FA0D2E3"/>
    <w:multiLevelType w:val="hybridMultilevel"/>
    <w:lvl w:ilvl="0">
      <w:lvlJc w:val="left"/>
      <w:lvlText w:val="(%1)"/>
      <w:numFmt w:val="decimal"/>
      <w:start w:val="1"/>
    </w:lvl>
  </w:abstractNum>
  <w:abstractNum w:abstractNumId="112">
    <w:nsid w:val="6B1D2C14"/>
    <w:multiLevelType w:val="hybridMultilevel"/>
    <w:lvl w:ilvl="0">
      <w:lvlJc w:val="left"/>
      <w:lvlText w:val="(%1)"/>
      <w:numFmt w:val="decimal"/>
      <w:start w:val="1"/>
    </w:lvl>
  </w:abstractNum>
  <w:abstractNum w:abstractNumId="113">
    <w:nsid w:val="68B867D3"/>
    <w:multiLevelType w:val="hybridMultilevel"/>
    <w:lvl w:ilvl="0">
      <w:lvlJc w:val="left"/>
      <w:lvlText w:val="(%1)"/>
      <w:numFmt w:val="decimal"/>
      <w:start w:val="2"/>
    </w:lvl>
  </w:abstractNum>
  <w:abstractNum w:abstractNumId="114">
    <w:nsid w:val="3F7F5DD9"/>
    <w:multiLevelType w:val="hybridMultilevel"/>
    <w:lvl w:ilvl="0">
      <w:lvlJc w:val="left"/>
      <w:lvlText w:val="(%1)"/>
      <w:numFmt w:val="decimal"/>
      <w:start w:val="3"/>
    </w:lvl>
  </w:abstractNum>
  <w:abstractNum w:abstractNumId="115">
    <w:nsid w:val="2AE05A34"/>
    <w:multiLevelType w:val="hybridMultilevel"/>
    <w:lvl w:ilvl="0">
      <w:lvlJc w:val="left"/>
      <w:lvlText w:val="(%1)"/>
      <w:numFmt w:val="decimal"/>
      <w:start w:val="1"/>
    </w:lvl>
  </w:abstractNum>
  <w:abstractNum w:abstractNumId="116">
    <w:nsid w:val="32794FF7"/>
    <w:multiLevelType w:val="hybridMultilevel"/>
    <w:lvl w:ilvl="0">
      <w:lvlJc w:val="left"/>
      <w:lvlText w:val="(%1)"/>
      <w:numFmt w:val="decimal"/>
      <w:start w:val="1"/>
    </w:lvl>
  </w:abstractNum>
  <w:abstractNum w:abstractNumId="117">
    <w:nsid w:val="5454945E"/>
    <w:multiLevelType w:val="hybridMultilevel"/>
    <w:lvl w:ilvl="0">
      <w:lvlJc w:val="left"/>
      <w:lvlText w:val="•"/>
      <w:numFmt w:val="bullet"/>
      <w:start w:val="1"/>
    </w:lvl>
  </w:abstractNum>
  <w:abstractNum w:abstractNumId="118">
    <w:nsid w:val="4DEFDFA0"/>
    <w:multiLevelType w:val="hybridMultilevel"/>
    <w:lvl w:ilvl="0">
      <w:lvlJc w:val="left"/>
      <w:lvlText w:val="•"/>
      <w:numFmt w:val="bullet"/>
      <w:start w:val="1"/>
    </w:lvl>
  </w:abstractNum>
  <w:abstractNum w:abstractNumId="119">
    <w:nsid w:val="2123D5F2"/>
    <w:multiLevelType w:val="hybridMultilevel"/>
    <w:lvl w:ilvl="0">
      <w:lvlJc w:val="left"/>
      <w:lvlText w:val="•"/>
      <w:numFmt w:val="bullet"/>
      <w:start w:val="1"/>
    </w:lvl>
  </w:abstractNum>
  <w:abstractNum w:abstractNumId="120">
    <w:nsid w:val="135B8110"/>
    <w:multiLevelType w:val="hybridMultilevel"/>
    <w:lvl w:ilvl="0">
      <w:lvlJc w:val="left"/>
      <w:lvlText w:val="•"/>
      <w:numFmt w:val="bullet"/>
      <w:start w:val="1"/>
    </w:lvl>
  </w:abstractNum>
  <w:abstractNum w:abstractNumId="121">
    <w:nsid w:val="94927A8"/>
    <w:multiLevelType w:val="hybridMultilevel"/>
    <w:lvl w:ilvl="0">
      <w:lvlJc w:val="left"/>
      <w:lvlText w:val="•"/>
      <w:numFmt w:val="bullet"/>
      <w:start w:val="1"/>
    </w:lvl>
  </w:abstractNum>
  <w:abstractNum w:abstractNumId="122">
    <w:nsid w:val="DCDF8F6"/>
    <w:multiLevelType w:val="hybridMultilevel"/>
    <w:lvl w:ilvl="0">
      <w:lvlJc w:val="left"/>
      <w:lvlText w:val="•"/>
      <w:numFmt w:val="bullet"/>
      <w:start w:val="1"/>
    </w:lvl>
  </w:abstractNum>
  <w:abstractNum w:abstractNumId="123">
    <w:nsid w:val="52D7B105"/>
    <w:multiLevelType w:val="hybridMultilevel"/>
    <w:lvl w:ilvl="0">
      <w:lvlJc w:val="left"/>
      <w:lvlText w:val="•"/>
      <w:numFmt w:val="bullet"/>
      <w:start w:val="1"/>
    </w:lvl>
  </w:abstractNum>
  <w:abstractNum w:abstractNumId="124">
    <w:nsid w:val="2E8A6394"/>
    <w:multiLevelType w:val="hybridMultilevel"/>
    <w:lvl w:ilvl="0">
      <w:lvlJc w:val="left"/>
      <w:lvlText w:val="(%1)"/>
      <w:numFmt w:val="decimal"/>
      <w:start w:val="1"/>
    </w:lvl>
  </w:abstractNum>
  <w:abstractNum w:abstractNumId="125">
    <w:nsid w:val="24E60401"/>
    <w:multiLevelType w:val="hybridMultilevel"/>
    <w:lvl w:ilvl="0">
      <w:lvlJc w:val="left"/>
      <w:lvlText w:val="•"/>
      <w:numFmt w:val="bullet"/>
      <w:start w:val="1"/>
    </w:lvl>
  </w:abstractNum>
  <w:abstractNum w:abstractNumId="126">
    <w:nsid w:val="2A6AD9BE"/>
    <w:multiLevelType w:val="hybridMultilevel"/>
    <w:lvl w:ilvl="0">
      <w:lvlJc w:val="left"/>
      <w:lvlText w:val="(%1)"/>
      <w:numFmt w:val="decimal"/>
      <w:start w:val="1"/>
    </w:lvl>
  </w:abstractNum>
  <w:abstractNum w:abstractNumId="127">
    <w:nsid w:val="BAAC1B4"/>
    <w:multiLevelType w:val="hybridMultilevel"/>
    <w:lvl w:ilvl="0">
      <w:lvlJc w:val="left"/>
      <w:lvlText w:val="(%1)"/>
      <w:numFmt w:val="decimal"/>
      <w:start w:val="1"/>
    </w:lvl>
  </w:abstractNum>
  <w:abstractNum w:abstractNumId="128">
    <w:nsid w:val="36B2ACBC"/>
    <w:multiLevelType w:val="hybridMultilevel"/>
    <w:lvl w:ilvl="0">
      <w:lvlJc w:val="left"/>
      <w:lvlText w:val="(%1)"/>
      <w:numFmt w:val="decimal"/>
      <w:start w:val="1"/>
    </w:lvl>
  </w:abstractNum>
  <w:abstractNum w:abstractNumId="129">
    <w:nsid w:val="779D8544"/>
    <w:multiLevelType w:val="hybridMultilevel"/>
    <w:lvl w:ilvl="0">
      <w:lvlJc w:val="left"/>
      <w:lvlText w:val="•"/>
      <w:numFmt w:val="bullet"/>
      <w:start w:val="1"/>
    </w:lvl>
  </w:abstractNum>
  <w:abstractNum w:abstractNumId="130">
    <w:nsid w:val="4AB26E78"/>
    <w:multiLevelType w:val="hybridMultilevel"/>
    <w:lvl w:ilvl="0">
      <w:lvlJc w:val="left"/>
      <w:lvlText w:val="•"/>
      <w:numFmt w:val="bullet"/>
      <w:start w:val="1"/>
    </w:lvl>
  </w:abstractNum>
  <w:abstractNum w:abstractNumId="131">
    <w:nsid w:val="21FAA2FA"/>
    <w:multiLevelType w:val="hybridMultilevel"/>
    <w:lvl w:ilvl="0">
      <w:lvlJc w:val="left"/>
      <w:lvlText w:val="•"/>
      <w:numFmt w:val="bullet"/>
      <w:start w:val="1"/>
    </w:lvl>
  </w:abstractNum>
  <w:abstractNum w:abstractNumId="132">
    <w:nsid w:val="5451CF49"/>
    <w:multiLevelType w:val="hybridMultilevel"/>
    <w:lvl w:ilvl="0">
      <w:lvlJc w:val="left"/>
      <w:lvlText w:val="(%1)"/>
      <w:numFmt w:val="decimal"/>
      <w:start w:val="1"/>
    </w:lvl>
  </w:abstractNum>
  <w:abstractNum w:abstractNumId="133">
    <w:nsid w:val="6181EF69"/>
    <w:multiLevelType w:val="hybridMultilevel"/>
    <w:lvl w:ilvl="0">
      <w:lvlJc w:val="left"/>
      <w:lvlText w:val="(%1)"/>
      <w:numFmt w:val="decimal"/>
      <w:start w:val="1"/>
    </w:lvl>
  </w:abstractNum>
  <w:abstractNum w:abstractNumId="134">
    <w:nsid w:val="3E6400E6"/>
    <w:multiLevelType w:val="hybridMultilevel"/>
    <w:lvl w:ilvl="0">
      <w:lvlJc w:val="left"/>
      <w:lvlText w:val="•"/>
      <w:numFmt w:val="bullet"/>
      <w:start w:val="1"/>
    </w:lvl>
  </w:abstractNum>
  <w:abstractNum w:abstractNumId="135">
    <w:nsid w:val="14217E23"/>
    <w:multiLevelType w:val="hybridMultilevel"/>
    <w:lvl w:ilvl="0">
      <w:lvlJc w:val="left"/>
      <w:lvlText w:val="(%1)"/>
      <w:numFmt w:val="decimal"/>
      <w:start w:val="1"/>
    </w:lvl>
  </w:abstractNum>
  <w:abstractNum w:abstractNumId="136">
    <w:nsid w:val="710757D0"/>
    <w:multiLevelType w:val="hybridMultilevel"/>
    <w:lvl w:ilvl="0">
      <w:lvlJc w:val="left"/>
      <w:lvlText w:val="(%1)"/>
      <w:numFmt w:val="decimal"/>
      <w:start w:val="1"/>
    </w:lvl>
  </w:abstractNum>
  <w:abstractNum w:abstractNumId="137">
    <w:nsid w:val="5015CD1A"/>
    <w:multiLevelType w:val="hybridMultilevel"/>
    <w:lvl w:ilvl="0">
      <w:lvlJc w:val="left"/>
      <w:lvlText w:val="(%1)"/>
      <w:numFmt w:val="decimal"/>
      <w:start w:val="1"/>
    </w:lvl>
  </w:abstractNum>
  <w:abstractNum w:abstractNumId="138">
    <w:nsid w:val="424479DA"/>
    <w:multiLevelType w:val="hybridMultilevel"/>
    <w:lvl w:ilvl="0">
      <w:lvlJc w:val="left"/>
      <w:lvlText w:val="•"/>
      <w:numFmt w:val="bullet"/>
      <w:start w:val="1"/>
    </w:lvl>
  </w:abstractNum>
  <w:abstractNum w:abstractNumId="139">
    <w:nsid w:val="1A9A9E69"/>
    <w:multiLevelType w:val="hybridMultilevel"/>
    <w:lvl w:ilvl="0">
      <w:lvlJc w:val="left"/>
      <w:lvlText w:val="(%1)"/>
      <w:numFmt w:val="decimal"/>
      <w:start w:val="1"/>
    </w:lvl>
  </w:abstractNum>
  <w:abstractNum w:abstractNumId="140">
    <w:nsid w:val="475E256A"/>
    <w:multiLevelType w:val="hybridMultilevel"/>
    <w:lvl w:ilvl="0">
      <w:lvlJc w:val="left"/>
      <w:lvlText w:val="•"/>
      <w:numFmt w:val="bullet"/>
      <w:start w:val="1"/>
    </w:lvl>
  </w:abstractNum>
  <w:abstractNum w:abstractNumId="141">
    <w:nsid w:val="368DB37E"/>
    <w:multiLevelType w:val="hybridMultilevel"/>
    <w:lvl w:ilvl="0">
      <w:lvlJc w:val="left"/>
      <w:lvlText w:val="(%1)"/>
      <w:numFmt w:val="decimal"/>
      <w:start w:val="1"/>
    </w:lvl>
  </w:abstractNum>
  <w:abstractNum w:abstractNumId="142">
    <w:nsid w:val="6A3B714C"/>
    <w:multiLevelType w:val="hybridMultilevel"/>
    <w:lvl w:ilvl="0">
      <w:lvlJc w:val="left"/>
      <w:lvlText w:val="•"/>
      <w:numFmt w:val="bullet"/>
      <w:start w:val="1"/>
    </w:lvl>
  </w:abstractNum>
  <w:abstractNum w:abstractNumId="143">
    <w:nsid w:val="327B517E"/>
    <w:multiLevelType w:val="hybridMultilevel"/>
    <w:lvl w:ilvl="0">
      <w:lvlJc w:val="left"/>
      <w:lvlText w:val="•"/>
      <w:numFmt w:val="bullet"/>
      <w:start w:val="1"/>
    </w:lvl>
  </w:abstractNum>
  <w:abstractNum w:abstractNumId="144">
    <w:nsid w:val="1F461B51"/>
    <w:multiLevelType w:val="hybridMultilevel"/>
    <w:lvl w:ilvl="0">
      <w:lvlJc w:val="left"/>
      <w:lvlText w:val="(%1)"/>
      <w:numFmt w:val="decimal"/>
      <w:start w:val="1"/>
    </w:lvl>
  </w:abstractNum>
  <w:abstractNum w:abstractNumId="145">
    <w:nsid w:val="29BACF25"/>
    <w:multiLevelType w:val="hybridMultilevel"/>
    <w:lvl w:ilvl="0">
      <w:lvlJc w:val="left"/>
      <w:lvlText w:val="•"/>
      <w:numFmt w:val="bullet"/>
      <w:start w:val="1"/>
    </w:lvl>
  </w:abstractNum>
  <w:abstractNum w:abstractNumId="146">
    <w:nsid w:val="5D5BABB3"/>
    <w:multiLevelType w:val="hybridMultilevel"/>
    <w:lvl w:ilvl="0">
      <w:lvlJc w:val="left"/>
      <w:lvlText w:val="(%1)"/>
      <w:numFmt w:val="decimal"/>
      <w:start w:val="1"/>
    </w:lvl>
  </w:abstractNum>
  <w:abstractNum w:abstractNumId="147">
    <w:nsid w:val="51BF6B48"/>
    <w:multiLevelType w:val="hybridMultilevel"/>
    <w:lvl w:ilvl="0">
      <w:lvlJc w:val="left"/>
      <w:lvlText w:val="•"/>
      <w:numFmt w:val="bullet"/>
      <w:start w:val="1"/>
    </w:lvl>
    <w:lvl w:ilvl="1">
      <w:lvlJc w:val="left"/>
      <w:lvlText w:val="•"/>
      <w:numFmt w:val="bullet"/>
      <w:start w:val="1"/>
    </w:lvl>
  </w:abstractNum>
  <w:abstractNum w:abstractNumId="148">
    <w:nsid w:val="7E0F6384"/>
    <w:multiLevelType w:val="hybridMultilevel"/>
    <w:lvl w:ilvl="0">
      <w:lvlJc w:val="left"/>
      <w:lvlText w:val="•"/>
      <w:numFmt w:val="bullet"/>
      <w:start w:val="1"/>
    </w:lvl>
  </w:abstractNum>
  <w:abstractNum w:abstractNumId="149">
    <w:nsid w:val="2B4B8B53"/>
    <w:multiLevelType w:val="hybridMultilevel"/>
    <w:lvl w:ilvl="0">
      <w:lvlJc w:val="left"/>
      <w:lvlText w:val="(%1)"/>
      <w:numFmt w:val="decimal"/>
      <w:start w:val="1"/>
    </w:lvl>
  </w:abstractNum>
  <w:abstractNum w:abstractNumId="150">
    <w:nsid w:val="72E3413A"/>
    <w:multiLevelType w:val="hybridMultilevel"/>
    <w:lvl w:ilvl="0">
      <w:lvlJc w:val="left"/>
      <w:lvlText w:val="(%1)"/>
      <w:numFmt w:val="decimal"/>
      <w:start w:val="1"/>
    </w:lvl>
  </w:abstractNum>
  <w:abstractNum w:abstractNumId="151">
    <w:nsid w:val="116AE494"/>
    <w:multiLevelType w:val="hybridMultilevel"/>
    <w:lvl w:ilvl="0">
      <w:lvlJc w:val="left"/>
      <w:lvlText w:val="(%1)"/>
      <w:numFmt w:val="lowerLetter"/>
      <w:start w:val="1"/>
    </w:lvl>
  </w:abstractNum>
  <w:abstractNum w:abstractNumId="152">
    <w:nsid w:val="3494B2FB"/>
    <w:multiLevelType w:val="hybridMultilevel"/>
    <w:lvl w:ilvl="0">
      <w:lvlJc w:val="left"/>
      <w:lvlText w:val="•"/>
      <w:numFmt w:val="bullet"/>
      <w:start w:val="1"/>
    </w:lvl>
  </w:abstractNum>
  <w:abstractNum w:abstractNumId="153">
    <w:nsid w:val="B13A31"/>
    <w:multiLevelType w:val="hybridMultilevel"/>
    <w:lvl w:ilvl="0">
      <w:lvlJc w:val="left"/>
      <w:lvlText w:val="•"/>
      <w:numFmt w:val="bullet"/>
      <w:start w:val="1"/>
    </w:lvl>
  </w:abstractNum>
  <w:abstractNum w:abstractNumId="154">
    <w:nsid w:val="64429599"/>
    <w:multiLevelType w:val="hybridMultilevel"/>
    <w:lvl w:ilvl="0">
      <w:lvlJc w:val="left"/>
      <w:lvlText w:val="•"/>
      <w:numFmt w:val="bullet"/>
      <w:start w:val="1"/>
    </w:lvl>
  </w:abstractNum>
  <w:abstractNum w:abstractNumId="155">
    <w:nsid w:val="631F1690"/>
    <w:multiLevelType w:val="hybridMultilevel"/>
    <w:lvl w:ilvl="0">
      <w:lvlJc w:val="left"/>
      <w:lvlText w:val="•"/>
      <w:numFmt w:val="bullet"/>
      <w:start w:val="1"/>
    </w:lvl>
  </w:abstractNum>
  <w:abstractNum w:abstractNumId="156">
    <w:nsid w:val="25973E32"/>
    <w:multiLevelType w:val="hybridMultilevel"/>
    <w:lvl w:ilvl="0">
      <w:lvlJc w:val="left"/>
      <w:lvlText w:val="•"/>
      <w:numFmt w:val="bullet"/>
      <w:start w:val="1"/>
    </w:lvl>
  </w:abstractNum>
  <w:abstractNum w:abstractNumId="157">
    <w:nsid w:val="EAD6F57"/>
    <w:multiLevelType w:val="hybridMultilevel"/>
    <w:lvl w:ilvl="0">
      <w:lvlJc w:val="left"/>
      <w:lvlText w:val="(%1)"/>
      <w:numFmt w:val="decimal"/>
      <w:start w:val="1"/>
    </w:lvl>
  </w:abstractNum>
  <w:abstractNum w:abstractNumId="158">
    <w:nsid w:val="6EC9D844"/>
    <w:multiLevelType w:val="hybridMultilevel"/>
    <w:lvl w:ilvl="0">
      <w:lvlJc w:val="left"/>
      <w:lvlText w:val="(%1)"/>
      <w:numFmt w:val="decimal"/>
      <w:start w:val="1"/>
    </w:lvl>
  </w:abstractNum>
  <w:abstractNum w:abstractNumId="159">
    <w:nsid w:val="5C49EAEE"/>
    <w:multiLevelType w:val="hybridMultilevel"/>
    <w:lvl w:ilvl="0">
      <w:lvlJc w:val="left"/>
      <w:lvlText w:val="•"/>
      <w:numFmt w:val="bullet"/>
      <w:start w:val="1"/>
    </w:lvl>
  </w:abstractNum>
  <w:abstractNum w:abstractNumId="160">
    <w:nsid w:val="64AF49B"/>
    <w:multiLevelType w:val="hybridMultilevel"/>
    <w:lvl w:ilvl="0">
      <w:lvlJc w:val="left"/>
      <w:lvlText w:val="(%1)"/>
      <w:numFmt w:val="decimal"/>
      <w:start w:val="1"/>
    </w:lvl>
  </w:abstractNum>
  <w:abstractNum w:abstractNumId="161">
    <w:nsid w:val="397C46BC"/>
    <w:multiLevelType w:val="hybridMultilevel"/>
    <w:lvl w:ilvl="0">
      <w:lvlJc w:val="left"/>
      <w:lvlText w:val="(%1)"/>
      <w:numFmt w:val="decimal"/>
      <w:start w:val="1"/>
    </w:lvl>
  </w:abstractNum>
  <w:abstractNum w:abstractNumId="162">
    <w:nsid w:val="7E448DE9"/>
    <w:multiLevelType w:val="hybridMultilevel"/>
    <w:lvl w:ilvl="0">
      <w:lvlJc w:val="left"/>
      <w:lvlText w:val="(%1)"/>
      <w:numFmt w:val="decimal"/>
      <w:start w:val="1"/>
    </w:lvl>
  </w:abstractNum>
  <w:abstractNum w:abstractNumId="163">
    <w:nsid w:val="5A9CC3E5"/>
    <w:multiLevelType w:val="hybridMultilevel"/>
    <w:lvl w:ilvl="0">
      <w:lvlJc w:val="left"/>
      <w:lvlText w:val="(%1)"/>
      <w:numFmt w:val="decimal"/>
      <w:start w:val="1"/>
    </w:lvl>
  </w:abstractNum>
  <w:abstractNum w:abstractNumId="164">
    <w:nsid w:val="1AFE3625"/>
    <w:multiLevelType w:val="hybridMultilevel"/>
    <w:lvl w:ilvl="0">
      <w:lvlJc w:val="left"/>
      <w:lvlText w:val="(%1)"/>
      <w:numFmt w:val="decimal"/>
      <w:start w:val="1"/>
    </w:lvl>
  </w:abstractNum>
  <w:abstractNum w:abstractNumId="165">
    <w:nsid w:val="3CA88ECF"/>
    <w:multiLevelType w:val="hybridMultilevel"/>
    <w:lvl w:ilvl="0">
      <w:lvlJc w:val="left"/>
      <w:lvlText w:val="(%1)"/>
      <w:numFmt w:val="decimal"/>
      <w:start w:val="1"/>
    </w:lvl>
  </w:abstractNum>
  <w:abstractNum w:abstractNumId="166">
    <w:nsid w:val="6EBE4208"/>
    <w:multiLevelType w:val="hybridMultilevel"/>
    <w:lvl w:ilvl="0">
      <w:lvlJc w:val="left"/>
      <w:lvlText w:val="•"/>
      <w:numFmt w:val="bullet"/>
      <w:start w:val="1"/>
    </w:lvl>
  </w:abstractNum>
  <w:abstractNum w:abstractNumId="167">
    <w:nsid w:val="C058DF5"/>
    <w:multiLevelType w:val="hybridMultilevel"/>
    <w:lvl w:ilvl="0">
      <w:lvlJc w:val="left"/>
      <w:lvlText w:val="•"/>
      <w:numFmt w:val="bullet"/>
      <w:start w:val="1"/>
    </w:lvl>
  </w:abstractNum>
  <w:abstractNum w:abstractNumId="168">
    <w:nsid w:val="CBE5BE9"/>
    <w:multiLevelType w:val="hybridMultilevel"/>
    <w:lvl w:ilvl="0">
      <w:lvlJc w:val="left"/>
      <w:lvlText w:val="•"/>
      <w:numFmt w:val="bullet"/>
      <w:start w:val="1"/>
    </w:lvl>
  </w:abstractNum>
  <w:abstractNum w:abstractNumId="169">
    <w:nsid w:val="3102BBE2"/>
    <w:multiLevelType w:val="hybridMultilevel"/>
    <w:lvl w:ilvl="0">
      <w:lvlJc w:val="left"/>
      <w:lvlText w:val="(%1)"/>
      <w:numFmt w:val="decimal"/>
      <w:start w:val="1"/>
    </w:lvl>
  </w:abstractNum>
  <w:abstractNum w:abstractNumId="170">
    <w:nsid w:val="26A02C5E"/>
    <w:multiLevelType w:val="hybridMultilevel"/>
    <w:lvl w:ilvl="0">
      <w:lvlJc w:val="left"/>
      <w:lvlText w:val="(%1)"/>
      <w:numFmt w:val="decimal"/>
      <w:start w:val="4"/>
    </w:lvl>
  </w:abstractNum>
  <w:abstractNum w:abstractNumId="171">
    <w:nsid w:val="541C8153"/>
    <w:multiLevelType w:val="hybridMultilevel"/>
    <w:lvl w:ilvl="0">
      <w:lvlJc w:val="left"/>
      <w:lvlText w:val="(%1)"/>
      <w:numFmt w:val="decimal"/>
      <w:start w:val="5"/>
    </w:lvl>
  </w:abstractNum>
  <w:abstractNum w:abstractNumId="172">
    <w:nsid w:val="67906F60"/>
    <w:multiLevelType w:val="hybridMultilevel"/>
    <w:lvl w:ilvl="0">
      <w:lvlJc w:val="left"/>
      <w:lvlText w:val="(%1)"/>
      <w:numFmt w:val="decimal"/>
      <w:start w:val="6"/>
    </w:lvl>
  </w:abstractNum>
  <w:abstractNum w:abstractNumId="173">
    <w:nsid w:val="10DB9DAA"/>
    <w:multiLevelType w:val="hybridMultilevel"/>
    <w:lvl w:ilvl="0">
      <w:lvlJc w:val="left"/>
      <w:lvlText w:val="%1"/>
      <w:numFmt w:val="decimal"/>
      <w:start w:val="1"/>
    </w:lvl>
    <w:lvl w:ilvl="1">
      <w:lvlJc w:val="left"/>
      <w:lvlText w:val="(%2)"/>
      <w:numFmt w:val="lowerLetter"/>
      <w:start w:val="1"/>
    </w:lvl>
  </w:abstractNum>
  <w:abstractNum w:abstractNumId="174">
    <w:nsid w:val="697D2D2"/>
    <w:multiLevelType w:val="hybridMultilevel"/>
    <w:lvl w:ilvl="0">
      <w:lvlJc w:val="left"/>
      <w:lvlText w:val="(%1)"/>
      <w:numFmt w:val="decimal"/>
      <w:start w:val="7"/>
    </w:lvl>
    <w:lvl w:ilvl="1">
      <w:lvlJc w:val="left"/>
      <w:lvlText w:val="%2"/>
      <w:numFmt w:val="lowerLetter"/>
      <w:start w:val="1"/>
    </w:lvl>
  </w:abstractNum>
  <w:abstractNum w:abstractNumId="175">
    <w:nsid w:val="6D68AB2"/>
    <w:multiLevelType w:val="hybridMultilevel"/>
    <w:lvl w:ilvl="0">
      <w:lvlJc w:val="left"/>
      <w:lvlText w:val="%1"/>
      <w:numFmt w:val="decimal"/>
      <w:start w:val="1"/>
    </w:lvl>
    <w:lvl w:ilvl="1">
      <w:lvlJc w:val="left"/>
      <w:lvlText w:val="(%2)"/>
      <w:numFmt w:val="lowerLetter"/>
      <w:start w:val="1"/>
    </w:lvl>
  </w:abstractNum>
  <w:abstractNum w:abstractNumId="176">
    <w:nsid w:val="3A966CD0"/>
    <w:multiLevelType w:val="hybridMultilevel"/>
    <w:lvl w:ilvl="0">
      <w:lvlJc w:val="left"/>
      <w:lvlText w:val="(%1)"/>
      <w:numFmt w:val="decimal"/>
      <w:start w:val="8"/>
    </w:lvl>
    <w:lvl w:ilvl="1">
      <w:lvlJc w:val="left"/>
      <w:lvlText w:val="%2"/>
      <w:numFmt w:val="lowerLetter"/>
      <w:start w:val="1"/>
    </w:lvl>
  </w:abstractNum>
  <w:abstractNum w:abstractNumId="177">
    <w:nsid w:val="63F37E85"/>
    <w:multiLevelType w:val="hybridMultilevel"/>
    <w:lvl w:ilvl="0">
      <w:lvlJc w:val="left"/>
      <w:lvlText w:val="(%1)"/>
      <w:numFmt w:val="decimal"/>
      <w:start w:val="1"/>
    </w:lvl>
  </w:abstractNum>
  <w:abstractNum w:abstractNumId="178">
    <w:nsid w:val="5895F5FA"/>
    <w:multiLevelType w:val="hybridMultilevel"/>
    <w:lvl w:ilvl="0">
      <w:lvlJc w:val="left"/>
      <w:lvlText w:val="(%1)"/>
      <w:numFmt w:val="decimal"/>
      <w:start w:val="1"/>
    </w:lvl>
  </w:abstractNum>
  <w:abstractNum w:abstractNumId="179">
    <w:nsid w:val="38A5D054"/>
    <w:multiLevelType w:val="hybridMultilevel"/>
    <w:lvl w:ilvl="0">
      <w:lvlJc w:val="left"/>
      <w:lvlText w:val="(%1)"/>
      <w:numFmt w:val="decimal"/>
      <w:start w:val="19"/>
    </w:lvl>
  </w:abstractNum>
  <w:abstractNum w:abstractNumId="180">
    <w:nsid w:val="F3F09D8"/>
    <w:multiLevelType w:val="hybridMultilevel"/>
    <w:lvl w:ilvl="0">
      <w:lvlJc w:val="left"/>
      <w:lvlText w:val="(%1)"/>
      <w:numFmt w:val="decimal"/>
      <w:start w:val="1"/>
    </w:lvl>
  </w:abstractNum>
  <w:abstractNum w:abstractNumId="181">
    <w:nsid w:val="4B793735"/>
    <w:multiLevelType w:val="hybridMultilevel"/>
    <w:lvl w:ilvl="0">
      <w:lvlJc w:val="left"/>
      <w:lvlText w:val="(%1)"/>
      <w:numFmt w:val="decimal"/>
      <w:start w:val="1"/>
    </w:lvl>
  </w:abstractNum>
  <w:abstractNum w:abstractNumId="182">
    <w:nsid w:val="4A10B4E8"/>
    <w:multiLevelType w:val="hybridMultilevel"/>
    <w:lvl w:ilvl="0">
      <w:lvlJc w:val="left"/>
      <w:lvlText w:val="•"/>
      <w:numFmt w:val="bullet"/>
      <w:start w:val="1"/>
    </w:lvl>
  </w:abstractNum>
  <w:abstractNum w:abstractNumId="183">
    <w:nsid w:val="43D3BCD4"/>
    <w:multiLevelType w:val="hybridMultilevel"/>
    <w:lvl w:ilvl="0">
      <w:lvlJc w:val="left"/>
      <w:lvlText w:val="•"/>
      <w:numFmt w:val="bullet"/>
      <w:start w:val="1"/>
    </w:lvl>
  </w:abstractNum>
  <w:abstractNum w:abstractNumId="184">
    <w:nsid w:val="4C2A7166"/>
    <w:multiLevelType w:val="hybridMultilevel"/>
    <w:lvl w:ilvl="0">
      <w:lvlJc w:val="left"/>
      <w:lvlText w:val="•"/>
      <w:numFmt w:val="bullet"/>
      <w:start w:val="1"/>
    </w:lvl>
  </w:abstractNum>
  <w:abstractNum w:abstractNumId="185">
    <w:nsid w:val="2E534A82"/>
    <w:multiLevelType w:val="hybridMultilevel"/>
    <w:lvl w:ilvl="0">
      <w:lvlJc w:val="left"/>
      <w:lvlText w:val="(%1)"/>
      <w:numFmt w:val="decimal"/>
      <w:start w:val="1"/>
    </w:lvl>
  </w:abstractNum>
  <w:abstractNum w:abstractNumId="186">
    <w:nsid w:val="26F2D364"/>
    <w:multiLevelType w:val="hybridMultilevel"/>
    <w:lvl w:ilvl="0">
      <w:lvlJc w:val="left"/>
      <w:lvlText w:val="•"/>
      <w:numFmt w:val="bullet"/>
      <w:start w:val="1"/>
    </w:lvl>
  </w:abstractNum>
  <w:abstractNum w:abstractNumId="187">
    <w:nsid w:val="71C1AF98"/>
    <w:multiLevelType w:val="hybridMultilevel"/>
    <w:lvl w:ilvl="0">
      <w:lvlJc w:val="left"/>
      <w:lvlText w:val="•"/>
      <w:numFmt w:val="bullet"/>
      <w:start w:val="1"/>
    </w:lvl>
  </w:abstractNum>
  <w:abstractNum w:abstractNumId="188">
    <w:nsid w:val="3D00B9D9"/>
    <w:multiLevelType w:val="hybridMultilevel"/>
    <w:lvl w:ilvl="0">
      <w:lvlJc w:val="left"/>
      <w:lvlText w:val="•"/>
      <w:numFmt w:val="bullet"/>
      <w:start w:val="1"/>
    </w:lvl>
  </w:abstractNum>
  <w:abstractNum w:abstractNumId="189">
    <w:nsid w:val="15BCABA8"/>
    <w:multiLevelType w:val="hybridMultilevel"/>
    <w:lvl w:ilvl="0">
      <w:lvlJc w:val="left"/>
      <w:lvlText w:val="(%1)"/>
      <w:numFmt w:val="decimal"/>
      <w:start w:val="1"/>
    </w:lvl>
  </w:abstractNum>
  <w:abstractNum w:abstractNumId="190">
    <w:nsid w:val="4E0B9A87"/>
    <w:multiLevelType w:val="hybridMultilevel"/>
    <w:lvl w:ilvl="0">
      <w:lvlJc w:val="left"/>
      <w:lvlText w:val="•"/>
      <w:numFmt w:val="bullet"/>
      <w:start w:val="1"/>
    </w:lvl>
    <w:lvl w:ilvl="1">
      <w:lvlJc w:val="left"/>
      <w:lvlText w:val="•"/>
      <w:numFmt w:val="bullet"/>
      <w:start w:val="1"/>
    </w:lvl>
  </w:abstractNum>
  <w:abstractNum w:abstractNumId="191">
    <w:nsid w:val="434BAE75"/>
    <w:multiLevelType w:val="hybridMultilevel"/>
    <w:lvl w:ilvl="0">
      <w:lvlJc w:val="left"/>
      <w:lvlText w:val="•"/>
      <w:numFmt w:val="bullet"/>
      <w:start w:val="1"/>
    </w:lvl>
  </w:abstractNum>
  <w:abstractNum w:abstractNumId="192">
    <w:nsid w:val="4F38F265"/>
    <w:multiLevelType w:val="hybridMultilevel"/>
    <w:lvl w:ilvl="0">
      <w:lvlJc w:val="left"/>
      <w:lvlText w:val="•"/>
      <w:numFmt w:val="bullet"/>
      <w:start w:val="1"/>
    </w:lvl>
  </w:abstractNum>
  <w:abstractNum w:abstractNumId="193">
    <w:nsid w:val="4C502870"/>
    <w:multiLevelType w:val="hybridMultilevel"/>
    <w:lvl w:ilvl="0">
      <w:lvlJc w:val="left"/>
      <w:lvlText w:val="•"/>
      <w:numFmt w:val="bullet"/>
      <w:start w:val="1"/>
    </w:lvl>
  </w:abstractNum>
  <w:abstractNum w:abstractNumId="194">
    <w:nsid w:val="1DE8725A"/>
    <w:multiLevelType w:val="hybridMultilevel"/>
    <w:lvl w:ilvl="0">
      <w:lvlJc w:val="left"/>
      <w:lvlText w:val="•"/>
      <w:numFmt w:val="bullet"/>
      <w:start w:val="1"/>
    </w:lvl>
  </w:abstractNum>
  <w:abstractNum w:abstractNumId="195">
    <w:nsid w:val="6A37288A"/>
    <w:multiLevelType w:val="hybridMultilevel"/>
    <w:lvl w:ilvl="0">
      <w:lvlJc w:val="left"/>
      <w:lvlText w:val="(%1)"/>
      <w:numFmt w:val="decimal"/>
      <w:start w:val="1"/>
    </w:lvl>
  </w:abstractNum>
  <w:abstractNum w:abstractNumId="196">
    <w:nsid w:val="8F8B73F"/>
    <w:multiLevelType w:val="hybridMultilevel"/>
    <w:lvl w:ilvl="0">
      <w:lvlJc w:val="left"/>
      <w:lvlText w:val="(%1)"/>
      <w:numFmt w:val="decimal"/>
      <w:start w:val="1"/>
    </w:lvl>
  </w:abstractNum>
  <w:abstractNum w:abstractNumId="197">
    <w:nsid w:val="CA6B462"/>
    <w:multiLevelType w:val="hybridMultilevel"/>
    <w:lvl w:ilvl="0">
      <w:lvlJc w:val="left"/>
      <w:lvlText w:val="(%1)"/>
      <w:numFmt w:val="decimal"/>
      <w:start w:val="2"/>
    </w:lvl>
  </w:abstractNum>
  <w:abstractNum w:abstractNumId="198">
    <w:nsid w:val="763CB680"/>
    <w:multiLevelType w:val="hybridMultilevel"/>
    <w:lvl w:ilvl="0">
      <w:lvlJc w:val="left"/>
      <w:lvlText w:val="(%1)"/>
      <w:numFmt w:val="decimal"/>
      <w:start w:val="4"/>
    </w:lvl>
  </w:abstractNum>
  <w:abstractNum w:abstractNumId="199">
    <w:nsid w:val="15B71329"/>
    <w:multiLevelType w:val="hybridMultilevel"/>
    <w:lvl w:ilvl="0">
      <w:lvlJc w:val="left"/>
      <w:lvlText w:val="(%1)"/>
      <w:numFmt w:val="decimal"/>
      <w:start w:val="5"/>
    </w:lvl>
  </w:abstractNum>
  <w:abstractNum w:abstractNumId="200">
    <w:nsid w:val="3DA97044"/>
    <w:multiLevelType w:val="hybridMultilevel"/>
    <w:lvl w:ilvl="0">
      <w:lvlJc w:val="left"/>
      <w:lvlText w:val="(%1)"/>
      <w:numFmt w:val="decimal"/>
      <w:start w:val="6"/>
    </w:lvl>
  </w:abstractNum>
  <w:abstractNum w:abstractNumId="201">
    <w:nsid w:val="1CDCE2DE"/>
    <w:multiLevelType w:val="hybridMultilevel"/>
    <w:lvl w:ilvl="0">
      <w:lvlJc w:val="left"/>
      <w:lvlText w:val="•"/>
      <w:numFmt w:val="bullet"/>
      <w:start w:val="1"/>
    </w:lvl>
  </w:abstractNum>
  <w:abstractNum w:abstractNumId="202">
    <w:nsid w:val="69D3947C"/>
    <w:multiLevelType w:val="hybridMultilevel"/>
    <w:lvl w:ilvl="0">
      <w:lvlJc w:val="left"/>
      <w:lvlText w:val="•"/>
      <w:numFmt w:val="bullet"/>
      <w:start w:val="1"/>
    </w:lvl>
  </w:abstractNum>
  <w:abstractNum w:abstractNumId="203">
    <w:nsid w:val="2539DFA5"/>
    <w:multiLevelType w:val="hybridMultilevel"/>
    <w:lvl w:ilvl="0">
      <w:lvlJc w:val="left"/>
      <w:lvlText w:val="•"/>
      <w:numFmt w:val="bullet"/>
      <w:start w:val="1"/>
    </w:lvl>
  </w:abstractNum>
  <w:abstractNum w:abstractNumId="204">
    <w:nsid w:val="2DB88089"/>
    <w:multiLevelType w:val="hybridMultilevel"/>
    <w:lvl w:ilvl="0">
      <w:lvlJc w:val="left"/>
      <w:lvlText w:val="(%1)"/>
      <w:numFmt w:val="decimal"/>
      <w:start w:val="1"/>
    </w:lvl>
  </w:abstractNum>
  <w:abstractNum w:abstractNumId="205">
    <w:nsid w:val="706B674E"/>
    <w:multiLevelType w:val="hybridMultilevel"/>
    <w:lvl w:ilvl="0">
      <w:lvlJc w:val="left"/>
      <w:lvlText w:val="(%1)"/>
      <w:numFmt w:val="decimal"/>
      <w:start w:val="1"/>
    </w:lvl>
  </w:abstractNum>
  <w:abstractNum w:abstractNumId="206">
    <w:nsid w:val="2C106A57"/>
    <w:multiLevelType w:val="hybridMultilevel"/>
    <w:lvl w:ilvl="0">
      <w:lvlJc w:val="left"/>
      <w:lvlText w:val="•"/>
      <w:numFmt w:val="bullet"/>
      <w:start w:val="1"/>
    </w:lvl>
  </w:abstractNum>
  <w:abstractNum w:abstractNumId="207">
    <w:nsid w:val="684EED59"/>
    <w:multiLevelType w:val="hybridMultilevel"/>
    <w:lvl w:ilvl="0">
      <w:lvlJc w:val="left"/>
      <w:lvlText w:val="(%1)"/>
      <w:numFmt w:val="decimal"/>
      <w:start w:val="1"/>
    </w:lvl>
  </w:abstractNum>
  <w:abstractNum w:abstractNumId="208">
    <w:nsid w:val="545EE5D3"/>
    <w:multiLevelType w:val="hybridMultilevel"/>
    <w:lvl w:ilvl="0">
      <w:lvlJc w:val="left"/>
      <w:lvlText w:val="(%1)"/>
      <w:numFmt w:val="decimal"/>
      <w:start w:val="2"/>
    </w:lvl>
  </w:abstractNum>
  <w:abstractNum w:abstractNumId="209">
    <w:nsid w:val="4A66051"/>
    <w:multiLevelType w:val="hybridMultilevel"/>
    <w:lvl w:ilvl="0">
      <w:lvlJc w:val="left"/>
      <w:lvlText w:val="(%1)"/>
      <w:numFmt w:val="decimal"/>
      <w:start w:val="1"/>
    </w:lvl>
  </w:abstractNum>
  <w:abstractNum w:abstractNumId="210">
    <w:nsid w:val="20F4BDAD"/>
    <w:multiLevelType w:val="hybridMultilevel"/>
    <w:lvl w:ilvl="0">
      <w:lvlJc w:val="left"/>
      <w:lvlText w:val="(%1)"/>
      <w:numFmt w:val="decimal"/>
      <w:start w:val="3"/>
    </w:lvl>
  </w:abstractNum>
  <w:abstractNum w:abstractNumId="211">
    <w:nsid w:val="639DEFAC"/>
    <w:multiLevelType w:val="hybridMultilevel"/>
    <w:lvl w:ilvl="0">
      <w:lvlJc w:val="left"/>
      <w:lvlText w:val="(%1)"/>
      <w:numFmt w:val="decimal"/>
      <w:start w:val="1"/>
    </w:lvl>
  </w:abstractNum>
  <w:abstractNum w:abstractNumId="212">
    <w:nsid w:val="501F9786"/>
    <w:multiLevelType w:val="hybridMultilevel"/>
    <w:lvl w:ilvl="0">
      <w:lvlJc w:val="left"/>
      <w:lvlText w:val="(%1)"/>
      <w:numFmt w:val="decimal"/>
      <w:start w:val="4"/>
    </w:lvl>
  </w:abstractNum>
  <w:abstractNum w:abstractNumId="213">
    <w:nsid w:val="6B057295"/>
    <w:multiLevelType w:val="hybridMultilevel"/>
    <w:lvl w:ilvl="0">
      <w:lvlJc w:val="left"/>
      <w:lvlText w:val="(%1)"/>
      <w:numFmt w:val="decimal"/>
      <w:start w:val="5"/>
    </w:lvl>
  </w:abstractNum>
  <w:abstractNum w:abstractNumId="214">
    <w:nsid w:val="2771AC80"/>
    <w:multiLevelType w:val="hybridMultilevel"/>
    <w:lvl w:ilvl="0">
      <w:lvlJc w:val="left"/>
      <w:lvlText w:val="(%1)"/>
      <w:numFmt w:val="decimal"/>
      <w:start w:val="1"/>
    </w:lvl>
  </w:abstractNum>
  <w:abstractNum w:abstractNumId="215">
    <w:nsid w:val="1C4A08EC"/>
    <w:multiLevelType w:val="hybridMultilevel"/>
    <w:lvl w:ilvl="0">
      <w:lvlJc w:val="left"/>
      <w:lvlText w:val="(%1)"/>
      <w:numFmt w:val="decimal"/>
      <w:start w:val="6"/>
    </w:lvl>
  </w:abstractNum>
  <w:abstractNum w:abstractNumId="216">
    <w:nsid w:val="1958BD17"/>
    <w:multiLevelType w:val="hybridMultilevel"/>
    <w:lvl w:ilvl="0">
      <w:lvlJc w:val="left"/>
      <w:lvlText w:val="(%1)"/>
      <w:numFmt w:val="decimal"/>
      <w:start w:val="1"/>
    </w:lvl>
  </w:abstractNum>
  <w:abstractNum w:abstractNumId="217">
    <w:nsid w:val="4E647FE4"/>
    <w:multiLevelType w:val="hybridMultilevel"/>
    <w:lvl w:ilvl="0">
      <w:lvlJc w:val="left"/>
      <w:lvlText w:val="(%1)"/>
      <w:numFmt w:val="decimal"/>
      <w:start w:val="7"/>
    </w:lvl>
  </w:abstractNum>
  <w:abstractNum w:abstractNumId="218">
    <w:nsid w:val="E0BB885"/>
    <w:multiLevelType w:val="hybridMultilevel"/>
    <w:lvl w:ilvl="0">
      <w:lvlJc w:val="left"/>
      <w:lvlText w:val="(%1)"/>
      <w:numFmt w:val="decimal"/>
      <w:start w:val="1"/>
    </w:lvl>
  </w:abstractNum>
  <w:abstractNum w:abstractNumId="219">
    <w:nsid w:val="565976F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pn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jpe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jpe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jpe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jpeg"/><Relationship Id="rId755" Type="http://schemas.openxmlformats.org/officeDocument/2006/relationships/image" Target="media/image748.png"/><Relationship Id="rId756" Type="http://schemas.openxmlformats.org/officeDocument/2006/relationships/image" Target="media/image749.jpeg"/><Relationship Id="rId757" Type="http://schemas.openxmlformats.org/officeDocument/2006/relationships/image" Target="media/image750.png"/><Relationship Id="rId758" Type="http://schemas.openxmlformats.org/officeDocument/2006/relationships/image" Target="media/image751.jpe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jpe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jpe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jpeg"/><Relationship Id="rId789" Type="http://schemas.openxmlformats.org/officeDocument/2006/relationships/image" Target="media/image782.jpe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jpe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jpe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jpe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2024-04-02T06:40:02Z</dcterms:created>
  <dcterms:modified xsi:type="dcterms:W3CDTF">2024-04-02T06:40:02Z</dcterms:modified>
</cp:coreProperties>
</file>