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55887.xml.htm"/>
      <w:bookmarkStart w:id="1" w:name="kswkform4_17853558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HONEYWELL INTERNATIONAL INC</w:t>
              </w:r>
            </w:hyperlink>
            <w:r>
              <w:rPr/>
              <w:t xml:space="preserve"> [ </w:t>
            </w:r>
            <w:r>
              <w:rPr>
                <w:rFonts w:ascii="Times;serif" w:hAnsi="Times;serif"/>
                <w:color w:val="0000FF"/>
                <w:sz w:val="24"/>
                <w:shd w:fill="FFFFFF" w:val="clear"/>
              </w:rPr>
              <w:t>HON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Pres/CEO Process Technologies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76"/>
        <w:gridCol w:w="443"/>
        <w:gridCol w:w="880"/>
        <w:gridCol w:w="1221"/>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1,531</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193.82</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243.77</w:t>
            </w:r>
            <w:r>
              <w:rPr>
                <w:rFonts w:ascii="Times;serif" w:hAnsi="Times;serif"/>
                <w:color w:val="008000"/>
                <w:position w:val="7"/>
                <w:sz w:val="16"/>
                <w:sz w:val="20"/>
                <w:shd w:fill="FFFFFF" w:val="clear"/>
              </w:rPr>
              <w:t>(2)</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2,319</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181.39</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243.77</w:t>
            </w:r>
            <w:r>
              <w:rPr>
                <w:rFonts w:ascii="Times;serif" w:hAnsi="Times;serif"/>
                <w:color w:val="008000"/>
                <w:position w:val="7"/>
                <w:sz w:val="16"/>
                <w:sz w:val="20"/>
                <w:shd w:fill="FFFFFF" w:val="clear"/>
              </w:rPr>
              <w:t>(2)</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1,731</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185.78</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243.77</w:t>
            </w:r>
            <w:r>
              <w:rPr>
                <w:rFonts w:ascii="Times;serif" w:hAnsi="Times;serif"/>
                <w:color w:val="008000"/>
                <w:position w:val="7"/>
                <w:sz w:val="16"/>
                <w:sz w:val="20"/>
                <w:shd w:fill="FFFFFF" w:val="clear"/>
              </w:rPr>
              <w:t>(2)</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2,667</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189.01</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243.77</w:t>
            </w:r>
            <w:r>
              <w:rPr>
                <w:rFonts w:ascii="Times;serif" w:hAnsi="Times;serif"/>
                <w:color w:val="008000"/>
                <w:position w:val="7"/>
                <w:sz w:val="16"/>
                <w:sz w:val="20"/>
                <w:shd w:fill="FFFFFF" w:val="clear"/>
              </w:rPr>
              <w:t>(2)</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7,161</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200.61</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9,293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243.77</w:t>
            </w:r>
            <w:r>
              <w:rPr>
                <w:rFonts w:ascii="Times;serif" w:hAnsi="Times;serif"/>
                <w:color w:val="008000"/>
                <w:position w:val="7"/>
                <w:sz w:val="16"/>
                <w:sz w:val="20"/>
                <w:shd w:fill="FFFFFF" w:val="clear"/>
              </w:rPr>
              <w:t>(2)</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1,623</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200.61</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243.77</w:t>
            </w:r>
            <w:r>
              <w:rPr>
                <w:rFonts w:ascii="Times;serif" w:hAnsi="Times;serif"/>
                <w:color w:val="008000"/>
                <w:position w:val="7"/>
                <w:sz w:val="16"/>
                <w:sz w:val="20"/>
                <w:shd w:fill="FFFFFF" w:val="clear"/>
              </w:rPr>
              <w:t>(2)</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373.7218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401(k) plan</w:t>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66"/>
        <w:gridCol w:w="906"/>
        <w:gridCol w:w="801"/>
        <w:gridCol w:w="891"/>
        <w:gridCol w:w="74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193.82</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1,531</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02/12/2025</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02/11/2031</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1,531</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181.39</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2,319</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02/11/2026</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02/10/2032</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2,319</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185.78</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1,731</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02/23/2027</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02/22/2033</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1,731</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577</w:t>
            </w: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189.01</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2,667</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02/16/2028</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02/15/2034</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2,667</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2,669</w:t>
            </w: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200.61</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7,161</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06/29/2026</w:t>
            </w: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02/18/2035</w:t>
            </w: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7,161</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200.61</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1,623</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02/19/2029</w:t>
            </w: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02/18/2035</w:t>
            </w: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1,623</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4,867</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held by the Reporting Person were granted under the 2016 Stock Incentive Plan of Honeywell International Inc. and its Affiliates (the "Plan"), with the number of options and the exercise price each adjusted to reflect the spin-off of Solstice Advanced Materials Inc. from Honeywell International Inc. ("Honeywell Technologies") on October 30, 2025, and further adjusted to reflect the spin-off of Honeywell Aerospace Inc. ("Honeywell Aerospace") from Honeywell Technologies on June 29, 2026 and the reverse stock split of Honeywell Technologies.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column is a weighted average price. These shares were sold in multiple transactions at prices ranging from $243.58 to $244.21, inclusive. The Reporting Person undertakes to provide to Honeywell Technologies, any security holder of Honeywell Technologies,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Employee Stock Options were granted under the Plan with all options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Employee Stock Options were granted under the Plan with options vesting on each of February 23, 2024, February 23, 2025, February 23, 2026 and February 23,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Employee Stock Options were granted under the Plan and vest in four equal annual installments, with the first installment vesting on February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Employee Stock Options granted under the Plan subject to successful completion of the spin-off of Honeywell Aerospace from Honeywell Technologies on June 29, 2026, which were adjusted to reflect the spin-off and further adjusted to reflect the reverse stock split of Honeywell Technologies.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Employee Stock Options were granted under the Plan and vest in four equal annual installments, with the first installment vesting on February 19,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Kenneth J. West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4222" TargetMode="External"/><Relationship Id="rId5" Type="http://schemas.openxmlformats.org/officeDocument/2006/relationships/hyperlink" Target="http://www.sec.gov/cgi-bin/browse-edgar?action=getcompany&amp;CIK=0000773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1078</Words>
  <Characters>5915</Characters>
  <CharactersWithSpaces>6755</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