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04878d8a12b.htm"/>
      <w:bookmarkStart w:id="1" w:name="ksd504878d8a12b"/>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8-A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FOR REGISTRATION OF CERTAIN CLASSES OF SECURITIES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SECTION 12(b) OR 12(g) OF </w:t>
      </w:r>
    </w:p>
    <w:p>
      <w:pPr>
        <w:pStyle w:val="TextBody"/>
        <w:bidi w:val="0"/>
        <w:spacing w:before="0" w:after="0"/>
        <w:jc w:val="center"/>
        <w:rPr>
          <w:rFonts w:ascii="Times New Roman" w:hAnsi="Times New Roman"/>
          <w:b/>
          <w:sz w:val="24"/>
        </w:rPr>
      </w:pPr>
      <w:r>
        <w:rPr>
          <w:rFonts w:ascii="Times New Roman" w:hAnsi="Times New Roman"/>
          <w:b/>
          <w:sz w:val="24"/>
        </w:rPr>
        <w:t xml:space="preserve">THE SECURITIES EXCHANGE ACT OF 1934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Honeywell International Inc. </w:t>
      </w:r>
    </w:p>
    <w:p>
      <w:pPr>
        <w:pStyle w:val="TextBody"/>
        <w:bidi w:val="0"/>
        <w:spacing w:before="0" w:after="0"/>
        <w:jc w:val="center"/>
        <w:rPr>
          <w:rFonts w:ascii="Times New Roman" w:hAnsi="Times New Roman"/>
          <w:b/>
          <w:sz w:val="20"/>
        </w:rPr>
      </w:pPr>
      <w:r>
        <w:rPr>
          <w:rFonts w:ascii="Times New Roman" w:hAnsi="Times New Roman"/>
          <w:b/>
          <w:sz w:val="20"/>
        </w:rPr>
        <w:t xml:space="preserve">(Exact Name of Registrant as Specified in its Charter) </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3"/>
        <w:gridCol w:w="103"/>
        <w:gridCol w:w="4949"/>
      </w:tblGrid>
      <w:tr>
        <w:trPr/>
        <w:tc>
          <w:tcPr>
            <w:tcW w:w="5153" w:type="dxa"/>
            <w:tcBorders/>
            <w:vAlign w:val="center"/>
          </w:tcPr>
          <w:p>
            <w:pPr>
              <w:pStyle w:val="TableContents"/>
              <w:bidi w:val="0"/>
              <w:spacing w:before="0" w:after="283"/>
              <w:jc w:val="left"/>
              <w:rPr>
                <w:sz w:val="4"/>
                <w:szCs w:val="4"/>
              </w:rPr>
            </w:pPr>
            <w:r>
              <w:rPr>
                <w:sz w:val="4"/>
                <w:szCs w:val="4"/>
              </w:rPr>
            </w:r>
          </w:p>
        </w:tc>
        <w:tc>
          <w:tcPr>
            <w:tcW w:w="103"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3" w:type="dxa"/>
            <w:tcBorders/>
          </w:tcPr>
          <w:p>
            <w:pPr>
              <w:pStyle w:val="TableContents"/>
              <w:bidi w:val="0"/>
              <w:spacing w:before="0" w:after="283"/>
              <w:jc w:val="center"/>
              <w:rPr>
                <w:b/>
              </w:rPr>
            </w:pPr>
            <w:r>
              <w:rPr>
                <w:b/>
              </w:rPr>
              <w:t>Delaware</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22-2640650</w:t>
            </w:r>
          </w:p>
        </w:tc>
      </w:tr>
      <w:tr>
        <w:trPr/>
        <w:tc>
          <w:tcPr>
            <w:tcW w:w="5153" w:type="dxa"/>
            <w:tcBorders/>
          </w:tcPr>
          <w:p>
            <w:pPr>
              <w:pStyle w:val="TableContents"/>
              <w:bidi w:val="0"/>
              <w:spacing w:before="0" w:after="283"/>
              <w:jc w:val="center"/>
              <w:rPr>
                <w:b/>
              </w:rPr>
            </w:pPr>
            <w:r>
              <w:rPr>
                <w:b/>
              </w:rPr>
              <w:t>(State or Other Jurisdiction of Incorporation)</w:t>
            </w:r>
          </w:p>
        </w:tc>
        <w:tc>
          <w:tcPr>
            <w:tcW w:w="103"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(I.R.S. Employer 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855 South Mint Street </w:t>
      </w:r>
    </w:p>
    <w:p>
      <w:pPr>
        <w:pStyle w:val="TextBody"/>
        <w:bidi w:val="0"/>
        <w:spacing w:before="0" w:after="0"/>
        <w:jc w:val="center"/>
        <w:rPr>
          <w:rFonts w:ascii="Times New Roman" w:hAnsi="Times New Roman"/>
          <w:b/>
          <w:sz w:val="20"/>
        </w:rPr>
      </w:pPr>
      <w:r>
        <w:rPr>
          <w:rFonts w:ascii="Times New Roman" w:hAnsi="Times New Roman"/>
          <w:b/>
          <w:sz w:val="20"/>
        </w:rPr>
        <w:t xml:space="preserve">Charlotte, North Carolina 28202 </w:t>
      </w:r>
    </w:p>
    <w:p>
      <w:pPr>
        <w:pStyle w:val="TextBody"/>
        <w:bidi w:val="0"/>
        <w:spacing w:before="0" w:after="0"/>
        <w:jc w:val="center"/>
        <w:rPr>
          <w:rFonts w:ascii="Times New Roman" w:hAnsi="Times New Roman"/>
          <w:b/>
          <w:sz w:val="20"/>
        </w:rPr>
      </w:pPr>
      <w:r>
        <w:rPr>
          <w:rFonts w:ascii="Times New Roman" w:hAnsi="Times New Roman"/>
          <w:b/>
          <w:sz w:val="20"/>
        </w:rPr>
        <w:t xml:space="preserve">(704) 627-6200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12(b) of the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Title of each class</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to be so registered</w:t>
            </w:r>
          </w:p>
        </w:tc>
        <w:tc>
          <w:tcPr>
            <w:tcW w:w="102" w:type="dxa"/>
            <w:tcBorders/>
            <w:vAlign w:val="bottom"/>
          </w:tcPr>
          <w:p>
            <w:pPr>
              <w:pStyle w:val="TableContents"/>
              <w:bidi w:val="0"/>
              <w:spacing w:before="0" w:after="283"/>
              <w:jc w:val="left"/>
              <w:rPr/>
            </w:pPr>
            <w:r>
              <w:rPr/>
              <w:t> </w:t>
            </w:r>
          </w:p>
        </w:tc>
        <w:tc>
          <w:tcPr>
            <w:tcW w:w="4949" w:type="dxa"/>
            <w:tcBorders/>
            <w:vAlign w:val="bottom"/>
          </w:tcPr>
          <w:p>
            <w:pPr>
              <w:pStyle w:val="TableContents"/>
              <w:bidi w:val="0"/>
              <w:spacing w:before="0" w:after="0"/>
              <w:jc w:val="center"/>
              <w:rPr>
                <w:rFonts w:ascii="Times New Roman" w:hAnsi="Times New Roman"/>
                <w:b/>
                <w:sz w:val="16"/>
              </w:rPr>
            </w:pPr>
            <w:r>
              <w:rPr>
                <w:rFonts w:ascii="Times New Roman" w:hAnsi="Times New Roman"/>
                <w:b/>
                <w:sz w:val="16"/>
              </w:rPr>
              <w:t>Name of each exchange on which</w:t>
            </w:r>
          </w:p>
          <w:p>
            <w:pPr>
              <w:pStyle w:val="TableContents"/>
              <w:pBdr>
                <w:bottom w:val="single" w:sz="8" w:space="1" w:color="000000"/>
              </w:pBdr>
              <w:bidi w:val="0"/>
              <w:spacing w:before="0" w:after="20"/>
              <w:jc w:val="center"/>
              <w:rPr>
                <w:rFonts w:ascii="Times New Roman" w:hAnsi="Times New Roman"/>
                <w:b/>
                <w:sz w:val="16"/>
              </w:rPr>
            </w:pPr>
            <w:r>
              <w:rPr>
                <w:rFonts w:ascii="Times New Roman" w:hAnsi="Times New Roman"/>
                <w:b/>
                <w:sz w:val="16"/>
              </w:rPr>
              <w:t>each class is to be registered</w:t>
            </w:r>
          </w:p>
        </w:tc>
      </w:tr>
      <w:tr>
        <w:trPr/>
        <w:tc>
          <w:tcPr>
            <w:tcW w:w="5154" w:type="dxa"/>
            <w:tcBorders/>
          </w:tcPr>
          <w:p>
            <w:pPr>
              <w:pStyle w:val="TableContents"/>
              <w:bidi w:val="0"/>
              <w:spacing w:before="0" w:after="0"/>
              <w:jc w:val="center"/>
              <w:rPr>
                <w:rFonts w:ascii="Times New Roman" w:hAnsi="Times New Roman"/>
                <w:b/>
                <w:sz w:val="20"/>
              </w:rPr>
            </w:pPr>
            <w:r>
              <w:rPr>
                <w:rFonts w:ascii="Times New Roman" w:hAnsi="Times New Roman"/>
                <w:b/>
                <w:sz w:val="20"/>
              </w:rPr>
              <w:t>3.500% Senior Notes due 2027</w:t>
            </w:r>
          </w:p>
          <w:p>
            <w:pPr>
              <w:pStyle w:val="TableContents"/>
              <w:bidi w:val="0"/>
              <w:spacing w:before="0" w:after="20"/>
              <w:jc w:val="center"/>
              <w:rPr>
                <w:rFonts w:ascii="Times New Roman" w:hAnsi="Times New Roman"/>
                <w:b/>
                <w:sz w:val="20"/>
              </w:rPr>
            </w:pPr>
            <w:r>
              <w:rPr>
                <w:rFonts w:ascii="Times New Roman" w:hAnsi="Times New Roman"/>
                <w:b/>
                <w:sz w:val="20"/>
              </w:rPr>
              <w:t>3.750% Senior Notes due 2032</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20"/>
              </w:rPr>
            </w:pPr>
            <w:r>
              <w:rPr>
                <w:rFonts w:ascii="Times New Roman" w:hAnsi="Times New Roman"/>
                <w:b/>
                <w:sz w:val="20"/>
              </w:rPr>
              <w:t>The Nasdaq Stock Market LLC</w:t>
            </w:r>
          </w:p>
          <w:p>
            <w:pPr>
              <w:pStyle w:val="TableContents"/>
              <w:bidi w:val="0"/>
              <w:spacing w:before="0" w:after="20"/>
              <w:jc w:val="center"/>
              <w:rPr>
                <w:rFonts w:ascii="Times New Roman" w:hAnsi="Times New Roman"/>
                <w:b/>
                <w:sz w:val="20"/>
              </w:rPr>
            </w:pPr>
            <w:r>
              <w:rPr>
                <w:rFonts w:ascii="Times New Roman" w:hAnsi="Times New Roman"/>
                <w:b/>
                <w:sz w:val="20"/>
              </w:rPr>
              <w:t>The Nasdaq Stock Market LLC</w:t>
            </w:r>
          </w:p>
        </w:tc>
      </w:tr>
    </w:tbl>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12(b) of the Exchange Act and is effective pursuant to General Instruction A. (c), check the following box.  ☒ </w:t>
      </w:r>
    </w:p>
    <w:p>
      <w:pPr>
        <w:pStyle w:val="TextBody"/>
        <w:bidi w:val="0"/>
        <w:spacing w:before="240" w:after="0"/>
        <w:jc w:val="left"/>
        <w:rPr>
          <w:rFonts w:ascii="Times New Roman" w:hAnsi="Times New Roman"/>
          <w:sz w:val="20"/>
        </w:rPr>
      </w:pPr>
      <w:r>
        <w:rPr>
          <w:rFonts w:ascii="Times New Roman" w:hAnsi="Times New Roman"/>
          <w:sz w:val="20"/>
        </w:rPr>
        <w:t xml:space="preserve">If this form relates to the registration of a class of securities pursuant to Section 12(g) of the Exchange Act and is effective pursuant to General Instruction A. (d), check the following box.  ☐ </w:t>
      </w:r>
    </w:p>
    <w:p>
      <w:pPr>
        <w:pStyle w:val="TextBody"/>
        <w:bidi w:val="0"/>
        <w:spacing w:before="480" w:after="0"/>
        <w:jc w:val="center"/>
        <w:rPr>
          <w:rFonts w:ascii="Times New Roman" w:hAnsi="Times New Roman"/>
          <w:b/>
          <w:sz w:val="20"/>
        </w:rPr>
      </w:pPr>
      <w:r>
        <w:rPr>
          <w:rFonts w:ascii="Times New Roman" w:hAnsi="Times New Roman"/>
          <w:b/>
          <w:sz w:val="20"/>
        </w:rPr>
        <w:t xml:space="preserve">Securities Act registration statement file number to which this form relates: </w:t>
      </w:r>
    </w:p>
    <w:p>
      <w:pPr>
        <w:pStyle w:val="TextBody"/>
        <w:bidi w:val="0"/>
        <w:spacing w:before="0" w:after="0"/>
        <w:jc w:val="center"/>
        <w:rPr>
          <w:rFonts w:ascii="Times New Roman" w:hAnsi="Times New Roman"/>
          <w:b/>
          <w:sz w:val="20"/>
        </w:rPr>
      </w:pPr>
      <w:r>
        <w:rPr>
          <w:rFonts w:ascii="Times New Roman" w:hAnsi="Times New Roman"/>
          <w:b/>
          <w:sz w:val="20"/>
        </w:rPr>
        <w:t xml:space="preserve">333-260437 </w:t>
      </w:r>
    </w:p>
    <w:p>
      <w:pPr>
        <w:pStyle w:val="TextBody"/>
        <w:bidi w:val="0"/>
        <w:spacing w:before="240" w:after="0"/>
        <w:jc w:val="center"/>
        <w:rPr>
          <w:rFonts w:ascii="Times New Roman" w:hAnsi="Times New Roman"/>
          <w:b/>
          <w:sz w:val="20"/>
        </w:rPr>
      </w:pPr>
      <w:r>
        <w:rPr>
          <w:rFonts w:ascii="Times New Roman" w:hAnsi="Times New Roman"/>
          <w:b/>
          <w:sz w:val="20"/>
        </w:rPr>
        <w:t xml:space="preserve">Securities to be registered pursuant to Section 12(g) of the Act: </w:t>
      </w:r>
    </w:p>
    <w:p>
      <w:pPr>
        <w:pStyle w:val="TextBody"/>
        <w:bidi w:val="0"/>
        <w:spacing w:before="0" w:after="0"/>
        <w:jc w:val="center"/>
        <w:rPr>
          <w:rFonts w:ascii="Times New Roman" w:hAnsi="Times New Roman"/>
          <w:b/>
          <w:sz w:val="20"/>
        </w:rPr>
      </w:pPr>
      <w:r>
        <w:rPr>
          <w:rFonts w:ascii="Times New Roman" w:hAnsi="Times New Roman"/>
          <w:b/>
          <w:sz w:val="20"/>
        </w:rPr>
        <w:t xml:space="preserve">None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1. Description of Registrants Securities to be Registered. </w:t>
      </w:r>
    </w:p>
    <w:p>
      <w:pPr>
        <w:pStyle w:val="TextBody"/>
        <w:bidi w:val="0"/>
        <w:spacing w:before="120" w:after="0"/>
        <w:jc w:val="left"/>
        <w:rPr>
          <w:rFonts w:ascii="Times New Roman" w:hAnsi="Times New Roman"/>
          <w:sz w:val="20"/>
        </w:rPr>
      </w:pPr>
      <w:r>
        <w:rPr>
          <w:rFonts w:ascii="Times New Roman" w:hAnsi="Times New Roman"/>
          <w:sz w:val="20"/>
        </w:rPr>
        <w:t xml:space="preserve">The securities to be registered hereby are Honeywell International Inc.s (the Companys or Honeywells) 3.500% Senior Notes due 2027 and 3.750% Senior Notes due 2032 (collectively, the Notes). The description of the Notes is contained in the Companys Prospectus, dated October 22, 2021, included in the Companys registration statement on Form S-3 (File No. 333-260437) under the caption Description of Debt Securities and the Companys Prospectus Supplement with respect to the Notes, dated May 12, 2023 and filed on May 15, 2023, under the caption Description of the Notes, and those sections are incorporated herein by reference.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Item 2. Exhibits.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0"/>
        <w:gridCol w:w="518"/>
        <w:gridCol w:w="8897"/>
      </w:tblGrid>
      <w:tr>
        <w:trPr/>
        <w:tc>
          <w:tcPr>
            <w:tcW w:w="790"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8897" w:type="dxa"/>
            <w:tcBorders/>
            <w:vAlign w:val="center"/>
          </w:tcPr>
          <w:p>
            <w:pPr>
              <w:pStyle w:val="TableContents"/>
              <w:bidi w:val="0"/>
              <w:spacing w:before="0" w:after="283"/>
              <w:jc w:val="left"/>
              <w:rPr>
                <w:sz w:val="4"/>
                <w:szCs w:val="4"/>
              </w:rPr>
            </w:pPr>
            <w:r>
              <w:rPr>
                <w:sz w:val="4"/>
                <w:szCs w:val="4"/>
              </w:rPr>
            </w:r>
          </w:p>
        </w:tc>
      </w:tr>
      <w:tr>
        <w:trPr/>
        <w:tc>
          <w:tcPr>
            <w:tcW w:w="790" w:type="dxa"/>
            <w:tcBorders/>
            <w:vAlign w:val="bottom"/>
          </w:tcPr>
          <w:p>
            <w:pPr>
              <w:pStyle w:val="TableContents"/>
              <w:bidi w:val="0"/>
              <w:spacing w:before="0" w:after="283"/>
              <w:jc w:val="center"/>
              <w:rPr>
                <w:b/>
              </w:rPr>
            </w:pPr>
            <w:r>
              <w:rPr>
                <w:b/>
              </w:rPr>
              <w:t>Exhibit</w:t>
              <w:br/>
              <w:t>No.</w:t>
            </w:r>
          </w:p>
        </w:tc>
        <w:tc>
          <w:tcPr>
            <w:tcW w:w="518" w:type="dxa"/>
            <w:tcBorders/>
            <w:vAlign w:val="bottom"/>
          </w:tcPr>
          <w:p>
            <w:pPr>
              <w:pStyle w:val="TableContents"/>
              <w:bidi w:val="0"/>
              <w:spacing w:before="0" w:after="283"/>
              <w:jc w:val="left"/>
              <w:rPr/>
            </w:pPr>
            <w:r>
              <w:rPr/>
              <w:t>  </w:t>
            </w:r>
          </w:p>
        </w:tc>
        <w:tc>
          <w:tcPr>
            <w:tcW w:w="8897" w:type="dxa"/>
            <w:tcBorders/>
            <w:vAlign w:val="bottom"/>
          </w:tcPr>
          <w:p>
            <w:pPr>
              <w:pStyle w:val="TableContents"/>
              <w:bidi w:val="0"/>
              <w:spacing w:before="0" w:after="283"/>
              <w:jc w:val="center"/>
              <w:rPr>
                <w:b/>
              </w:rPr>
            </w:pPr>
            <w:r>
              <w:rPr>
                <w:b/>
              </w:rPr>
              <w:t>Description</w:t>
            </w:r>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9415" w:type="dxa"/>
            <w:gridSpan w:val="2"/>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283"/>
              <w:jc w:val="left"/>
              <w:rPr/>
            </w:pPr>
            <w:r>
              <w:rPr/>
              <w:t>4.1</w:t>
            </w:r>
          </w:p>
        </w:tc>
        <w:tc>
          <w:tcPr>
            <w:tcW w:w="518"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2">
              <w:r>
                <w:rPr>
                  <w:rStyle w:val="InternetLink"/>
                </w:rPr>
                <w:t xml:space="preserve">Indenture, dated as of March  1, 2007, relating to debt securities between Honeywell and Deutsche Bank Trust Company Americas, as trustee (incorporated by reference to Exhibit 4.1 of Honeywells Registration Statement on Form S-3 (File No. 333-141013), filed March 1, 2007). </w:t>
              </w:r>
            </w:hyperlink>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9415" w:type="dxa"/>
            <w:gridSpan w:val="2"/>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283"/>
              <w:jc w:val="left"/>
              <w:rPr/>
            </w:pPr>
            <w:r>
              <w:rPr/>
              <w:t>4.2</w:t>
            </w:r>
          </w:p>
        </w:tc>
        <w:tc>
          <w:tcPr>
            <w:tcW w:w="518"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3">
              <w:r>
                <w:rPr>
                  <w:rStyle w:val="InternetLink"/>
                </w:rPr>
                <w:t xml:space="preserve">First Supplemental Indenture, dated as of October  27, 2017 between Honeywell International Inc. and Deutsche Bank Trust Company Americas, as trustee (incorporated by reference to Exhibit 4.2 of Honeywells Current Report on Form 8-K (File No. 001-08974), filed October 30, 2017). </w:t>
              </w:r>
            </w:hyperlink>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9415" w:type="dxa"/>
            <w:gridSpan w:val="2"/>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283"/>
              <w:jc w:val="left"/>
              <w:rPr/>
            </w:pPr>
            <w:r>
              <w:rPr/>
              <w:t>4.3</w:t>
            </w:r>
          </w:p>
        </w:tc>
        <w:tc>
          <w:tcPr>
            <w:tcW w:w="518"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4">
              <w:r>
                <w:rPr>
                  <w:rStyle w:val="InternetLink"/>
                </w:rPr>
                <w:t xml:space="preserve">Second Supplemental Indenture, dated as of March  10, 2020 between Honeywell International Inc. and Deutsche Bank Trust Company Americas, as trustee (incorporated by reference to Exhibit 4.3 of Honeywells Current Report on Form 8-K (File No. 001-08974), filed March 10, 2020). </w:t>
              </w:r>
            </w:hyperlink>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9415" w:type="dxa"/>
            <w:gridSpan w:val="2"/>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283"/>
              <w:jc w:val="left"/>
              <w:rPr/>
            </w:pPr>
            <w:r>
              <w:rPr/>
              <w:t>4.4</w:t>
            </w:r>
          </w:p>
        </w:tc>
        <w:tc>
          <w:tcPr>
            <w:tcW w:w="518"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5">
              <w:r>
                <w:rPr>
                  <w:rStyle w:val="InternetLink"/>
                </w:rPr>
                <w:t xml:space="preserve">Third Supplemental Indenture, dated as of October  22, 2021 between Honeywell International Inc. and Deutsche Bank Trust Company Americas, as trustee (incorporated by reference to Exhibit 4.8 of Honeywells Form S-3 filed October 22, 2021). </w:t>
              </w:r>
            </w:hyperlink>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9415" w:type="dxa"/>
            <w:gridSpan w:val="2"/>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283"/>
              <w:jc w:val="left"/>
              <w:rPr/>
            </w:pPr>
            <w:r>
              <w:rPr/>
              <w:t>4.5</w:t>
            </w:r>
          </w:p>
        </w:tc>
        <w:tc>
          <w:tcPr>
            <w:tcW w:w="518"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83"/>
              <w:jc w:val="left"/>
              <w:rPr/>
            </w:pPr>
            <w:hyperlink r:id="rId6">
              <w:r>
                <w:rPr>
                  <w:rStyle w:val="InternetLink"/>
                </w:rPr>
                <w:t xml:space="preserve">Form of 3.500% Senior Note due 2027 (incorporated by reference to Exhibit 4.5 of Honeywells Current Report on Form 8-K (File No. 001-08974), filed May 17, 2023). </w:t>
              </w:r>
            </w:hyperlink>
          </w:p>
        </w:tc>
      </w:tr>
      <w:tr>
        <w:trPr>
          <w:trHeight w:val="120" w:hRule="atLeast"/>
        </w:trPr>
        <w:tc>
          <w:tcPr>
            <w:tcW w:w="790" w:type="dxa"/>
            <w:tcBorders/>
            <w:vAlign w:val="center"/>
          </w:tcPr>
          <w:p>
            <w:pPr>
              <w:pStyle w:val="TableContents"/>
              <w:bidi w:val="0"/>
              <w:spacing w:before="0" w:after="283"/>
              <w:jc w:val="left"/>
              <w:rPr>
                <w:sz w:val="4"/>
                <w:szCs w:val="4"/>
              </w:rPr>
            </w:pPr>
            <w:r>
              <w:rPr>
                <w:sz w:val="4"/>
                <w:szCs w:val="4"/>
              </w:rPr>
            </w:r>
          </w:p>
        </w:tc>
        <w:tc>
          <w:tcPr>
            <w:tcW w:w="9415" w:type="dxa"/>
            <w:gridSpan w:val="2"/>
            <w:tcBorders/>
            <w:vAlign w:val="center"/>
          </w:tcPr>
          <w:p>
            <w:pPr>
              <w:pStyle w:val="TableContents"/>
              <w:bidi w:val="0"/>
              <w:spacing w:before="0" w:after="283"/>
              <w:jc w:val="left"/>
              <w:rPr>
                <w:sz w:val="4"/>
                <w:szCs w:val="4"/>
              </w:rPr>
            </w:pPr>
            <w:r>
              <w:rPr>
                <w:sz w:val="4"/>
                <w:szCs w:val="4"/>
              </w:rPr>
            </w:r>
          </w:p>
        </w:tc>
      </w:tr>
      <w:tr>
        <w:trPr/>
        <w:tc>
          <w:tcPr>
            <w:tcW w:w="790" w:type="dxa"/>
            <w:tcBorders/>
          </w:tcPr>
          <w:p>
            <w:pPr>
              <w:pStyle w:val="TableContents"/>
              <w:bidi w:val="0"/>
              <w:spacing w:before="0" w:after="283"/>
              <w:jc w:val="left"/>
              <w:rPr/>
            </w:pPr>
            <w:r>
              <w:rPr/>
              <w:t>4.6</w:t>
            </w:r>
          </w:p>
        </w:tc>
        <w:tc>
          <w:tcPr>
            <w:tcW w:w="518" w:type="dxa"/>
            <w:tcBorders/>
            <w:vAlign w:val="bottom"/>
          </w:tcPr>
          <w:p>
            <w:pPr>
              <w:pStyle w:val="TableContents"/>
              <w:bidi w:val="0"/>
              <w:spacing w:before="0" w:after="283"/>
              <w:jc w:val="left"/>
              <w:rPr/>
            </w:pPr>
            <w:r>
              <w:rPr/>
              <w:t>  </w:t>
            </w:r>
          </w:p>
        </w:tc>
        <w:tc>
          <w:tcPr>
            <w:tcW w:w="8897" w:type="dxa"/>
            <w:tcBorders/>
          </w:tcPr>
          <w:p>
            <w:pPr>
              <w:pStyle w:val="TableContents"/>
              <w:bidi w:val="0"/>
              <w:spacing w:before="0" w:after="20"/>
              <w:jc w:val="left"/>
              <w:rPr/>
            </w:pPr>
            <w:hyperlink r:id="rId7">
              <w:r>
                <w:rPr>
                  <w:rStyle w:val="InternetLink"/>
                  <w:rFonts w:ascii="Times New Roman" w:hAnsi="Times New Roman"/>
                  <w:sz w:val="20"/>
                </w:rPr>
                <w:t xml:space="preserve">Form of 3.750% Senior Note due 2032 (incorporated by reference to Exhibit 4.6 of Honeywells Current Report on Form 8-K (File No. 001-08974), filed May 17, 2023).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Section 12 of the Securities Exchange Act of 1934, the Registrant has duly caused this registration statement to be signed on its behalf by the undersigned 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578"/>
        <w:gridCol w:w="102"/>
        <w:gridCol w:w="405"/>
        <w:gridCol w:w="102"/>
        <w:gridCol w:w="313"/>
        <w:gridCol w:w="102"/>
        <w:gridCol w:w="4603"/>
      </w:tblGrid>
      <w:tr>
        <w:trPr/>
        <w:tc>
          <w:tcPr>
            <w:tcW w:w="457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03" w:type="dxa"/>
            <w:tcBorders/>
            <w:vAlign w:val="center"/>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283"/>
              <w:jc w:val="left"/>
              <w:rPr/>
            </w:pPr>
            <w:r>
              <w:rPr/>
              <w:t>Date: May 25, 2023</w:t>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5018" w:type="dxa"/>
            <w:gridSpan w:val="3"/>
            <w:tcBorders/>
          </w:tcPr>
          <w:p>
            <w:pPr>
              <w:pStyle w:val="TableContents"/>
              <w:bidi w:val="0"/>
              <w:spacing w:before="0" w:after="283"/>
              <w:jc w:val="left"/>
              <w:rPr/>
            </w:pPr>
            <w:r>
              <w:rPr/>
              <w:t>Honeywell International Inc.</w:t>
            </w:r>
          </w:p>
        </w:tc>
      </w:tr>
      <w:tr>
        <w:trPr>
          <w:trHeight w:val="195" w:hRule="atLeast"/>
        </w:trPr>
        <w:tc>
          <w:tcPr>
            <w:tcW w:w="4578" w:type="dxa"/>
            <w:tcBorders/>
            <w:vAlign w:val="center"/>
          </w:tcPr>
          <w:p>
            <w:pPr>
              <w:pStyle w:val="TableContents"/>
              <w:bidi w:val="0"/>
              <w:spacing w:before="0" w:after="283"/>
              <w:jc w:val="left"/>
              <w:rPr>
                <w:sz w:val="4"/>
                <w:szCs w:val="4"/>
              </w:rPr>
            </w:pPr>
            <w:r>
              <w:rPr>
                <w:sz w:val="4"/>
                <w:szCs w:val="4"/>
              </w:rPr>
            </w:r>
          </w:p>
        </w:tc>
        <w:tc>
          <w:tcPr>
            <w:tcW w:w="507" w:type="dxa"/>
            <w:gridSpan w:val="2"/>
            <w:tcBorders/>
            <w:vAlign w:val="center"/>
          </w:tcPr>
          <w:p>
            <w:pPr>
              <w:pStyle w:val="TableContents"/>
              <w:bidi w:val="0"/>
              <w:spacing w:before="0" w:after="283"/>
              <w:jc w:val="left"/>
              <w:rPr>
                <w:sz w:val="4"/>
                <w:szCs w:val="4"/>
              </w:rPr>
            </w:pPr>
            <w:r>
              <w:rPr>
                <w:sz w:val="4"/>
                <w:szCs w:val="4"/>
              </w:rPr>
            </w:r>
          </w:p>
        </w:tc>
        <w:tc>
          <w:tcPr>
            <w:tcW w:w="415" w:type="dxa"/>
            <w:gridSpan w:val="2"/>
            <w:tcBorders/>
            <w:vAlign w:val="center"/>
          </w:tcPr>
          <w:p>
            <w:pPr>
              <w:pStyle w:val="TableContents"/>
              <w:bidi w:val="0"/>
              <w:spacing w:before="0" w:after="283"/>
              <w:jc w:val="left"/>
              <w:rPr>
                <w:sz w:val="4"/>
                <w:szCs w:val="4"/>
              </w:rPr>
            </w:pPr>
            <w:r>
              <w:rPr>
                <w:sz w:val="4"/>
                <w:szCs w:val="4"/>
              </w:rPr>
            </w:r>
          </w:p>
        </w:tc>
        <w:tc>
          <w:tcPr>
            <w:tcW w:w="4705" w:type="dxa"/>
            <w:gridSpan w:val="2"/>
            <w:tcBorders/>
            <w:vAlign w:val="center"/>
          </w:tcPr>
          <w:p>
            <w:pPr>
              <w:pStyle w:val="TableContents"/>
              <w:bidi w:val="0"/>
              <w:spacing w:before="0" w:after="283"/>
              <w:jc w:val="left"/>
              <w:rPr>
                <w:sz w:val="4"/>
                <w:szCs w:val="4"/>
              </w:rPr>
            </w:pPr>
            <w:r>
              <w:rPr>
                <w:sz w:val="4"/>
                <w:szCs w:val="4"/>
              </w:rPr>
            </w:r>
          </w:p>
        </w:tc>
      </w:tr>
      <w:tr>
        <w:trPr/>
        <w:tc>
          <w:tcPr>
            <w:tcW w:w="457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pPr>
            <w:r>
              <w:rPr/>
              <w:t>By:</w:t>
            </w:r>
          </w:p>
        </w:tc>
        <w:tc>
          <w:tcPr>
            <w:tcW w:w="102" w:type="dxa"/>
            <w:tcBorders/>
            <w:vAlign w:val="bottom"/>
          </w:tcPr>
          <w:p>
            <w:pPr>
              <w:pStyle w:val="TableContents"/>
              <w:bidi w:val="0"/>
              <w:spacing w:before="0" w:after="283"/>
              <w:jc w:val="left"/>
              <w:rPr/>
            </w:pPr>
            <w:r>
              <w:rPr/>
              <w:t> </w:t>
            </w:r>
          </w:p>
        </w:tc>
        <w:tc>
          <w:tcPr>
            <w:tcW w:w="4603"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Victor Miller</w:t>
            </w:r>
          </w:p>
        </w:tc>
      </w:tr>
      <w:tr>
        <w:trPr/>
        <w:tc>
          <w:tcPr>
            <w:tcW w:w="457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3" w:type="dxa"/>
            <w:tcBorders/>
          </w:tcPr>
          <w:p>
            <w:pPr>
              <w:pStyle w:val="TableContents"/>
              <w:bidi w:val="0"/>
              <w:spacing w:before="0" w:after="283"/>
              <w:jc w:val="left"/>
              <w:rPr/>
            </w:pPr>
            <w:r>
              <w:rPr/>
              <w:t>Victor Miller</w:t>
            </w:r>
          </w:p>
        </w:tc>
      </w:tr>
      <w:tr>
        <w:trPr/>
        <w:tc>
          <w:tcPr>
            <w:tcW w:w="4578"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05"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313" w:type="dxa"/>
            <w:tcBorders/>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03" w:type="dxa"/>
            <w:tcBorders/>
          </w:tcPr>
          <w:p>
            <w:pPr>
              <w:pStyle w:val="TableContents"/>
              <w:bidi w:val="0"/>
              <w:spacing w:before="0" w:after="283"/>
              <w:jc w:val="left"/>
              <w:rPr/>
            </w:pPr>
            <w:r>
              <w:rPr/>
              <w:t>Vice President, Deputy General Counsel, Corporate Secretary and Chief Compliance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773840/000093041307001888/c46982ex_4-1.htm" TargetMode="External"/><Relationship Id="rId3" Type="http://schemas.openxmlformats.org/officeDocument/2006/relationships/hyperlink" Target="http://www.sec.gov/Archives/edgar/data/773840/000093041317003664/c89629_ex4-2.htm" TargetMode="External"/><Relationship Id="rId4" Type="http://schemas.openxmlformats.org/officeDocument/2006/relationships/hyperlink" Target="http://www.sec.gov/Archives/edgar/data/773840/000119312520067922/d893665dex43.htm" TargetMode="External"/><Relationship Id="rId5" Type="http://schemas.openxmlformats.org/officeDocument/2006/relationships/hyperlink" Target="http://www.sec.gov/Archives/edgar/data/773840/000119312521305397/d225368dex48.htm" TargetMode="External"/><Relationship Id="rId6" Type="http://schemas.openxmlformats.org/officeDocument/2006/relationships/hyperlink" Target="http://www.sec.gov/Archives/edgar/data/773840/000119312523147084/d506237dex45.htm" TargetMode="External"/><Relationship Id="rId7" Type="http://schemas.openxmlformats.org/officeDocument/2006/relationships/hyperlink" Target="http://www.sec.gov/Archives/edgar/data/773840/000119312523147084/d506237dex46.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640</Words>
  <Characters>3305</Characters>
  <CharactersWithSpaces>3935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8-A12B</dc:title>
</cp:coreProperties>
</file>