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480" w:type="dxa"/>
            <w:vAlign w:val="bottom"/>
          </w:tcPr>
          <w:p>
            <w:pPr>
              <w:jc w:val="center"/>
              <w:ind w:right="27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-913130</wp:posOffset>
            </wp:positionV>
            <wp:extent cx="7325360" cy="4986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WRIGHT MICHAEL W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807.584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08/08/1998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807.584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12,505.353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shares are accrued under the Deferred Compensation Plan for Non-Employee Directors and will be settled in cash on 1/1/2012.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Gail E. Lehman for Michael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05/19/2003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3601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Wright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-19685</wp:posOffset>
            </wp:positionV>
            <wp:extent cx="3003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-85725</wp:posOffset>
            </wp:positionV>
            <wp:extent cx="489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012981" TargetMode="External"/><Relationship Id="rId11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2020-02-17T01:57:14Z</dcterms:created>
  <dcterms:modified xsi:type="dcterms:W3CDTF">2020-02-17T01:57:14Z</dcterms:modified>
</cp:coreProperties>
</file>