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7047230" cy="6753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753860"/>
                    </a:xfrm>
                    <a:prstGeom prst="rect">
                      <a:avLst/>
                    </a:prstGeom>
                    <a:noFill/>
                  </pic:spPr>
                </pic:pic>
              </a:graphicData>
            </a:graphic>
          </wp:anchor>
        </w:drawing>
      </w:r>
    </w:p>
    <w:p>
      <w:pPr>
        <w:spacing w:after="0" w:line="1158"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Lieblein Grace</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HONEYWELL INTERNATIONAL INC </w:t>
              </w:r>
            </w:hyperlink>
            <w:r>
              <w:rPr>
                <w:rFonts w:ascii="Times New Roman" w:cs="Times New Roman" w:eastAsia="Times New Roman" w:hAnsi="Times New Roman"/>
                <w:sz w:val="11"/>
                <w:szCs w:val="11"/>
                <w:color w:val="000000"/>
              </w:rPr>
              <w:t>[</w:t>
            </w:r>
          </w:p>
        </w:tc>
        <w:tc>
          <w:tcPr>
            <w:tcW w:w="26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740" w:type="dxa"/>
            <w:vAlign w:val="bottom"/>
            <w:tcBorders>
              <w:bottom w:val="single" w:sz="8" w:color="0000EE"/>
            </w:tcBorders>
          </w:tcPr>
          <w:p>
            <w:pPr>
              <w:spacing w:after="0"/>
              <w:rPr>
                <w:sz w:val="5"/>
                <w:szCs w:val="5"/>
                <w:color w:val="auto"/>
              </w:rPr>
            </w:pPr>
          </w:p>
        </w:tc>
        <w:tc>
          <w:tcPr>
            <w:tcW w:w="120" w:type="dxa"/>
            <w:vAlign w:val="bottom"/>
            <w:tcBorders>
              <w:bottom w:val="single" w:sz="8" w:color="0000EE"/>
            </w:tcBorders>
          </w:tcPr>
          <w:p>
            <w:pPr>
              <w:spacing w:after="0"/>
              <w:rPr>
                <w:sz w:val="5"/>
                <w:szCs w:val="5"/>
                <w:color w:val="auto"/>
              </w:rPr>
            </w:pPr>
          </w:p>
        </w:tc>
        <w:tc>
          <w:tcPr>
            <w:tcW w:w="740" w:type="dxa"/>
            <w:vAlign w:val="bottom"/>
            <w:tcBorders>
              <w:bottom w:val="single" w:sz="8" w:color="0000EE"/>
            </w:tcBorders>
          </w:tcPr>
          <w:p>
            <w:pPr>
              <w:spacing w:after="0"/>
              <w:rPr>
                <w:sz w:val="5"/>
                <w:szCs w:val="5"/>
                <w:color w:val="auto"/>
              </w:rPr>
            </w:pPr>
          </w:p>
        </w:tc>
        <w:tc>
          <w:tcPr>
            <w:tcW w:w="76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HON </w:t>
            </w:r>
            <w:r>
              <w:rPr>
                <w:rFonts w:ascii="Times New Roman" w:cs="Times New Roman" w:eastAsia="Times New Roman" w:hAnsi="Times New Roman"/>
                <w:sz w:val="20"/>
                <w:szCs w:val="20"/>
                <w:color w:val="000000"/>
              </w:rPr>
              <w:t>]</w:t>
            </w: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tcPr>
          <w:p>
            <w:pPr>
              <w:spacing w:after="0"/>
              <w:rPr>
                <w:sz w:val="6"/>
                <w:szCs w:val="6"/>
                <w:color w:val="auto"/>
              </w:rPr>
            </w:pPr>
          </w:p>
        </w:tc>
        <w:tc>
          <w:tcPr>
            <w:tcW w:w="1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8"/>
                <w:szCs w:val="8"/>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80" w:type="dxa"/>
            <w:vAlign w:val="bottom"/>
            <w:gridSpan w:val="6"/>
            <w:vMerge w:val="continue"/>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855 S. MINT STREET</w:t>
            </w:r>
          </w:p>
        </w:tc>
        <w:tc>
          <w:tcPr>
            <w:tcW w:w="1060" w:type="dxa"/>
            <w:vAlign w:val="bottom"/>
          </w:tcPr>
          <w:p>
            <w:pPr>
              <w:spacing w:after="0"/>
              <w:rPr>
                <w:sz w:val="19"/>
                <w:szCs w:val="19"/>
                <w:color w:val="auto"/>
              </w:rPr>
            </w:pPr>
          </w:p>
        </w:tc>
        <w:tc>
          <w:tcPr>
            <w:tcW w:w="156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0000FF"/>
              </w:rPr>
              <w:t>02/23/2026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98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28202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7"/>
          </w:tcPr>
          <w:p>
            <w:pPr>
              <w:ind w:left="120"/>
              <w:spacing w:after="0" w:line="12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8"/>
          </w:tcPr>
          <w:p>
            <w:pPr>
              <w:jc w:val="center"/>
              <w:ind w:left="696"/>
              <w:spacing w:after="0"/>
              <w:rPr>
                <w:sz w:val="20"/>
                <w:szCs w:val="20"/>
                <w:color w:val="auto"/>
              </w:rPr>
            </w:pPr>
            <w:r>
              <w:rPr>
                <w:rFonts w:ascii="Arial" w:cs="Arial" w:eastAsia="Arial" w:hAnsi="Arial"/>
                <w:sz w:val="17"/>
                <w:szCs w:val="17"/>
                <w:b w:val="1"/>
                <w:bCs w:val="1"/>
                <w:color w:val="auto"/>
                <w:w w:val="96"/>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6"/>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jc w:val="center"/>
              <w:ind w:left="529"/>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ind w:left="14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02/23/2026</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3,171</w:t>
            </w: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117.58</w:t>
            </w:r>
            <w:r>
              <w:rPr>
                <w:rFonts w:ascii="Times New Roman" w:cs="Times New Roman" w:eastAsia="Times New Roman" w:hAnsi="Times New Roman"/>
                <w:sz w:val="21"/>
                <w:szCs w:val="21"/>
                <w:color w:val="008000"/>
                <w:w w:val="90"/>
                <w:vertAlign w:val="superscript"/>
              </w:rPr>
              <w:t>(2)</w:t>
            </w:r>
          </w:p>
        </w:tc>
        <w:tc>
          <w:tcPr>
            <w:tcW w:w="124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17,130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5"/>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02/23/2026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2,242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243.73</w:t>
            </w:r>
          </w:p>
        </w:tc>
        <w:tc>
          <w:tcPr>
            <w:tcW w:w="60" w:type="dxa"/>
            <w:vAlign w:val="bottom"/>
          </w:tcPr>
          <w:p>
            <w:pPr>
              <w:spacing w:after="0"/>
              <w:rPr>
                <w:sz w:val="22"/>
                <w:szCs w:val="22"/>
                <w:color w:val="auto"/>
              </w:rPr>
            </w:pPr>
          </w:p>
        </w:tc>
        <w:tc>
          <w:tcPr>
            <w:tcW w:w="124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14,888</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02/23/2026</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2,423</w:t>
            </w: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135.78</w:t>
            </w:r>
            <w:r>
              <w:rPr>
                <w:rFonts w:ascii="Times New Roman" w:cs="Times New Roman" w:eastAsia="Times New Roman" w:hAnsi="Times New Roman"/>
                <w:sz w:val="21"/>
                <w:szCs w:val="21"/>
                <w:color w:val="008000"/>
                <w:w w:val="90"/>
                <w:vertAlign w:val="superscript"/>
              </w:rPr>
              <w:t>(2)</w:t>
            </w:r>
          </w:p>
        </w:tc>
        <w:tc>
          <w:tcPr>
            <w:tcW w:w="124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17,311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5"/>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02/23/2026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1,819</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243.73</w:t>
            </w:r>
          </w:p>
        </w:tc>
        <w:tc>
          <w:tcPr>
            <w:tcW w:w="60" w:type="dxa"/>
            <w:vAlign w:val="bottom"/>
          </w:tcPr>
          <w:p>
            <w:pPr>
              <w:spacing w:after="0"/>
              <w:rPr>
                <w:sz w:val="22"/>
                <w:szCs w:val="22"/>
                <w:color w:val="auto"/>
              </w:rPr>
            </w:pPr>
          </w:p>
        </w:tc>
        <w:tc>
          <w:tcPr>
            <w:tcW w:w="124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15,492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02/23/2026</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2,183</w:t>
            </w: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163.47</w:t>
            </w:r>
            <w:r>
              <w:rPr>
                <w:rFonts w:ascii="Times New Roman" w:cs="Times New Roman" w:eastAsia="Times New Roman" w:hAnsi="Times New Roman"/>
                <w:sz w:val="21"/>
                <w:szCs w:val="21"/>
                <w:color w:val="008000"/>
                <w:w w:val="90"/>
                <w:vertAlign w:val="superscript"/>
              </w:rPr>
              <w:t>(3)</w:t>
            </w:r>
          </w:p>
        </w:tc>
        <w:tc>
          <w:tcPr>
            <w:tcW w:w="124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17,675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5"/>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02/23/2026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1,786</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243.73</w:t>
            </w:r>
          </w:p>
        </w:tc>
        <w:tc>
          <w:tcPr>
            <w:tcW w:w="60" w:type="dxa"/>
            <w:vAlign w:val="bottom"/>
          </w:tcPr>
          <w:p>
            <w:pPr>
              <w:spacing w:after="0"/>
              <w:rPr>
                <w:sz w:val="22"/>
                <w:szCs w:val="22"/>
                <w:color w:val="auto"/>
              </w:rPr>
            </w:pPr>
          </w:p>
        </w:tc>
        <w:tc>
          <w:tcPr>
            <w:tcW w:w="124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15,889</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98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4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760" w:type="dxa"/>
            <w:vAlign w:val="bottom"/>
          </w:tcPr>
          <w:p>
            <w:pPr>
              <w:spacing w:after="0"/>
              <w:rPr>
                <w:sz w:val="11"/>
                <w:szCs w:val="11"/>
                <w:color w:val="auto"/>
              </w:rPr>
            </w:pP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gridSpan w:val="2"/>
          </w:tcPr>
          <w:p>
            <w:pPr>
              <w:ind w:left="120"/>
              <w:spacing w:after="0" w:line="2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117.58</w:t>
            </w:r>
            <w:r>
              <w:rPr>
                <w:rFonts w:ascii="Times New Roman" w:cs="Times New Roman" w:eastAsia="Times New Roman" w:hAnsi="Times New Roman"/>
                <w:sz w:val="21"/>
                <w:szCs w:val="21"/>
                <w:color w:val="008000"/>
                <w:vertAlign w:val="superscript"/>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02/23/2026</w:t>
            </w:r>
          </w:p>
        </w:tc>
        <w:tc>
          <w:tcPr>
            <w:tcW w:w="1060" w:type="dxa"/>
            <w:vAlign w:val="bottom"/>
          </w:tcPr>
          <w:p>
            <w:pPr>
              <w:spacing w:after="0"/>
              <w:rPr>
                <w:sz w:val="17"/>
                <w:szCs w:val="17"/>
                <w:color w:val="auto"/>
              </w:rPr>
            </w:pPr>
          </w:p>
        </w:tc>
        <w:tc>
          <w:tcPr>
            <w:tcW w:w="620" w:type="dxa"/>
            <w:vAlign w:val="bottom"/>
            <w:gridSpan w:val="4"/>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7"/>
                <w:szCs w:val="17"/>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3,171</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04/24/2021</w:t>
            </w:r>
            <w:r>
              <w:rPr>
                <w:rFonts w:ascii="Times New Roman" w:cs="Times New Roman" w:eastAsia="Times New Roman" w:hAnsi="Times New Roman"/>
                <w:sz w:val="21"/>
                <w:szCs w:val="21"/>
                <w:color w:val="008000"/>
                <w:vertAlign w:val="superscript"/>
              </w:rPr>
              <w:t>(4)</w:t>
            </w:r>
          </w:p>
        </w:tc>
        <w:tc>
          <w:tcPr>
            <w:tcW w:w="760" w:type="dxa"/>
            <w:vAlign w:val="bottom"/>
          </w:tcPr>
          <w:p>
            <w:pPr>
              <w:spacing w:after="0" w:line="204" w:lineRule="exact"/>
              <w:rPr>
                <w:sz w:val="20"/>
                <w:szCs w:val="20"/>
                <w:color w:val="auto"/>
              </w:rPr>
            </w:pPr>
            <w:r>
              <w:rPr>
                <w:rFonts w:ascii="Times New Roman" w:cs="Times New Roman" w:eastAsia="Times New Roman" w:hAnsi="Times New Roman"/>
                <w:sz w:val="13"/>
                <w:szCs w:val="13"/>
                <w:color w:val="0000FF"/>
                <w:w w:val="97"/>
              </w:rPr>
              <w:t>04/23/2027</w:t>
            </w:r>
            <w:r>
              <w:rPr>
                <w:rFonts w:ascii="Times New Roman" w:cs="Times New Roman" w:eastAsia="Times New Roman" w:hAnsi="Times New Roman"/>
                <w:sz w:val="21"/>
                <w:szCs w:val="21"/>
                <w:color w:val="008000"/>
                <w:w w:val="97"/>
                <w:vertAlign w:val="superscript"/>
              </w:rPr>
              <w:t>(4)</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17"/>
                <w:szCs w:val="17"/>
                <w:color w:val="0000FF"/>
                <w:w w:val="98"/>
              </w:rPr>
              <w:t>3,171</w:t>
            </w:r>
            <w:r>
              <w:rPr>
                <w:rFonts w:ascii="Times New Roman" w:cs="Times New Roman" w:eastAsia="Times New Roman" w:hAnsi="Times New Roman"/>
                <w:sz w:val="21"/>
                <w:szCs w:val="21"/>
                <w:color w:val="008000"/>
                <w:w w:val="98"/>
                <w:vertAlign w:val="superscript"/>
              </w:rPr>
              <w:t>(2)</w:t>
            </w:r>
          </w:p>
        </w:tc>
        <w:tc>
          <w:tcPr>
            <w:tcW w:w="60" w:type="dxa"/>
            <w:vAlign w:val="bottom"/>
          </w:tcPr>
          <w:p>
            <w:pPr>
              <w:spacing w:after="0"/>
              <w:rPr>
                <w:sz w:val="17"/>
                <w:szCs w:val="17"/>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tcPr>
          <w:p>
            <w:pPr>
              <w:jc w:val="cente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gridSpan w:val="2"/>
          </w:tcPr>
          <w:p>
            <w:pPr>
              <w:ind w:left="120"/>
              <w:spacing w:after="0" w:line="2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135.78</w:t>
            </w:r>
            <w:r>
              <w:rPr>
                <w:rFonts w:ascii="Times New Roman" w:cs="Times New Roman" w:eastAsia="Times New Roman" w:hAnsi="Times New Roman"/>
                <w:sz w:val="21"/>
                <w:szCs w:val="21"/>
                <w:color w:val="008000"/>
                <w:vertAlign w:val="superscript"/>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02/23/2026</w:t>
            </w:r>
          </w:p>
        </w:tc>
        <w:tc>
          <w:tcPr>
            <w:tcW w:w="1060" w:type="dxa"/>
            <w:vAlign w:val="bottom"/>
          </w:tcPr>
          <w:p>
            <w:pPr>
              <w:spacing w:after="0"/>
              <w:rPr>
                <w:sz w:val="17"/>
                <w:szCs w:val="17"/>
                <w:color w:val="auto"/>
              </w:rPr>
            </w:pPr>
          </w:p>
        </w:tc>
        <w:tc>
          <w:tcPr>
            <w:tcW w:w="620" w:type="dxa"/>
            <w:vAlign w:val="bottom"/>
            <w:gridSpan w:val="4"/>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7"/>
                <w:szCs w:val="17"/>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2,423</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04/24/2022</w:t>
            </w:r>
            <w:r>
              <w:rPr>
                <w:rFonts w:ascii="Times New Roman" w:cs="Times New Roman" w:eastAsia="Times New Roman" w:hAnsi="Times New Roman"/>
                <w:sz w:val="21"/>
                <w:szCs w:val="21"/>
                <w:color w:val="008000"/>
                <w:vertAlign w:val="superscript"/>
              </w:rPr>
              <w:t>(5)</w:t>
            </w:r>
          </w:p>
        </w:tc>
        <w:tc>
          <w:tcPr>
            <w:tcW w:w="760" w:type="dxa"/>
            <w:vAlign w:val="bottom"/>
          </w:tcPr>
          <w:p>
            <w:pPr>
              <w:spacing w:after="0" w:line="204" w:lineRule="exact"/>
              <w:rPr>
                <w:sz w:val="20"/>
                <w:szCs w:val="20"/>
                <w:color w:val="auto"/>
              </w:rPr>
            </w:pPr>
            <w:r>
              <w:rPr>
                <w:rFonts w:ascii="Times New Roman" w:cs="Times New Roman" w:eastAsia="Times New Roman" w:hAnsi="Times New Roman"/>
                <w:sz w:val="13"/>
                <w:szCs w:val="13"/>
                <w:color w:val="0000FF"/>
                <w:w w:val="97"/>
              </w:rPr>
              <w:t>04/23/2028</w:t>
            </w:r>
            <w:r>
              <w:rPr>
                <w:rFonts w:ascii="Times New Roman" w:cs="Times New Roman" w:eastAsia="Times New Roman" w:hAnsi="Times New Roman"/>
                <w:sz w:val="21"/>
                <w:szCs w:val="21"/>
                <w:color w:val="008000"/>
                <w:w w:val="97"/>
                <w:vertAlign w:val="superscript"/>
              </w:rPr>
              <w:t>(5)</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17"/>
                <w:szCs w:val="17"/>
                <w:color w:val="0000FF"/>
                <w:w w:val="98"/>
              </w:rPr>
              <w:t>2,423</w:t>
            </w:r>
            <w:r>
              <w:rPr>
                <w:rFonts w:ascii="Times New Roman" w:cs="Times New Roman" w:eastAsia="Times New Roman" w:hAnsi="Times New Roman"/>
                <w:sz w:val="21"/>
                <w:szCs w:val="21"/>
                <w:color w:val="008000"/>
                <w:w w:val="98"/>
                <w:vertAlign w:val="superscript"/>
              </w:rPr>
              <w:t>(2)</w:t>
            </w:r>
          </w:p>
        </w:tc>
        <w:tc>
          <w:tcPr>
            <w:tcW w:w="60" w:type="dxa"/>
            <w:vAlign w:val="bottom"/>
          </w:tcPr>
          <w:p>
            <w:pPr>
              <w:spacing w:after="0"/>
              <w:rPr>
                <w:sz w:val="17"/>
                <w:szCs w:val="17"/>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tcPr>
          <w:p>
            <w:pPr>
              <w:jc w:val="cente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gridSpan w:val="2"/>
          </w:tcPr>
          <w:p>
            <w:pPr>
              <w:ind w:left="120"/>
              <w:spacing w:after="0" w:line="2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163.47</w:t>
            </w:r>
            <w:r>
              <w:rPr>
                <w:rFonts w:ascii="Times New Roman" w:cs="Times New Roman" w:eastAsia="Times New Roman" w:hAnsi="Times New Roman"/>
                <w:sz w:val="21"/>
                <w:szCs w:val="21"/>
                <w:color w:val="008000"/>
                <w:vertAlign w:val="superscript"/>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02/23/2026</w:t>
            </w:r>
          </w:p>
        </w:tc>
        <w:tc>
          <w:tcPr>
            <w:tcW w:w="1060" w:type="dxa"/>
            <w:vAlign w:val="bottom"/>
          </w:tcPr>
          <w:p>
            <w:pPr>
              <w:spacing w:after="0"/>
              <w:rPr>
                <w:sz w:val="17"/>
                <w:szCs w:val="17"/>
                <w:color w:val="auto"/>
              </w:rPr>
            </w:pPr>
          </w:p>
        </w:tc>
        <w:tc>
          <w:tcPr>
            <w:tcW w:w="620" w:type="dxa"/>
            <w:vAlign w:val="bottom"/>
            <w:gridSpan w:val="4"/>
          </w:tcPr>
          <w:p>
            <w:pPr>
              <w:ind w:left="8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7"/>
                <w:szCs w:val="17"/>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2,183</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04/29/2023</w:t>
            </w:r>
            <w:r>
              <w:rPr>
                <w:rFonts w:ascii="Times New Roman" w:cs="Times New Roman" w:eastAsia="Times New Roman" w:hAnsi="Times New Roman"/>
                <w:sz w:val="21"/>
                <w:szCs w:val="21"/>
                <w:color w:val="008000"/>
                <w:vertAlign w:val="superscript"/>
              </w:rPr>
              <w:t>(6)</w:t>
            </w:r>
          </w:p>
        </w:tc>
        <w:tc>
          <w:tcPr>
            <w:tcW w:w="760" w:type="dxa"/>
            <w:vAlign w:val="bottom"/>
          </w:tcPr>
          <w:p>
            <w:pPr>
              <w:spacing w:after="0" w:line="204" w:lineRule="exact"/>
              <w:rPr>
                <w:sz w:val="20"/>
                <w:szCs w:val="20"/>
                <w:color w:val="auto"/>
              </w:rPr>
            </w:pPr>
            <w:r>
              <w:rPr>
                <w:rFonts w:ascii="Times New Roman" w:cs="Times New Roman" w:eastAsia="Times New Roman" w:hAnsi="Times New Roman"/>
                <w:sz w:val="13"/>
                <w:szCs w:val="13"/>
                <w:color w:val="0000FF"/>
                <w:w w:val="97"/>
              </w:rPr>
              <w:t>04/28/2029</w:t>
            </w:r>
            <w:r>
              <w:rPr>
                <w:rFonts w:ascii="Times New Roman" w:cs="Times New Roman" w:eastAsia="Times New Roman" w:hAnsi="Times New Roman"/>
                <w:sz w:val="21"/>
                <w:szCs w:val="21"/>
                <w:color w:val="008000"/>
                <w:w w:val="97"/>
                <w:vertAlign w:val="superscript"/>
              </w:rPr>
              <w:t>(6)</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17"/>
                <w:szCs w:val="17"/>
                <w:color w:val="0000FF"/>
                <w:w w:val="98"/>
              </w:rPr>
              <w:t>2,183</w:t>
            </w:r>
            <w:r>
              <w:rPr>
                <w:rFonts w:ascii="Times New Roman" w:cs="Times New Roman" w:eastAsia="Times New Roman" w:hAnsi="Times New Roman"/>
                <w:sz w:val="21"/>
                <w:szCs w:val="21"/>
                <w:color w:val="008000"/>
                <w:w w:val="98"/>
                <w:vertAlign w:val="superscript"/>
              </w:rPr>
              <w:t>(3)</w:t>
            </w:r>
          </w:p>
        </w:tc>
        <w:tc>
          <w:tcPr>
            <w:tcW w:w="60" w:type="dxa"/>
            <w:vAlign w:val="bottom"/>
          </w:tcPr>
          <w:p>
            <w:pPr>
              <w:spacing w:after="0"/>
              <w:rPr>
                <w:sz w:val="17"/>
                <w:szCs w:val="17"/>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gridSpan w:val="2"/>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was effected pursuant to a Rule 10b5-1 trading plan adopted by the reporting person on November 24, 2025.</w:t>
      </w:r>
    </w:p>
    <w:p>
      <w:pPr>
        <w:spacing w:after="0" w:line="41" w:lineRule="exact"/>
        <w:rPr>
          <w:rFonts w:ascii="Times New Roman" w:cs="Times New Roman" w:eastAsia="Times New Roman" w:hAnsi="Times New Roman"/>
          <w:sz w:val="13"/>
          <w:szCs w:val="13"/>
          <w:color w:val="008000"/>
        </w:rPr>
      </w:pPr>
    </w:p>
    <w:p>
      <w:pPr>
        <w:ind w:left="40" w:right="24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options held by the Reporting Person have been adjusted to increase the number of shares and reduce the exercise price in a manner subject to the adjustment provisions the Garrett Motion Inc. spin-off from Honeywell which occurred on October 1, 2018; the Resideo Technologies, Inc. spin-off from Honeywell which occurred on October 29, 2018; and have been adjusted to increase the number of shares and reduce the exercise price based on an applicable adjustment ratio for the Solstice Advanced Materials spin-off that occurred on October 30, 2025.</w:t>
      </w:r>
    </w:p>
    <w:p>
      <w:pPr>
        <w:spacing w:after="0" w:line="27" w:lineRule="exact"/>
        <w:rPr>
          <w:rFonts w:ascii="Times New Roman" w:cs="Times New Roman" w:eastAsia="Times New Roman" w:hAnsi="Times New Roman"/>
          <w:sz w:val="13"/>
          <w:szCs w:val="13"/>
          <w:color w:val="008000"/>
        </w:rPr>
      </w:pPr>
    </w:p>
    <w:p>
      <w:pPr>
        <w:ind w:left="40" w:right="16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stock options held by the Reporting Person have been adjusted to increase the number of shares and reduce the exercise price based on an applicable adjustment ratio for the Solstice Advanced Materials spin-off that occurred on October 30, 2025.</w:t>
      </w:r>
    </w:p>
    <w:p>
      <w:pPr>
        <w:spacing w:after="0" w:line="20" w:lineRule="exact"/>
        <w:rPr>
          <w:rFonts w:ascii="Times New Roman" w:cs="Times New Roman" w:eastAsia="Times New Roman" w:hAnsi="Times New Roman"/>
          <w:sz w:val="13"/>
          <w:szCs w:val="13"/>
          <w:color w:val="008000"/>
        </w:rPr>
      </w:pPr>
    </w:p>
    <w:p>
      <w:pPr>
        <w:ind w:left="40" w:right="6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exempt grant of non-qualified stock options under the 2016 Stock Plan for Non-Employee Directors of Honeywell International Inc. that vested in four equal annual installments, with the first installment vesting on April 24, 2018.</w:t>
      </w:r>
    </w:p>
    <w:p>
      <w:pPr>
        <w:spacing w:after="0" w:line="20" w:lineRule="exact"/>
        <w:rPr>
          <w:rFonts w:ascii="Times New Roman" w:cs="Times New Roman" w:eastAsia="Times New Roman" w:hAnsi="Times New Roman"/>
          <w:sz w:val="13"/>
          <w:szCs w:val="13"/>
          <w:color w:val="008000"/>
        </w:rPr>
      </w:pPr>
    </w:p>
    <w:p>
      <w:pPr>
        <w:ind w:left="40" w:right="6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exempt grant of non-qualified stock options under the 2016 Stock Plan for Non-Employee Directors of Honeywell International Inc. that vested in four equal annual installments, with the first installment vesting on April 23, 2019.</w:t>
      </w:r>
    </w:p>
    <w:p>
      <w:pPr>
        <w:spacing w:after="0" w:line="20" w:lineRule="exact"/>
        <w:rPr>
          <w:rFonts w:ascii="Times New Roman" w:cs="Times New Roman" w:eastAsia="Times New Roman" w:hAnsi="Times New Roman"/>
          <w:sz w:val="13"/>
          <w:szCs w:val="13"/>
          <w:color w:val="008000"/>
        </w:rPr>
      </w:pPr>
    </w:p>
    <w:p>
      <w:pPr>
        <w:ind w:left="40" w:right="6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exempt grant of non-qualified stock options under the 2016 Stock Plan for Non-Employee Directors of Honeywell International Inc. that vested in four equal annual installments, with the first installment vesting on April 29, 2020.</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Richard Kent for Grace Lieblein 02/24/2026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873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5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4342" TargetMode="External"/><Relationship Id="rId14" Type="http://schemas.openxmlformats.org/officeDocument/2006/relationships/hyperlink" Target="http://www.sec.gov/cgi-bin/browse-edgar?action=getcompany&amp;CIK=000077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2026-02-24T17:23:08Z</dcterms:created>
  <dcterms:modified xsi:type="dcterms:W3CDTF">2026-02-24T17:23:08Z</dcterms:modified>
</cp:coreProperties>
</file>