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w:t>
      </w:r>
      <w:r>
        <w:rPr>
          <w:rFonts w:ascii="Arial" w:cs="Arial" w:eastAsia="Arial" w:hAnsi="Arial"/>
          <w:sz w:val="25"/>
          <w:szCs w:val="25"/>
          <w:b w:val="1"/>
          <w:bCs w:val="1"/>
          <w:color w:val="auto"/>
        </w:rPr>
        <w:t>ORM</w:t>
      </w:r>
      <w:r>
        <w:rPr>
          <w:rFonts w:ascii="Arial" w:cs="Arial" w:eastAsia="Arial" w:hAnsi="Arial"/>
          <w:sz w:val="36"/>
          <w:szCs w:val="36"/>
          <w:b w:val="1"/>
          <w:bCs w:val="1"/>
          <w:color w:val="auto"/>
        </w:rPr>
        <w:t xml:space="preserve"> 8-K</w:t>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CURRENT REPORT</w:t>
      </w:r>
    </w:p>
    <w:p>
      <w:pPr>
        <w:jc w:val="center"/>
        <w:ind w:right="-11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REPORT – July 29, 2014</w:t>
      </w:r>
    </w:p>
    <w:p>
      <w:pPr>
        <w:jc w:val="center"/>
        <w:ind w:right="-119"/>
        <w:spacing w:after="0"/>
        <w:rPr>
          <w:sz w:val="20"/>
          <w:szCs w:val="20"/>
          <w:color w:val="auto"/>
        </w:rPr>
      </w:pPr>
      <w:r>
        <w:rPr>
          <w:rFonts w:ascii="Arial" w:cs="Arial" w:eastAsia="Arial" w:hAnsi="Arial"/>
          <w:sz w:val="22"/>
          <w:szCs w:val="22"/>
          <w:color w:val="auto"/>
        </w:rPr>
        <w:t>(Date of earliest event reported)</w:t>
      </w: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6"/>
          <w:szCs w:val="26"/>
          <w:b w:val="1"/>
          <w:bCs w:val="1"/>
          <w:color w:val="auto"/>
        </w:rPr>
        <w:t>HONEYWELL INTERNATIONAL INC</w:t>
      </w:r>
      <w:r>
        <w:rPr>
          <w:rFonts w:ascii="Arial" w:cs="Arial" w:eastAsia="Arial" w:hAnsi="Arial"/>
          <w:sz w:val="36"/>
          <w:szCs w:val="36"/>
          <w:b w:val="1"/>
          <w:bCs w:val="1"/>
          <w:color w:val="auto"/>
        </w:rPr>
        <w:t>.</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300"/>
          </w:cols>
          <w:pgMar w:left="240" w:top="793" w:right="359" w:bottom="1440" w:gutter="0" w:footer="0" w:header="0"/>
        </w:sectPr>
      </w:pPr>
    </w:p>
    <w:p>
      <w:pPr>
        <w:spacing w:after="0" w:line="215" w:lineRule="exact"/>
        <w:rPr>
          <w:sz w:val="24"/>
          <w:szCs w:val="24"/>
          <w:color w:val="auto"/>
        </w:rPr>
      </w:pPr>
    </w:p>
    <w:p>
      <w:pPr>
        <w:ind w:left="1360"/>
        <w:spacing w:after="0"/>
        <w:rPr>
          <w:sz w:val="20"/>
          <w:szCs w:val="20"/>
          <w:color w:val="auto"/>
        </w:rPr>
      </w:pPr>
      <w:r>
        <w:rPr>
          <w:rFonts w:ascii="Arial" w:cs="Arial" w:eastAsia="Arial" w:hAnsi="Arial"/>
          <w:sz w:val="22"/>
          <w:szCs w:val="22"/>
          <w:color w:val="auto"/>
        </w:rPr>
        <w:t>DELAWARE</w:t>
      </w:r>
    </w:p>
    <w:p>
      <w:pPr>
        <w:spacing w:after="0" w:line="8" w:lineRule="exact"/>
        <w:rPr>
          <w:sz w:val="24"/>
          <w:szCs w:val="24"/>
          <w:color w:val="auto"/>
        </w:rPr>
      </w:pPr>
    </w:p>
    <w:p>
      <w:pPr>
        <w:ind w:left="780"/>
        <w:spacing w:after="0"/>
        <w:rPr>
          <w:sz w:val="20"/>
          <w:szCs w:val="20"/>
          <w:color w:val="auto"/>
        </w:rPr>
      </w:pPr>
      <w:r>
        <w:rPr>
          <w:rFonts w:ascii="Arial" w:cs="Arial" w:eastAsia="Arial" w:hAnsi="Arial"/>
          <w:sz w:val="19"/>
          <w:szCs w:val="19"/>
          <w:color w:val="auto"/>
        </w:rPr>
        <w:t>(State or other jurisdiction</w:t>
      </w:r>
    </w:p>
    <w:p>
      <w:pPr>
        <w:spacing w:after="0" w:line="25" w:lineRule="exact"/>
        <w:rPr>
          <w:sz w:val="24"/>
          <w:szCs w:val="24"/>
          <w:color w:val="auto"/>
        </w:rPr>
      </w:pPr>
    </w:p>
    <w:p>
      <w:pPr>
        <w:ind w:left="1220"/>
        <w:spacing w:after="0"/>
        <w:rPr>
          <w:sz w:val="20"/>
          <w:szCs w:val="20"/>
          <w:color w:val="auto"/>
        </w:rPr>
      </w:pPr>
      <w:r>
        <w:rPr>
          <w:rFonts w:ascii="Arial" w:cs="Arial" w:eastAsia="Arial" w:hAnsi="Arial"/>
          <w:sz w:val="22"/>
          <w:szCs w:val="22"/>
          <w:color w:val="auto"/>
        </w:rPr>
        <w:t>of incorporation)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840"/>
        <w:spacing w:after="0"/>
        <w:rPr>
          <w:sz w:val="20"/>
          <w:szCs w:val="20"/>
          <w:color w:val="auto"/>
        </w:rPr>
      </w:pPr>
      <w:r>
        <w:rPr>
          <w:rFonts w:ascii="Arial" w:cs="Arial" w:eastAsia="Arial" w:hAnsi="Arial"/>
          <w:sz w:val="22"/>
          <w:szCs w:val="22"/>
          <w:color w:val="auto"/>
        </w:rPr>
        <w:t>1-8974</w:t>
      </w:r>
    </w:p>
    <w:p>
      <w:pPr>
        <w:spacing w:after="0" w:line="8" w:lineRule="exact"/>
        <w:rPr>
          <w:sz w:val="24"/>
          <w:szCs w:val="24"/>
          <w:color w:val="auto"/>
        </w:rPr>
      </w:pPr>
    </w:p>
    <w:p>
      <w:pPr>
        <w:jc w:val="center"/>
        <w:ind w:right="84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ind w:left="480"/>
        <w:spacing w:after="0"/>
        <w:rPr>
          <w:sz w:val="20"/>
          <w:szCs w:val="20"/>
          <w:color w:val="auto"/>
        </w:rPr>
      </w:pPr>
      <w:r>
        <w:rPr>
          <w:rFonts w:ascii="Arial" w:cs="Arial" w:eastAsia="Arial" w:hAnsi="Arial"/>
          <w:sz w:val="22"/>
          <w:szCs w:val="22"/>
          <w:color w:val="auto"/>
        </w:rPr>
        <w:t>22-2640650</w:t>
      </w:r>
    </w:p>
    <w:p>
      <w:pPr>
        <w:ind w:left="240"/>
        <w:spacing w:after="0" w:line="238" w:lineRule="auto"/>
        <w:rPr>
          <w:sz w:val="20"/>
          <w:szCs w:val="20"/>
          <w:color w:val="auto"/>
        </w:rPr>
      </w:pPr>
      <w:r>
        <w:rPr>
          <w:rFonts w:ascii="Arial" w:cs="Arial" w:eastAsia="Arial" w:hAnsi="Arial"/>
          <w:sz w:val="22"/>
          <w:szCs w:val="22"/>
          <w:color w:val="auto"/>
        </w:rPr>
        <w:t>(I.R.S. Employer</w:t>
      </w:r>
    </w:p>
    <w:p>
      <w:pPr>
        <w:spacing w:after="0"/>
        <w:rPr>
          <w:sz w:val="20"/>
          <w:szCs w:val="20"/>
          <w:color w:val="auto"/>
        </w:rPr>
      </w:pPr>
      <w:r>
        <w:rPr>
          <w:rFonts w:ascii="Arial" w:cs="Arial" w:eastAsia="Arial" w:hAnsi="Arial"/>
          <w:sz w:val="19"/>
          <w:szCs w:val="19"/>
          <w:color w:val="auto"/>
        </w:rPr>
        <w:t>Identification Number)</w:t>
      </w:r>
    </w:p>
    <w:p>
      <w:pPr>
        <w:spacing w:after="0" w:line="234" w:lineRule="exact"/>
        <w:rPr>
          <w:sz w:val="24"/>
          <w:szCs w:val="24"/>
          <w:color w:val="auto"/>
        </w:rPr>
      </w:pPr>
    </w:p>
    <w:p>
      <w:pPr>
        <w:sectPr>
          <w:pgSz w:w="11900" w:h="16838" w:orient="portrait"/>
          <w:cols w:equalWidth="0" w:num="3">
            <w:col w:w="3860" w:space="720"/>
            <w:col w:w="3240" w:space="720"/>
            <w:col w:w="2760"/>
          </w:cols>
          <w:pgMar w:left="240" w:top="793" w:right="359"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ind w:left="100" w:right="2580"/>
        <w:spacing w:after="0" w:line="260" w:lineRule="auto"/>
        <w:rPr>
          <w:sz w:val="20"/>
          <w:szCs w:val="20"/>
          <w:color w:val="auto"/>
        </w:rPr>
      </w:pPr>
      <w:r>
        <w:rPr>
          <w:rFonts w:ascii="Arial" w:cs="Arial" w:eastAsia="Arial" w:hAnsi="Arial"/>
          <w:sz w:val="20"/>
          <w:szCs w:val="20"/>
          <w:color w:val="auto"/>
        </w:rPr>
        <w:t>101 COLUMBIA ROAD, P.O. BOX 4000, MORRISTOWN, NEW JERSEY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07962-2497</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9"/>
          <w:szCs w:val="19"/>
          <w:color w:val="auto"/>
        </w:rPr>
        <w:t>(Zip Code)</w:t>
      </w:r>
    </w:p>
    <w:p>
      <w:pPr>
        <w:spacing w:after="0" w:line="224" w:lineRule="exact"/>
        <w:rPr>
          <w:sz w:val="24"/>
          <w:szCs w:val="24"/>
          <w:color w:val="auto"/>
        </w:rPr>
      </w:pPr>
    </w:p>
    <w:p>
      <w:pPr>
        <w:sectPr>
          <w:pgSz w:w="11900" w:h="16838" w:orient="portrait"/>
          <w:cols w:equalWidth="0" w:num="2">
            <w:col w:w="8800" w:space="720"/>
            <w:col w:w="1780"/>
          </w:cols>
          <w:pgMar w:left="240" w:top="793" w:right="359" w:bottom="1440" w:gutter="0" w:footer="0" w:header="0"/>
          <w:type w:val="continuous"/>
        </w:sectPr>
      </w:pPr>
    </w:p>
    <w:p>
      <w:pPr>
        <w:jc w:val="center"/>
        <w:ind w:right="-119"/>
        <w:spacing w:after="0"/>
        <w:rPr>
          <w:sz w:val="20"/>
          <w:szCs w:val="20"/>
          <w:color w:val="auto"/>
        </w:rPr>
      </w:pPr>
      <w:r>
        <w:rPr>
          <w:rFonts w:ascii="Arial" w:cs="Arial" w:eastAsia="Arial" w:hAnsi="Arial"/>
          <w:sz w:val="20"/>
          <w:szCs w:val="20"/>
          <w:color w:val="auto"/>
        </w:rPr>
        <w:t>Registrant’s telephone number, including area code: (973) 455-2000</w:t>
      </w:r>
    </w:p>
    <w:p>
      <w:pPr>
        <w:spacing w:after="0" w:line="200" w:lineRule="exact"/>
        <w:rPr>
          <w:sz w:val="24"/>
          <w:szCs w:val="24"/>
          <w:color w:val="auto"/>
        </w:rPr>
      </w:pPr>
    </w:p>
    <w:p>
      <w:pPr>
        <w:spacing w:after="0" w:line="27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r>
        <w:rPr>
          <w:rFonts w:ascii="Arial" w:cs="Arial" w:eastAsia="Arial" w:hAnsi="Arial"/>
          <w:sz w:val="23"/>
          <w:szCs w:val="23"/>
          <w:color w:val="auto"/>
        </w:rPr>
        <w:t>:</w:t>
      </w:r>
    </w:p>
    <w:p>
      <w:pPr>
        <w:spacing w:after="0" w:line="20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758190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79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4.01 Change in Registrant’s Certifying Accountant</w:t>
      </w:r>
    </w:p>
    <w:p>
      <w:pPr>
        <w:spacing w:after="0" w:line="226" w:lineRule="exact"/>
        <w:rPr>
          <w:sz w:val="20"/>
          <w:szCs w:val="20"/>
          <w:color w:val="auto"/>
        </w:rPr>
      </w:pPr>
    </w:p>
    <w:p>
      <w:pPr>
        <w:jc w:val="both"/>
        <w:ind w:firstLine="8"/>
        <w:spacing w:after="0" w:line="225" w:lineRule="auto"/>
        <w:tabs>
          <w:tab w:leader="none" w:pos="622"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Audit Committee (the “Audit Committee”) of the Board of Directors of Honeywell International Inc. (the “Company”) conducted a comprehensive, competitive process to determine the Company’s independent registered public accounting firm for the Company’s fiscal year ended December 31, 2015. On July 29, 2014, the Audit Committee approved the engagement of Deloitte &amp; Touche LLP (D&amp;T) as the Company’s independent registered public accounting firm for the Company’s fiscal year ended December 31, 2015 and the dismissal of PricewaterhouseCoopers LLP (“PwC”). The dismissal of PwC will become effective upon issuance by PwC of its reports on the consolidated financial statements as of and for the year ended December 31, 2014 and the effectiveness of internal control over financial reporting as of December 31, 2014 to be included in the filing of the related Form 10-K.</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PwC’s audit reports on the Company’s consolidated financial statements as of and for the fiscal years ended December 31, 2013 and 2012 did not contain an adverse opinion or a disclaimer of opinion and were not qualified or modified as to uncertainty, audit scope or accounting principles. The audit reports of PwC on the effectiveness of internal control over financial reporting as of December 31, 2013 and 2012 did not contain an adverse opinion, nor were they qualified or modified.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During the fiscal years ended December 31, 2013, and 2012, and the subsequent interim periods through July 29, 2014, there were</w:t>
      </w:r>
    </w:p>
    <w:p>
      <w:pPr>
        <w:spacing w:after="0" w:line="43" w:lineRule="exact"/>
        <w:rPr>
          <w:sz w:val="20"/>
          <w:szCs w:val="20"/>
          <w:color w:val="auto"/>
        </w:rPr>
      </w:pPr>
    </w:p>
    <w:p>
      <w:pPr>
        <w:jc w:val="both"/>
        <w:ind w:firstLine="8"/>
        <w:spacing w:after="0" w:line="287" w:lineRule="auto"/>
        <w:tabs>
          <w:tab w:leader="none" w:pos="295" w:val="left"/>
        </w:tabs>
        <w:numPr>
          <w:ilvl w:val="0"/>
          <w:numId w:val="3"/>
        </w:numPr>
        <w:rPr>
          <w:rFonts w:ascii="Arial" w:cs="Arial" w:eastAsia="Arial" w:hAnsi="Arial"/>
          <w:sz w:val="19"/>
          <w:szCs w:val="19"/>
          <w:color w:val="auto"/>
        </w:rPr>
      </w:pPr>
      <w:r>
        <w:rPr>
          <w:rFonts w:ascii="Arial" w:cs="Arial" w:eastAsia="Arial" w:hAnsi="Arial"/>
          <w:sz w:val="19"/>
          <w:szCs w:val="19"/>
          <w:color w:val="auto"/>
        </w:rPr>
        <w:t>no disagreements between the Company and PwC on any matter of accounting principles or practices, financial statement disclosure, or auditing scope or procedure, any of which, if not resolved to PwC’s satisfaction, would have caused PwC to make reference thereto in their reports, and (ii) no “reportable events” within the meaning of Item 304(a)(1)(v) of Regulation S-K.</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provided PwC with a copy of disclosures it is making in this Form 8-K and requested that PwC furnish a letter addressed to the Securities and Exchange Commission stating whether or not it agrees with the statements made herein. A copy of PwC’s letter dated July 29, 2014, is filed as Exhibit 16.1 hereto.</w:t>
      </w:r>
    </w:p>
    <w:p>
      <w:pPr>
        <w:spacing w:after="0" w:line="200" w:lineRule="exact"/>
        <w:rPr>
          <w:sz w:val="20"/>
          <w:szCs w:val="20"/>
          <w:color w:val="auto"/>
        </w:rPr>
      </w:pPr>
    </w:p>
    <w:p>
      <w:pPr>
        <w:jc w:val="both"/>
        <w:ind w:firstLine="8"/>
        <w:spacing w:after="0" w:line="226" w:lineRule="auto"/>
        <w:tabs>
          <w:tab w:leader="none" w:pos="711" w:val="left"/>
        </w:tabs>
        <w:numPr>
          <w:ilvl w:val="0"/>
          <w:numId w:val="4"/>
        </w:numPr>
        <w:rPr>
          <w:rFonts w:ascii="Arial" w:cs="Arial" w:eastAsia="Arial" w:hAnsi="Arial"/>
          <w:sz w:val="21"/>
          <w:szCs w:val="21"/>
          <w:color w:val="auto"/>
        </w:rPr>
      </w:pPr>
      <w:r>
        <w:rPr>
          <w:rFonts w:ascii="Arial" w:cs="Arial" w:eastAsia="Arial" w:hAnsi="Arial"/>
          <w:sz w:val="21"/>
          <w:szCs w:val="21"/>
          <w:color w:val="auto"/>
        </w:rPr>
        <w:t>During the fiscal years ended December 31, 2013, and 2012, and the subsequent interim periods through July 29, 2014, neither the Company nor anyone on its behalf has consulted with D&amp;T regarding (i) the application of accounting principles to a specific transaction, either completed or proposed, or the type of audit opinion that might be rendered on the Company’s financial statements, and neither a written report or oral advice was provided to the Company that D&amp;T concluded was an important factor considered by the Company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Exhibit 16.1  Letter of PricewaterhouseCoopers LLP, dated July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511175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spacing w:after="0"/>
        <w:tabs>
          <w:tab w:leader="none" w:pos="4560" w:val="left"/>
        </w:tabs>
        <w:rPr>
          <w:sz w:val="20"/>
          <w:szCs w:val="20"/>
          <w:color w:val="auto"/>
        </w:rPr>
      </w:pPr>
      <w:r>
        <w:rPr>
          <w:rFonts w:ascii="Arial" w:cs="Arial" w:eastAsia="Arial" w:hAnsi="Arial"/>
          <w:sz w:val="22"/>
          <w:szCs w:val="22"/>
          <w:color w:val="auto"/>
        </w:rPr>
        <w:t>Date: July 30, 2014</w:t>
      </w:r>
      <w:r>
        <w:rPr>
          <w:sz w:val="20"/>
          <w:szCs w:val="20"/>
          <w:color w:val="auto"/>
        </w:rPr>
        <w:tab/>
      </w:r>
      <w:r>
        <w:rPr>
          <w:rFonts w:ascii="Arial" w:cs="Arial" w:eastAsia="Arial" w:hAnsi="Arial"/>
          <w:sz w:val="21"/>
          <w:szCs w:val="21"/>
          <w:color w:val="auto"/>
        </w:rPr>
        <w:t>HONEYWELL INTERNATIONAL INC.</w:t>
      </w:r>
    </w:p>
    <w:p>
      <w:pPr>
        <w:spacing w:after="0" w:line="200" w:lineRule="exact"/>
        <w:rPr>
          <w:sz w:val="20"/>
          <w:szCs w:val="20"/>
          <w:color w:val="auto"/>
        </w:rPr>
      </w:pPr>
    </w:p>
    <w:p>
      <w:pPr>
        <w:spacing w:after="0" w:line="27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N. Neuman</w:t>
      </w:r>
    </w:p>
    <w:p>
      <w:pPr>
        <w:ind w:left="5520"/>
        <w:spacing w:after="0" w:line="238" w:lineRule="auto"/>
        <w:rPr>
          <w:sz w:val="20"/>
          <w:szCs w:val="20"/>
          <w:color w:val="auto"/>
        </w:rPr>
      </w:pPr>
      <w:r>
        <w:rPr>
          <w:rFonts w:ascii="Arial" w:cs="Arial" w:eastAsia="Arial" w:hAnsi="Arial"/>
          <w:sz w:val="22"/>
          <w:szCs w:val="22"/>
          <w:color w:val="auto"/>
        </w:rPr>
        <w:t>Jeffrey N. Neuman</w:t>
      </w:r>
    </w:p>
    <w:p>
      <w:pPr>
        <w:ind w:left="5520"/>
        <w:spacing w:after="0" w:line="230" w:lineRule="auto"/>
        <w:rPr>
          <w:sz w:val="20"/>
          <w:szCs w:val="20"/>
          <w:color w:val="auto"/>
        </w:rPr>
      </w:pPr>
      <w:r>
        <w:rPr>
          <w:rFonts w:ascii="Arial" w:cs="Arial" w:eastAsia="Arial" w:hAnsi="Arial"/>
          <w:sz w:val="22"/>
          <w:szCs w:val="22"/>
          <w:color w:val="auto"/>
        </w:rPr>
        <w:t>Vice President, Corporate Secretary and</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842645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050" w:right="2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69365"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July 29,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read the statements made by Honeywell International Inc. (copy attached), which we understand will be filed with the Securities and Exchange Commission, pursuant to Item 4.01 of Form 8-K, as part of the Form 8-K of Honeywell International Inc. dated July 29, 2014. We agree with the statements concerning our Firm in such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553148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PricewaterhouseCoopers LLP, 400 Campus Drive, Florham Park, NJ 07932</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 (973) 236 4000, F: (973)236 5000, www.pwc.com/us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2020-01-28T01:13:30Z</dcterms:created>
  <dcterms:modified xsi:type="dcterms:W3CDTF">2020-01-28T01:13:30Z</dcterms:modified>
</cp:coreProperties>
</file>