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FEBRUARY 29, 2000.</w:t>
      </w:r>
    </w:p>
    <w:p>
      <w:pPr>
        <w:spacing w:after="0" w:line="201" w:lineRule="exact"/>
        <w:rPr>
          <w:sz w:val="24"/>
          <w:szCs w:val="24"/>
          <w:color w:val="auto"/>
        </w:rPr>
      </w:pPr>
    </w:p>
    <w:p>
      <w:pPr>
        <w:ind w:left="5800"/>
        <w:spacing w:after="0"/>
        <w:rPr>
          <w:sz w:val="20"/>
          <w:szCs w:val="20"/>
          <w:color w:val="auto"/>
        </w:rPr>
      </w:pPr>
      <w:r>
        <w:rPr>
          <w:rFonts w:ascii="Courier New" w:cs="Courier New" w:eastAsia="Courier New" w:hAnsi="Courier New"/>
          <w:sz w:val="16"/>
          <w:szCs w:val="16"/>
          <w:color w:val="auto"/>
        </w:rPr>
        <w:t>REGISTRATION NO. 33-55425</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POST-EFFECTIVE</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800"/>
        <w:spacing w:after="0" w:line="238" w:lineRule="auto"/>
        <w:rPr>
          <w:sz w:val="20"/>
          <w:szCs w:val="20"/>
          <w:color w:val="auto"/>
        </w:rPr>
      </w:pPr>
      <w:r>
        <w:rPr>
          <w:rFonts w:ascii="Courier New" w:cs="Courier New" w:eastAsia="Courier New" w:hAnsi="Courier New"/>
          <w:sz w:val="18"/>
          <w:szCs w:val="18"/>
          <w:color w:val="auto"/>
        </w:rPr>
        <w:t>FORM S-3</w:t>
      </w: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ectPr>
          <w:pgSz w:w="11900" w:h="17023" w:orient="portrait"/>
          <w:cols w:equalWidth="0" w:num="1">
            <w:col w:w="10139"/>
          </w:cols>
          <w:pgMar w:left="32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20"/>
        <w:spacing w:after="0" w:line="344" w:lineRule="auto"/>
        <w:rPr>
          <w:sz w:val="20"/>
          <w:szCs w:val="20"/>
          <w:color w:val="auto"/>
        </w:rPr>
      </w:pPr>
      <w:r>
        <w:rPr>
          <w:rFonts w:ascii="Courier New" w:cs="Courier New" w:eastAsia="Courier New" w:hAnsi="Courier New"/>
          <w:sz w:val="16"/>
          <w:szCs w:val="16"/>
          <w:color w:val="auto"/>
        </w:rPr>
        <w:t>HONEYWELL INTERNATIONAL INC. (EXACT NAME OF REGISTRANT AS SPECIFIED IN ITS CHARTER)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659"/>
        <w:spacing w:after="0"/>
        <w:rPr>
          <w:sz w:val="20"/>
          <w:szCs w:val="20"/>
          <w:color w:val="auto"/>
        </w:rPr>
      </w:pPr>
      <w:r>
        <w:rPr>
          <w:rFonts w:ascii="Courier New" w:cs="Courier New" w:eastAsia="Courier New" w:hAnsi="Courier New"/>
          <w:sz w:val="18"/>
          <w:szCs w:val="18"/>
          <w:color w:val="auto"/>
        </w:rPr>
        <w:t>22-2640650</w:t>
      </w:r>
    </w:p>
    <w:p>
      <w:pPr>
        <w:spacing w:after="0" w:line="29" w:lineRule="exact"/>
        <w:rPr>
          <w:sz w:val="24"/>
          <w:szCs w:val="24"/>
          <w:color w:val="auto"/>
        </w:rPr>
      </w:pPr>
    </w:p>
    <w:p>
      <w:pPr>
        <w:jc w:val="center"/>
        <w:ind w:right="659"/>
        <w:spacing w:after="0"/>
        <w:rPr>
          <w:sz w:val="20"/>
          <w:szCs w:val="20"/>
          <w:color w:val="auto"/>
        </w:rPr>
      </w:pPr>
      <w:r>
        <w:rPr>
          <w:rFonts w:ascii="Courier New" w:cs="Courier New" w:eastAsia="Courier New" w:hAnsi="Courier New"/>
          <w:sz w:val="18"/>
          <w:szCs w:val="18"/>
          <w:color w:val="auto"/>
        </w:rPr>
        <w:t>(I.R.S. EMPLOYER</w:t>
      </w:r>
    </w:p>
    <w:p>
      <w:pPr>
        <w:jc w:val="center"/>
        <w:ind w:right="659"/>
        <w:spacing w:after="0"/>
        <w:rPr>
          <w:sz w:val="20"/>
          <w:szCs w:val="20"/>
          <w:color w:val="auto"/>
        </w:rPr>
      </w:pPr>
      <w:r>
        <w:rPr>
          <w:rFonts w:ascii="Courier New" w:cs="Courier New" w:eastAsia="Courier New" w:hAnsi="Courier New"/>
          <w:sz w:val="16"/>
          <w:szCs w:val="16"/>
          <w:color w:val="auto"/>
        </w:rPr>
        <w:t>IDENTIFICATION NUMBER)</w:t>
      </w:r>
    </w:p>
    <w:p>
      <w:pPr>
        <w:spacing w:after="0" w:line="361" w:lineRule="exact"/>
        <w:rPr>
          <w:sz w:val="24"/>
          <w:szCs w:val="24"/>
          <w:color w:val="auto"/>
        </w:rPr>
      </w:pPr>
    </w:p>
    <w:p>
      <w:pPr>
        <w:sectPr>
          <w:pgSz w:w="11900" w:h="17023" w:orient="portrait"/>
          <w:cols w:equalWidth="0" w:num="3">
            <w:col w:w="3060" w:space="320"/>
            <w:col w:w="3260" w:space="520"/>
            <w:col w:w="2979"/>
          </w:cols>
          <w:pgMar w:left="320" w:top="1440" w:right="1440" w:bottom="0" w:gutter="0" w:footer="0" w:header="0"/>
          <w:type w:val="continuous"/>
        </w:sectPr>
      </w:pPr>
    </w:p>
    <w:p>
      <w:pPr>
        <w:spacing w:after="0" w:line="23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101 COLUMBIA ROAD</w:t>
      </w:r>
    </w:p>
    <w:p>
      <w:pPr>
        <w:spacing w:after="0" w:line="2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P.O. BOX 4000</w:t>
      </w:r>
    </w:p>
    <w:p>
      <w:pPr>
        <w:jc w:val="center"/>
        <w:ind w:right="1819"/>
        <w:spacing w:after="0" w:line="238" w:lineRule="auto"/>
        <w:rPr>
          <w:sz w:val="20"/>
          <w:szCs w:val="20"/>
          <w:color w:val="auto"/>
        </w:rPr>
      </w:pPr>
      <w:r>
        <w:rPr>
          <w:rFonts w:ascii="Courier New" w:cs="Courier New" w:eastAsia="Courier New" w:hAnsi="Courier New"/>
          <w:sz w:val="18"/>
          <w:szCs w:val="18"/>
          <w:color w:val="auto"/>
        </w:rPr>
        <w:t>MORRISTOWN, NEW JERSEY 07962-2497</w:t>
      </w:r>
    </w:p>
    <w:p>
      <w:pPr>
        <w:jc w:val="center"/>
        <w:ind w:right="1699"/>
        <w:spacing w:after="0" w:line="238" w:lineRule="auto"/>
        <w:rPr>
          <w:sz w:val="20"/>
          <w:szCs w:val="20"/>
          <w:color w:val="auto"/>
        </w:rPr>
      </w:pPr>
      <w:r>
        <w:rPr>
          <w:rFonts w:ascii="Courier New" w:cs="Courier New" w:eastAsia="Courier New" w:hAnsi="Courier New"/>
          <w:sz w:val="18"/>
          <w:szCs w:val="18"/>
          <w:color w:val="auto"/>
        </w:rPr>
        <w:t>(973) 455-2000</w:t>
      </w:r>
    </w:p>
    <w:p>
      <w:pPr>
        <w:spacing w:after="0" w:line="1" w:lineRule="exact"/>
        <w:rPr>
          <w:sz w:val="24"/>
          <w:szCs w:val="24"/>
          <w:color w:val="auto"/>
        </w:rPr>
      </w:pPr>
    </w:p>
    <w:p>
      <w:pPr>
        <w:jc w:val="center"/>
        <w:ind w:right="1799"/>
        <w:spacing w:after="0" w:line="309" w:lineRule="auto"/>
        <w:rPr>
          <w:sz w:val="20"/>
          <w:szCs w:val="20"/>
          <w:color w:val="auto"/>
        </w:rPr>
      </w:pPr>
      <w:r>
        <w:rPr>
          <w:rFonts w:ascii="Courier New" w:cs="Courier New" w:eastAsia="Courier New" w:hAnsi="Courier New"/>
          <w:sz w:val="18"/>
          <w:szCs w:val="18"/>
          <w:color w:val="auto"/>
        </w:rPr>
        <w:t>(ADDRESS, INCLUDING ZIP CODE, AND TELEPHONE NUMBER, OF REGISTRANT'S PRINCIPAL EXECUTIVE OFFICES)</w:t>
      </w:r>
    </w:p>
    <w:p>
      <w:pPr>
        <w:spacing w:after="0" w:line="5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PETER M. KREINDLER, ESQ.</w:t>
      </w:r>
    </w:p>
    <w:p>
      <w:pPr>
        <w:spacing w:after="0" w:line="2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SENIOR VICE PRESIDENT AND GENERAL COUNSEL</w:t>
      </w:r>
    </w:p>
    <w:p>
      <w:pPr>
        <w:ind w:left="2740"/>
        <w:spacing w:after="0" w:line="238" w:lineRule="auto"/>
        <w:rPr>
          <w:sz w:val="20"/>
          <w:szCs w:val="20"/>
          <w:color w:val="auto"/>
        </w:rPr>
      </w:pPr>
      <w:r>
        <w:rPr>
          <w:rFonts w:ascii="Courier New" w:cs="Courier New" w:eastAsia="Courier New" w:hAnsi="Courier New"/>
          <w:sz w:val="18"/>
          <w:szCs w:val="18"/>
          <w:color w:val="auto"/>
        </w:rPr>
        <w:t>HONEYWELL INTERNATIONAL INC.</w:t>
      </w:r>
    </w:p>
    <w:p>
      <w:pPr>
        <w:ind w:left="3280"/>
        <w:spacing w:after="0" w:line="238" w:lineRule="auto"/>
        <w:rPr>
          <w:sz w:val="20"/>
          <w:szCs w:val="20"/>
          <w:color w:val="auto"/>
        </w:rPr>
      </w:pPr>
      <w:r>
        <w:rPr>
          <w:rFonts w:ascii="Courier New" w:cs="Courier New" w:eastAsia="Courier New" w:hAnsi="Courier New"/>
          <w:sz w:val="18"/>
          <w:szCs w:val="18"/>
          <w:color w:val="auto"/>
        </w:rPr>
        <w:t>101 COLUMBIA ROAD</w:t>
      </w:r>
    </w:p>
    <w:p>
      <w:pPr>
        <w:ind w:left="2220"/>
        <w:spacing w:after="0"/>
        <w:rPr>
          <w:sz w:val="20"/>
          <w:szCs w:val="20"/>
          <w:color w:val="auto"/>
        </w:rPr>
      </w:pPr>
      <w:r>
        <w:rPr>
          <w:rFonts w:ascii="Courier New" w:cs="Courier New" w:eastAsia="Courier New" w:hAnsi="Courier New"/>
          <w:sz w:val="18"/>
          <w:szCs w:val="18"/>
          <w:color w:val="auto"/>
        </w:rPr>
        <w:t>MORRIS TOWNSHIP, NEW JERSEY 07962-2497</w:t>
      </w:r>
    </w:p>
    <w:p>
      <w:pPr>
        <w:ind w:left="3480"/>
        <w:spacing w:after="0" w:line="238" w:lineRule="auto"/>
        <w:rPr>
          <w:sz w:val="20"/>
          <w:szCs w:val="20"/>
          <w:color w:val="auto"/>
        </w:rPr>
      </w:pPr>
      <w:r>
        <w:rPr>
          <w:rFonts w:ascii="Courier New" w:cs="Courier New" w:eastAsia="Courier New" w:hAnsi="Courier New"/>
          <w:sz w:val="18"/>
          <w:szCs w:val="18"/>
          <w:color w:val="auto"/>
        </w:rPr>
        <w:t>(973) 455-2000</w:t>
      </w:r>
    </w:p>
    <w:p>
      <w:pPr>
        <w:ind w:left="120"/>
        <w:spacing w:after="0"/>
        <w:rPr>
          <w:sz w:val="20"/>
          <w:szCs w:val="20"/>
          <w:color w:val="auto"/>
        </w:rPr>
      </w:pPr>
      <w:r>
        <w:rPr>
          <w:rFonts w:ascii="Courier New" w:cs="Courier New" w:eastAsia="Courier New" w:hAnsi="Courier New"/>
          <w:sz w:val="16"/>
          <w:szCs w:val="16"/>
          <w:color w:val="auto"/>
        </w:rPr>
        <w:t>(NAME, ADDRESS, INCLUDING ZIP CODE, AND TELEPHONE NUMBER OF AGENT FOR SERVICE)</w:t>
      </w:r>
    </w:p>
    <w:p>
      <w:pPr>
        <w:spacing w:after="0" w:line="39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right="1919" w:firstLine="421"/>
        <w:spacing w:after="0" w:line="346"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the effective date of this registration statement.</w:t>
      </w:r>
    </w:p>
    <w:p>
      <w:pPr>
        <w:spacing w:after="0" w:line="20" w:lineRule="exact"/>
        <w:rPr>
          <w:sz w:val="24"/>
          <w:szCs w:val="24"/>
          <w:color w:val="auto"/>
        </w:rPr>
      </w:pPr>
    </w:p>
    <w:p>
      <w:pPr>
        <w:ind w:right="1819" w:firstLine="421"/>
        <w:spacing w:after="0" w:line="292"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[x]</w:t>
      </w:r>
    </w:p>
    <w:p>
      <w:pPr>
        <w:spacing w:after="0" w:line="66" w:lineRule="exact"/>
        <w:rPr>
          <w:sz w:val="24"/>
          <w:szCs w:val="24"/>
          <w:color w:val="auto"/>
        </w:rPr>
      </w:pPr>
    </w:p>
    <w:p>
      <w:pPr>
        <w:ind w:right="1699" w:firstLine="421"/>
        <w:spacing w:after="0" w:line="274"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81" w:lineRule="exact"/>
        <w:rPr>
          <w:sz w:val="24"/>
          <w:szCs w:val="24"/>
          <w:color w:val="auto"/>
        </w:rPr>
      </w:pPr>
    </w:p>
    <w:p>
      <w:pPr>
        <w:ind w:right="1699" w:firstLine="421"/>
        <w:spacing w:after="0" w:line="274"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81" w:lineRule="exact"/>
        <w:rPr>
          <w:sz w:val="24"/>
          <w:szCs w:val="24"/>
          <w:color w:val="auto"/>
        </w:rPr>
      </w:pPr>
    </w:p>
    <w:p>
      <w:pPr>
        <w:ind w:right="2019" w:firstLine="421"/>
        <w:spacing w:after="0" w:line="420"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w:t>
      </w:r>
    </w:p>
    <w:p>
      <w:pPr>
        <w:sectPr>
          <w:pgSz w:w="11900" w:h="17023" w:orient="portrait"/>
          <w:cols w:equalWidth="0" w:num="1">
            <w:col w:w="10139"/>
          </w:cols>
          <w:pgMar w:left="320" w:top="1440" w:right="1440" w:bottom="0" w:gutter="0" w:footer="0" w:header="0"/>
          <w:type w:val="continuous"/>
        </w:sectPr>
      </w:pPr>
    </w:p>
    <w:bookmarkStart w:id="1" w:name="page2"/>
    <w:bookmarkEnd w:id="1"/>
    <w:p>
      <w:pPr>
        <w:ind w:right="2019"/>
        <w:spacing w:after="0" w:line="346" w:lineRule="auto"/>
        <w:rPr>
          <w:sz w:val="20"/>
          <w:szCs w:val="20"/>
          <w:color w:val="auto"/>
        </w:rPr>
      </w:pPr>
      <w:r>
        <w:rPr>
          <w:rFonts w:ascii="Courier New" w:cs="Courier New" w:eastAsia="Courier New" w:hAnsi="Courier New"/>
          <w:sz w:val="18"/>
          <w:szCs w:val="18"/>
          <w:color w:val="auto"/>
        </w:rPr>
        <w:t>Registration Statement number of the earlier effective Registration Statement for the same offering. [ ]</w:t>
      </w:r>
    </w:p>
    <w:p>
      <w:pPr>
        <w:spacing w:after="0" w:line="20" w:lineRule="exact"/>
        <w:rPr>
          <w:sz w:val="20"/>
          <w:szCs w:val="20"/>
          <w:color w:val="auto"/>
        </w:rPr>
      </w:pPr>
    </w:p>
    <w:p>
      <w:pPr>
        <w:ind w:right="1919" w:firstLine="421"/>
        <w:spacing w:after="0" w:line="346"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139"/>
          </w:cols>
          <w:pgMar w:left="320" w:top="110" w:right="1440" w:bottom="1440" w:gutter="0" w:footer="0" w:header="0"/>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[LOGO]</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DIVIDEND REINVESTMENT AND SHARE PURCHASE PLAN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right="1699" w:firstLine="421"/>
        <w:spacing w:after="0" w:line="260" w:lineRule="auto"/>
        <w:rPr>
          <w:sz w:val="20"/>
          <w:szCs w:val="20"/>
          <w:color w:val="auto"/>
        </w:rPr>
      </w:pPr>
      <w:r>
        <w:rPr>
          <w:rFonts w:ascii="Courier New" w:cs="Courier New" w:eastAsia="Courier New" w:hAnsi="Courier New"/>
          <w:sz w:val="18"/>
          <w:szCs w:val="18"/>
          <w:color w:val="auto"/>
        </w:rPr>
        <w:t>The Honeywell International Inc. Dividend Reinvestment and Share Purchase Plan provides holders of the Common Stock of Honeywell International Inc. with a simple and convenient method of investing cash dividends and optional cash payments in additional shares of Common Stock without payment of any brokerage commission or service charge. Any holder of record of the Common Stock is eligible to participate in the Plan.</w:t>
      </w:r>
    </w:p>
    <w:p>
      <w:pPr>
        <w:spacing w:after="0" w:line="29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participant in the Plan may purchase additional shares by:</w:t>
      </w:r>
    </w:p>
    <w:p>
      <w:pPr>
        <w:spacing w:after="0" w:line="201" w:lineRule="exact"/>
        <w:rPr>
          <w:sz w:val="20"/>
          <w:szCs w:val="20"/>
          <w:color w:val="auto"/>
        </w:rPr>
      </w:pPr>
    </w:p>
    <w:p>
      <w:pPr>
        <w:ind w:left="1280" w:right="2239" w:hanging="324"/>
        <w:spacing w:after="0" w:line="34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reinvesting dividends on all shares of Common Stock held by the participant; or</w:t>
      </w:r>
    </w:p>
    <w:p>
      <w:pPr>
        <w:spacing w:after="0" w:line="19" w:lineRule="exact"/>
        <w:rPr>
          <w:rFonts w:ascii="Courier New" w:cs="Courier New" w:eastAsia="Courier New" w:hAnsi="Courier New"/>
          <w:sz w:val="18"/>
          <w:szCs w:val="18"/>
          <w:color w:val="auto"/>
        </w:rPr>
      </w:pPr>
    </w:p>
    <w:p>
      <w:pPr>
        <w:ind w:left="1280" w:right="1819" w:hanging="324"/>
        <w:spacing w:after="0" w:line="292"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reinvesting dividends on part of the shares of Common Stock held by the participant (while continuing to receive cash dividends on the other shares); or</w:t>
      </w:r>
    </w:p>
    <w:p>
      <w:pPr>
        <w:spacing w:after="0" w:line="65" w:lineRule="exact"/>
        <w:rPr>
          <w:rFonts w:ascii="Courier New" w:cs="Courier New" w:eastAsia="Courier New" w:hAnsi="Courier New"/>
          <w:sz w:val="18"/>
          <w:szCs w:val="18"/>
          <w:color w:val="auto"/>
        </w:rPr>
      </w:pPr>
    </w:p>
    <w:p>
      <w:pPr>
        <w:ind w:left="1280" w:right="2239" w:hanging="324"/>
        <w:spacing w:after="0" w:line="292"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optional cash payments of not less than $25 each up to a maximum of $120,000 per calendar year, whether or not the participant's dividends are being reinvested.</w:t>
      </w:r>
    </w:p>
    <w:p>
      <w:pPr>
        <w:spacing w:after="0" w:line="66" w:lineRule="exact"/>
        <w:rPr>
          <w:sz w:val="20"/>
          <w:szCs w:val="20"/>
          <w:color w:val="auto"/>
        </w:rPr>
      </w:pPr>
    </w:p>
    <w:p>
      <w:pPr>
        <w:ind w:right="1819" w:firstLine="421"/>
        <w:spacing w:after="0" w:line="292" w:lineRule="auto"/>
        <w:rPr>
          <w:sz w:val="20"/>
          <w:szCs w:val="20"/>
          <w:color w:val="auto"/>
        </w:rPr>
      </w:pPr>
      <w:r>
        <w:rPr>
          <w:rFonts w:ascii="Courier New" w:cs="Courier New" w:eastAsia="Courier New" w:hAnsi="Courier New"/>
          <w:sz w:val="18"/>
          <w:szCs w:val="18"/>
          <w:color w:val="auto"/>
        </w:rPr>
        <w:t>Cash dividends on all shares held for the participant's account under the Plan will automatically be reinvested, regardless of which investment option is selected.</w:t>
      </w:r>
    </w:p>
    <w:p>
      <w:pPr>
        <w:spacing w:after="0" w:line="268" w:lineRule="exact"/>
        <w:rPr>
          <w:sz w:val="20"/>
          <w:szCs w:val="20"/>
          <w:color w:val="auto"/>
        </w:rPr>
      </w:pPr>
    </w:p>
    <w:p>
      <w:pPr>
        <w:ind w:right="1699" w:firstLine="421"/>
        <w:spacing w:after="0" w:line="247" w:lineRule="auto"/>
        <w:rPr>
          <w:sz w:val="20"/>
          <w:szCs w:val="20"/>
          <w:color w:val="auto"/>
        </w:rPr>
      </w:pPr>
      <w:r>
        <w:rPr>
          <w:rFonts w:ascii="Courier New" w:cs="Courier New" w:eastAsia="Courier New" w:hAnsi="Courier New"/>
          <w:sz w:val="18"/>
          <w:szCs w:val="18"/>
          <w:color w:val="auto"/>
        </w:rPr>
        <w:t>Shares purchased under the Plan will be purchased from Honeywell or, in the limited circumstances described in the Plan, on the open market. The purchase price of shares purchased from Honeywell will be the average of the high and low sales prices of the Common Stock reported as New York Stock Exchange Composite Transactions for the relevant investment date, which is the dividend payment date for months in which dividends are paid and the first business day of the month for all other months. The purchase price of shares purchased on the open market will be the average, or weighted average if shares are purchased on more than one day, of the daily high and low sales prices of the Common Stock reported as New York Stock Exchange Composite Transactions for the date or dates of purchase. The Common Stock is listed on the New York, Chicago and Pacific stock exchanges under the symbol 'HON'. The closing price of the Common Stock on February 28, 2000 was $48.00 per share.</w:t>
      </w:r>
    </w:p>
    <w:p>
      <w:pPr>
        <w:spacing w:after="0" w:line="200" w:lineRule="exact"/>
        <w:rPr>
          <w:sz w:val="20"/>
          <w:szCs w:val="20"/>
          <w:color w:val="auto"/>
        </w:rPr>
      </w:pPr>
    </w:p>
    <w:p>
      <w:pPr>
        <w:spacing w:after="0" w:line="312" w:lineRule="exact"/>
        <w:rPr>
          <w:sz w:val="20"/>
          <w:szCs w:val="20"/>
          <w:color w:val="auto"/>
        </w:rPr>
      </w:pPr>
    </w:p>
    <w:p>
      <w:pPr>
        <w:ind w:right="1699" w:firstLine="421"/>
        <w:spacing w:after="0" w:line="265" w:lineRule="auto"/>
        <w:rPr>
          <w:sz w:val="20"/>
          <w:szCs w:val="20"/>
          <w:color w:val="auto"/>
        </w:rPr>
      </w:pPr>
      <w:r>
        <w:rPr>
          <w:rFonts w:ascii="Courier New" w:cs="Courier New" w:eastAsia="Courier New" w:hAnsi="Courier New"/>
          <w:sz w:val="18"/>
          <w:szCs w:val="18"/>
          <w:color w:val="auto"/>
        </w:rPr>
        <w:t>This prospectus relates to 4,000,000 shares of the Common Stock registered for sale under the Plan, approximately 1,180,000 of which have been issued prior to the date hereof. Shares sold under the Plan may be authorized but unissued shares or shares held in Honeywell's treasury, or shares acquired on the open market. You should retain this prospectus for future reference.</w:t>
      </w:r>
    </w:p>
    <w:p>
      <w:pPr>
        <w:spacing w:after="0" w:line="29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right="1819" w:firstLine="421"/>
        <w:spacing w:after="0" w:line="420" w:lineRule="auto"/>
        <w:rPr>
          <w:sz w:val="20"/>
          <w:szCs w:val="20"/>
          <w:color w:val="auto"/>
        </w:rPr>
      </w:pPr>
      <w:r>
        <w:rPr>
          <w:rFonts w:ascii="Courier New" w:cs="Courier New" w:eastAsia="Courier New" w:hAnsi="Courier New"/>
          <w:sz w:val="16"/>
          <w:szCs w:val="16"/>
          <w:color w:val="auto"/>
        </w:rPr>
        <w:t>YOU SHOULD READ THE 'RISK FACTORS' SECTION ON PAGE 3 OF THIS PROSPECTUS FOR A DESCRIPTION OF VARIOUS RISKS IN EVALUATING WHETHER TO BUY OUR COMMON STOCK.</w:t>
      </w:r>
    </w:p>
    <w:p>
      <w:pPr>
        <w:spacing w:after="0" w:line="17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right="1699" w:firstLine="421"/>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0139"/>
          </w:cols>
          <w:pgMar w:left="320" w:top="690" w:right="1440" w:bottom="72" w:gutter="0" w:footer="0" w:header="0"/>
        </w:sectPr>
      </w:pPr>
    </w:p>
    <w:bookmarkStart w:id="3" w:name="page4"/>
    <w:bookmarkEnd w:id="3"/>
    <w:p>
      <w:pPr>
        <w:ind w:left="460"/>
        <w:spacing w:after="0"/>
        <w:rPr>
          <w:sz w:val="20"/>
          <w:szCs w:val="20"/>
          <w:color w:val="auto"/>
        </w:rPr>
      </w:pPr>
      <w:r>
        <w:rPr>
          <w:rFonts w:ascii="Courier New" w:cs="Courier New" w:eastAsia="Courier New" w:hAnsi="Courier New"/>
          <w:sz w:val="16"/>
          <w:szCs w:val="16"/>
          <w:color w:val="auto"/>
        </w:rPr>
        <w:t>The date of this prospectus is February 29, 2000.</w:t>
      </w:r>
    </w:p>
    <w:p>
      <w:pPr>
        <w:sectPr>
          <w:pgSz w:w="11900" w:h="16838" w:orient="portrait"/>
          <w:cols w:equalWidth="0" w:num="1">
            <w:col w:w="9019"/>
          </w:cols>
          <w:pgMar w:left="1440" w:top="110"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PAGE</w:t>
      </w:r>
    </w:p>
    <w:p>
      <w:pPr>
        <w:spacing w:after="0" w:line="3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8"/>
          <w:szCs w:val="18"/>
          <w:color w:val="auto"/>
        </w:rPr>
        <w:t>3</w:t>
      </w:r>
    </w:p>
    <w:p>
      <w:pPr>
        <w:spacing w:after="0" w:line="29"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8"/>
          <w:szCs w:val="18"/>
          <w:color w:val="auto"/>
        </w:rPr>
        <w:t>Honeywell</w:t>
      </w:r>
      <w:r>
        <w:rPr>
          <w:sz w:val="20"/>
          <w:szCs w:val="20"/>
          <w:color w:val="auto"/>
        </w:rPr>
        <w:tab/>
      </w:r>
      <w:r>
        <w:rPr>
          <w:rFonts w:ascii="Courier New" w:cs="Courier New" w:eastAsia="Courier New" w:hAnsi="Courier New"/>
          <w:sz w:val="18"/>
          <w:szCs w:val="18"/>
          <w:color w:val="auto"/>
        </w:rPr>
        <w:t>4</w:t>
      </w:r>
    </w:p>
    <w:p>
      <w:pPr>
        <w:spacing w:after="0" w:line="238" w:lineRule="auto"/>
        <w:tabs>
          <w:tab w:leader="dot" w:pos="6720" w:val="left"/>
        </w:tabs>
        <w:rPr>
          <w:sz w:val="20"/>
          <w:szCs w:val="20"/>
          <w:color w:val="auto"/>
        </w:rPr>
      </w:pPr>
      <w:r>
        <w:rPr>
          <w:rFonts w:ascii="Courier New" w:cs="Courier New" w:eastAsia="Courier New" w:hAnsi="Courier New"/>
          <w:sz w:val="18"/>
          <w:szCs w:val="18"/>
          <w:color w:val="auto"/>
        </w:rPr>
        <w:t>The Plan</w:t>
      </w:r>
      <w:r>
        <w:rPr>
          <w:sz w:val="20"/>
          <w:szCs w:val="20"/>
          <w:color w:val="auto"/>
        </w:rPr>
        <w:tab/>
      </w:r>
      <w:r>
        <w:rPr>
          <w:rFonts w:ascii="Courier New" w:cs="Courier New" w:eastAsia="Courier New" w:hAnsi="Courier New"/>
          <w:sz w:val="18"/>
          <w:szCs w:val="18"/>
          <w:color w:val="auto"/>
        </w:rPr>
        <w:t>4</w:t>
      </w:r>
    </w:p>
    <w:p>
      <w:pPr>
        <w:ind w:left="420"/>
        <w:spacing w:after="0" w:line="238" w:lineRule="auto"/>
        <w:tabs>
          <w:tab w:leader="dot" w:pos="6720" w:val="left"/>
        </w:tabs>
        <w:rPr>
          <w:sz w:val="20"/>
          <w:szCs w:val="20"/>
          <w:color w:val="auto"/>
        </w:rPr>
      </w:pPr>
      <w:r>
        <w:rPr>
          <w:rFonts w:ascii="Courier New" w:cs="Courier New" w:eastAsia="Courier New" w:hAnsi="Courier New"/>
          <w:sz w:val="18"/>
          <w:szCs w:val="18"/>
          <w:color w:val="auto"/>
        </w:rPr>
        <w:t>Purpose</w:t>
      </w:r>
      <w:r>
        <w:rPr>
          <w:sz w:val="20"/>
          <w:szCs w:val="20"/>
          <w:color w:val="auto"/>
        </w:rPr>
        <w:tab/>
      </w:r>
      <w:r>
        <w:rPr>
          <w:rFonts w:ascii="Courier New" w:cs="Courier New" w:eastAsia="Courier New" w:hAnsi="Courier New"/>
          <w:sz w:val="18"/>
          <w:szCs w:val="18"/>
          <w:color w:val="auto"/>
        </w:rPr>
        <w:t>4</w:t>
      </w:r>
    </w:p>
    <w:p>
      <w:pPr>
        <w:ind w:left="420"/>
        <w:spacing w:after="0"/>
        <w:tabs>
          <w:tab w:leader="dot" w:pos="6720" w:val="left"/>
        </w:tabs>
        <w:rPr>
          <w:sz w:val="20"/>
          <w:szCs w:val="20"/>
          <w:color w:val="auto"/>
        </w:rPr>
      </w:pPr>
      <w:r>
        <w:rPr>
          <w:rFonts w:ascii="Courier New" w:cs="Courier New" w:eastAsia="Courier New" w:hAnsi="Courier New"/>
          <w:sz w:val="18"/>
          <w:szCs w:val="18"/>
          <w:color w:val="auto"/>
        </w:rPr>
        <w:t>Advantages</w:t>
      </w:r>
      <w:r>
        <w:rPr>
          <w:sz w:val="20"/>
          <w:szCs w:val="20"/>
          <w:color w:val="auto"/>
        </w:rPr>
        <w:tab/>
      </w:r>
      <w:r>
        <w:rPr>
          <w:rFonts w:ascii="Courier New" w:cs="Courier New" w:eastAsia="Courier New" w:hAnsi="Courier New"/>
          <w:sz w:val="18"/>
          <w:szCs w:val="18"/>
          <w:color w:val="auto"/>
        </w:rPr>
        <w:t>4</w:t>
      </w:r>
    </w:p>
    <w:p>
      <w:pPr>
        <w:ind w:left="420"/>
        <w:spacing w:after="0" w:line="238" w:lineRule="auto"/>
        <w:tabs>
          <w:tab w:leader="dot" w:pos="6720" w:val="left"/>
        </w:tabs>
        <w:rPr>
          <w:sz w:val="20"/>
          <w:szCs w:val="20"/>
          <w:color w:val="auto"/>
        </w:rPr>
      </w:pPr>
      <w:r>
        <w:rPr>
          <w:rFonts w:ascii="Courier New" w:cs="Courier New" w:eastAsia="Courier New" w:hAnsi="Courier New"/>
          <w:sz w:val="18"/>
          <w:szCs w:val="18"/>
          <w:color w:val="auto"/>
        </w:rPr>
        <w:t>Administration</w:t>
      </w:r>
      <w:r>
        <w:rPr>
          <w:sz w:val="20"/>
          <w:szCs w:val="20"/>
          <w:color w:val="auto"/>
        </w:rPr>
        <w:tab/>
      </w:r>
      <w:r>
        <w:rPr>
          <w:rFonts w:ascii="Courier New" w:cs="Courier New" w:eastAsia="Courier New" w:hAnsi="Courier New"/>
          <w:sz w:val="18"/>
          <w:szCs w:val="18"/>
          <w:color w:val="auto"/>
        </w:rPr>
        <w:t>5</w:t>
      </w:r>
    </w:p>
    <w:p>
      <w:pPr>
        <w:ind w:left="420"/>
        <w:spacing w:after="0" w:line="238" w:lineRule="auto"/>
        <w:tabs>
          <w:tab w:leader="dot" w:pos="6720" w:val="left"/>
        </w:tabs>
        <w:rPr>
          <w:sz w:val="20"/>
          <w:szCs w:val="20"/>
          <w:color w:val="auto"/>
        </w:rPr>
      </w:pPr>
      <w:r>
        <w:rPr>
          <w:rFonts w:ascii="Courier New" w:cs="Courier New" w:eastAsia="Courier New" w:hAnsi="Courier New"/>
          <w:sz w:val="18"/>
          <w:szCs w:val="18"/>
          <w:color w:val="auto"/>
        </w:rPr>
        <w:t>Participation</w:t>
      </w:r>
      <w:r>
        <w:rPr>
          <w:sz w:val="20"/>
          <w:szCs w:val="20"/>
          <w:color w:val="auto"/>
        </w:rPr>
        <w:tab/>
      </w:r>
      <w:r>
        <w:rPr>
          <w:rFonts w:ascii="Courier New" w:cs="Courier New" w:eastAsia="Courier New" w:hAnsi="Courier New"/>
          <w:sz w:val="18"/>
          <w:szCs w:val="18"/>
          <w:color w:val="auto"/>
        </w:rPr>
        <w:t>5</w:t>
      </w:r>
    </w:p>
    <w:p>
      <w:pPr>
        <w:ind w:left="420"/>
        <w:spacing w:after="0"/>
        <w:tabs>
          <w:tab w:leader="dot" w:pos="6720" w:val="left"/>
        </w:tabs>
        <w:rPr>
          <w:sz w:val="20"/>
          <w:szCs w:val="20"/>
          <w:color w:val="auto"/>
        </w:rPr>
      </w:pPr>
      <w:r>
        <w:rPr>
          <w:rFonts w:ascii="Courier New" w:cs="Courier New" w:eastAsia="Courier New" w:hAnsi="Courier New"/>
          <w:sz w:val="18"/>
          <w:szCs w:val="18"/>
          <w:color w:val="auto"/>
        </w:rPr>
        <w:t>Purchases</w:t>
      </w:r>
      <w:r>
        <w:rPr>
          <w:sz w:val="20"/>
          <w:szCs w:val="20"/>
          <w:color w:val="auto"/>
        </w:rPr>
        <w:tab/>
      </w:r>
      <w:r>
        <w:rPr>
          <w:rFonts w:ascii="Courier New" w:cs="Courier New" w:eastAsia="Courier New" w:hAnsi="Courier New"/>
          <w:sz w:val="18"/>
          <w:szCs w:val="18"/>
          <w:color w:val="auto"/>
        </w:rPr>
        <w:t>6</w:t>
      </w:r>
    </w:p>
    <w:p>
      <w:pPr>
        <w:ind w:left="420"/>
        <w:spacing w:after="0" w:line="238" w:lineRule="auto"/>
        <w:tabs>
          <w:tab w:leader="dot" w:pos="6720" w:val="left"/>
        </w:tabs>
        <w:rPr>
          <w:sz w:val="20"/>
          <w:szCs w:val="20"/>
          <w:color w:val="auto"/>
        </w:rPr>
      </w:pPr>
      <w:r>
        <w:rPr>
          <w:rFonts w:ascii="Courier New" w:cs="Courier New" w:eastAsia="Courier New" w:hAnsi="Courier New"/>
          <w:sz w:val="18"/>
          <w:szCs w:val="18"/>
          <w:color w:val="auto"/>
        </w:rPr>
        <w:t>Optional Cash Purchases</w:t>
      </w:r>
      <w:r>
        <w:rPr>
          <w:sz w:val="20"/>
          <w:szCs w:val="20"/>
          <w:color w:val="auto"/>
        </w:rPr>
        <w:tab/>
      </w:r>
      <w:r>
        <w:rPr>
          <w:rFonts w:ascii="Courier New" w:cs="Courier New" w:eastAsia="Courier New" w:hAnsi="Courier New"/>
          <w:sz w:val="18"/>
          <w:szCs w:val="18"/>
          <w:color w:val="auto"/>
        </w:rPr>
        <w:t>7</w:t>
      </w:r>
    </w:p>
    <w:p>
      <w:pPr>
        <w:ind w:left="420"/>
        <w:spacing w:after="0" w:line="238" w:lineRule="auto"/>
        <w:tabs>
          <w:tab w:leader="dot" w:pos="672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8"/>
          <w:szCs w:val="18"/>
          <w:color w:val="auto"/>
        </w:rPr>
        <w:t>8</w:t>
      </w:r>
    </w:p>
    <w:p>
      <w:pPr>
        <w:ind w:left="420"/>
        <w:spacing w:after="0"/>
        <w:tabs>
          <w:tab w:leader="dot" w:pos="6720" w:val="left"/>
        </w:tabs>
        <w:rPr>
          <w:sz w:val="20"/>
          <w:szCs w:val="20"/>
          <w:color w:val="auto"/>
        </w:rPr>
      </w:pPr>
      <w:r>
        <w:rPr>
          <w:rFonts w:ascii="Courier New" w:cs="Courier New" w:eastAsia="Courier New" w:hAnsi="Courier New"/>
          <w:sz w:val="18"/>
          <w:szCs w:val="18"/>
          <w:color w:val="auto"/>
        </w:rPr>
        <w:t>Reports to Participants</w:t>
      </w:r>
      <w:r>
        <w:rPr>
          <w:sz w:val="20"/>
          <w:szCs w:val="20"/>
          <w:color w:val="auto"/>
        </w:rPr>
        <w:tab/>
      </w:r>
      <w:r>
        <w:rPr>
          <w:rFonts w:ascii="Courier New" w:cs="Courier New" w:eastAsia="Courier New" w:hAnsi="Courier New"/>
          <w:sz w:val="18"/>
          <w:szCs w:val="18"/>
          <w:color w:val="auto"/>
        </w:rPr>
        <w:t>9</w:t>
      </w:r>
    </w:p>
    <w:p>
      <w:pPr>
        <w:ind w:left="420"/>
        <w:spacing w:after="0" w:line="238" w:lineRule="auto"/>
        <w:tabs>
          <w:tab w:leader="dot" w:pos="6620" w:val="left"/>
        </w:tabs>
        <w:rPr>
          <w:sz w:val="20"/>
          <w:szCs w:val="20"/>
          <w:color w:val="auto"/>
        </w:rPr>
      </w:pPr>
      <w:r>
        <w:rPr>
          <w:rFonts w:ascii="Courier New" w:cs="Courier New" w:eastAsia="Courier New" w:hAnsi="Courier New"/>
          <w:sz w:val="18"/>
          <w:szCs w:val="18"/>
          <w:color w:val="auto"/>
        </w:rPr>
        <w:t>Dividends on Fractions of Shares</w:t>
      </w:r>
      <w:r>
        <w:rPr>
          <w:sz w:val="20"/>
          <w:szCs w:val="20"/>
          <w:color w:val="auto"/>
        </w:rPr>
        <w:tab/>
      </w:r>
      <w:r>
        <w:rPr>
          <w:rFonts w:ascii="Courier New" w:cs="Courier New" w:eastAsia="Courier New" w:hAnsi="Courier New"/>
          <w:sz w:val="18"/>
          <w:szCs w:val="18"/>
          <w:color w:val="auto"/>
        </w:rPr>
        <w:t>10</w:t>
      </w:r>
    </w:p>
    <w:p>
      <w:pPr>
        <w:ind w:left="420"/>
        <w:spacing w:after="0" w:line="238" w:lineRule="auto"/>
        <w:tabs>
          <w:tab w:leader="dot" w:pos="6620" w:val="left"/>
        </w:tabs>
        <w:rPr>
          <w:sz w:val="20"/>
          <w:szCs w:val="20"/>
          <w:color w:val="auto"/>
        </w:rPr>
      </w:pPr>
      <w:r>
        <w:rPr>
          <w:rFonts w:ascii="Courier New" w:cs="Courier New" w:eastAsia="Courier New" w:hAnsi="Courier New"/>
          <w:sz w:val="18"/>
          <w:szCs w:val="18"/>
          <w:color w:val="auto"/>
        </w:rPr>
        <w:t>Certificates for Shares</w:t>
      </w:r>
      <w:r>
        <w:rPr>
          <w:sz w:val="20"/>
          <w:szCs w:val="20"/>
          <w:color w:val="auto"/>
        </w:rPr>
        <w:tab/>
      </w:r>
      <w:r>
        <w:rPr>
          <w:rFonts w:ascii="Courier New" w:cs="Courier New" w:eastAsia="Courier New" w:hAnsi="Courier New"/>
          <w:sz w:val="18"/>
          <w:szCs w:val="18"/>
          <w:color w:val="auto"/>
        </w:rPr>
        <w:t>10</w:t>
      </w:r>
    </w:p>
    <w:p>
      <w:pPr>
        <w:ind w:left="420"/>
        <w:spacing w:after="0"/>
        <w:tabs>
          <w:tab w:leader="dot" w:pos="6620" w:val="left"/>
        </w:tabs>
        <w:rPr>
          <w:sz w:val="20"/>
          <w:szCs w:val="20"/>
          <w:color w:val="auto"/>
        </w:rPr>
      </w:pPr>
      <w:r>
        <w:rPr>
          <w:rFonts w:ascii="Courier New" w:cs="Courier New" w:eastAsia="Courier New" w:hAnsi="Courier New"/>
          <w:sz w:val="18"/>
          <w:szCs w:val="18"/>
          <w:color w:val="auto"/>
        </w:rPr>
        <w:t>Termination of Participation</w:t>
      </w:r>
      <w:r>
        <w:rPr>
          <w:sz w:val="20"/>
          <w:szCs w:val="20"/>
          <w:color w:val="auto"/>
        </w:rPr>
        <w:tab/>
      </w:r>
      <w:r>
        <w:rPr>
          <w:rFonts w:ascii="Courier New" w:cs="Courier New" w:eastAsia="Courier New" w:hAnsi="Courier New"/>
          <w:sz w:val="18"/>
          <w:szCs w:val="18"/>
          <w:color w:val="auto"/>
        </w:rPr>
        <w:t>11</w:t>
      </w:r>
    </w:p>
    <w:p>
      <w:pPr>
        <w:ind w:left="420"/>
        <w:spacing w:after="0" w:line="238" w:lineRule="auto"/>
        <w:tabs>
          <w:tab w:leader="dot" w:pos="6620" w:val="left"/>
        </w:tabs>
        <w:rPr>
          <w:sz w:val="20"/>
          <w:szCs w:val="20"/>
          <w:color w:val="auto"/>
        </w:rPr>
      </w:pPr>
      <w:r>
        <w:rPr>
          <w:rFonts w:ascii="Courier New" w:cs="Courier New" w:eastAsia="Courier New" w:hAnsi="Courier New"/>
          <w:sz w:val="18"/>
          <w:szCs w:val="18"/>
          <w:color w:val="auto"/>
        </w:rPr>
        <w:t>Safekeeping</w:t>
      </w:r>
      <w:r>
        <w:rPr>
          <w:sz w:val="20"/>
          <w:szCs w:val="20"/>
          <w:color w:val="auto"/>
        </w:rPr>
        <w:tab/>
      </w:r>
      <w:r>
        <w:rPr>
          <w:rFonts w:ascii="Courier New" w:cs="Courier New" w:eastAsia="Courier New" w:hAnsi="Courier New"/>
          <w:sz w:val="18"/>
          <w:szCs w:val="18"/>
          <w:color w:val="auto"/>
        </w:rPr>
        <w:t>11</w:t>
      </w:r>
    </w:p>
    <w:p>
      <w:pPr>
        <w:ind w:left="420"/>
        <w:spacing w:after="0" w:line="238" w:lineRule="auto"/>
        <w:tabs>
          <w:tab w:leader="dot" w:pos="6620" w:val="left"/>
        </w:tabs>
        <w:rPr>
          <w:sz w:val="20"/>
          <w:szCs w:val="20"/>
          <w:color w:val="auto"/>
        </w:rPr>
      </w:pPr>
      <w:r>
        <w:rPr>
          <w:rFonts w:ascii="Courier New" w:cs="Courier New" w:eastAsia="Courier New" w:hAnsi="Courier New"/>
          <w:sz w:val="18"/>
          <w:szCs w:val="18"/>
          <w:color w:val="auto"/>
        </w:rPr>
        <w:t>Other Information</w:t>
      </w:r>
      <w:r>
        <w:rPr>
          <w:sz w:val="20"/>
          <w:szCs w:val="20"/>
          <w:color w:val="auto"/>
        </w:rPr>
        <w:tab/>
      </w:r>
      <w:r>
        <w:rPr>
          <w:rFonts w:ascii="Courier New" w:cs="Courier New" w:eastAsia="Courier New" w:hAnsi="Courier New"/>
          <w:sz w:val="18"/>
          <w:szCs w:val="18"/>
          <w:color w:val="auto"/>
        </w:rPr>
        <w:t>12</w:t>
      </w:r>
    </w:p>
    <w:p>
      <w:pPr>
        <w:ind w:left="420"/>
        <w:spacing w:after="0"/>
        <w:tabs>
          <w:tab w:leader="dot" w:pos="6620" w:val="left"/>
        </w:tabs>
        <w:rPr>
          <w:sz w:val="20"/>
          <w:szCs w:val="20"/>
          <w:color w:val="auto"/>
        </w:rPr>
      </w:pPr>
      <w:r>
        <w:rPr>
          <w:rFonts w:ascii="Courier New" w:cs="Courier New" w:eastAsia="Courier New" w:hAnsi="Courier New"/>
          <w:sz w:val="18"/>
          <w:szCs w:val="18"/>
          <w:color w:val="auto"/>
        </w:rPr>
        <w:t>Additional Information About the Plan</w:t>
      </w:r>
      <w:r>
        <w:rPr>
          <w:sz w:val="20"/>
          <w:szCs w:val="20"/>
          <w:color w:val="auto"/>
        </w:rPr>
        <w:tab/>
      </w:r>
      <w:r>
        <w:rPr>
          <w:rFonts w:ascii="Courier New" w:cs="Courier New" w:eastAsia="Courier New" w:hAnsi="Courier New"/>
          <w:sz w:val="18"/>
          <w:szCs w:val="18"/>
          <w:color w:val="auto"/>
        </w:rPr>
        <w:t>13</w:t>
      </w:r>
    </w:p>
    <w:p>
      <w:pPr>
        <w:spacing w:after="0" w:line="238" w:lineRule="auto"/>
        <w:tabs>
          <w:tab w:leader="dot" w:pos="66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14</w:t>
      </w:r>
    </w:p>
    <w:p>
      <w:pPr>
        <w:spacing w:after="0" w:line="238" w:lineRule="auto"/>
        <w:tabs>
          <w:tab w:leader="dot" w:pos="66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14</w:t>
      </w:r>
    </w:p>
    <w:p>
      <w:pPr>
        <w:spacing w:after="0"/>
        <w:tabs>
          <w:tab w:leader="dot" w:pos="6620" w:val="left"/>
        </w:tabs>
        <w:rPr>
          <w:sz w:val="20"/>
          <w:szCs w:val="20"/>
          <w:color w:val="auto"/>
        </w:rPr>
      </w:pPr>
      <w:r>
        <w:rPr>
          <w:rFonts w:ascii="Courier New" w:cs="Courier New" w:eastAsia="Courier New" w:hAnsi="Courier New"/>
          <w:sz w:val="18"/>
          <w:szCs w:val="18"/>
          <w:color w:val="auto"/>
        </w:rPr>
        <w:t>Legal Opinion</w:t>
      </w:r>
      <w:r>
        <w:rPr>
          <w:sz w:val="20"/>
          <w:szCs w:val="20"/>
          <w:color w:val="auto"/>
        </w:rPr>
        <w:tab/>
      </w:r>
      <w:r>
        <w:rPr>
          <w:rFonts w:ascii="Courier New" w:cs="Courier New" w:eastAsia="Courier New" w:hAnsi="Courier New"/>
          <w:sz w:val="18"/>
          <w:szCs w:val="18"/>
          <w:color w:val="auto"/>
        </w:rPr>
        <w:t>14</w:t>
      </w:r>
    </w:p>
    <w:p>
      <w:pPr>
        <w:spacing w:after="0" w:line="238" w:lineRule="auto"/>
        <w:tabs>
          <w:tab w:leader="dot" w:pos="6620" w:val="left"/>
        </w:tabs>
        <w:rPr>
          <w:sz w:val="20"/>
          <w:szCs w:val="20"/>
          <w:color w:val="auto"/>
        </w:rPr>
      </w:pPr>
      <w:r>
        <w:rPr>
          <w:rFonts w:ascii="Courier New" w:cs="Courier New" w:eastAsia="Courier New" w:hAnsi="Courier New"/>
          <w:sz w:val="18"/>
          <w:szCs w:val="18"/>
          <w:color w:val="auto"/>
        </w:rPr>
        <w:t>Indemnification Under the Securities Act</w:t>
      </w:r>
      <w:r>
        <w:rPr>
          <w:sz w:val="20"/>
          <w:szCs w:val="20"/>
          <w:color w:val="auto"/>
        </w:rPr>
        <w:tab/>
      </w:r>
      <w:r>
        <w:rPr>
          <w:rFonts w:ascii="Courier New" w:cs="Courier New" w:eastAsia="Courier New" w:hAnsi="Courier New"/>
          <w:sz w:val="18"/>
          <w:szCs w:val="18"/>
          <w:color w:val="auto"/>
        </w:rPr>
        <w:t>14</w:t>
      </w:r>
    </w:p>
    <w:p>
      <w:pPr>
        <w:spacing w:after="0" w:line="238" w:lineRule="auto"/>
        <w:tabs>
          <w:tab w:leader="dot" w:pos="6620" w:val="left"/>
        </w:tabs>
        <w:rPr>
          <w:sz w:val="20"/>
          <w:szCs w:val="20"/>
          <w:color w:val="auto"/>
        </w:rPr>
      </w:pPr>
      <w:r>
        <w:rPr>
          <w:rFonts w:ascii="Courier New" w:cs="Courier New" w:eastAsia="Courier New" w:hAnsi="Courier New"/>
          <w:sz w:val="18"/>
          <w:szCs w:val="18"/>
          <w:color w:val="auto"/>
        </w:rPr>
        <w:t>Where You Can Find More Information</w:t>
      </w:r>
      <w:r>
        <w:rPr>
          <w:sz w:val="20"/>
          <w:szCs w:val="20"/>
          <w:color w:val="auto"/>
        </w:rPr>
        <w:tab/>
      </w:r>
      <w:r>
        <w:rPr>
          <w:rFonts w:ascii="Courier New" w:cs="Courier New" w:eastAsia="Courier New" w:hAnsi="Courier New"/>
          <w:sz w:val="18"/>
          <w:szCs w:val="18"/>
          <w:color w:val="auto"/>
        </w:rPr>
        <w:t>16</w:t>
      </w:r>
    </w:p>
    <w:p>
      <w:pPr>
        <w:spacing w:after="0"/>
        <w:rPr>
          <w:sz w:val="20"/>
          <w:szCs w:val="20"/>
          <w:color w:val="auto"/>
        </w:rPr>
      </w:pPr>
      <w:r>
        <w:rPr>
          <w:rFonts w:ascii="Courier New" w:cs="Courier New" w:eastAsia="Courier New" w:hAnsi="Courier New"/>
          <w:sz w:val="18"/>
          <w:szCs w:val="18"/>
          <w:color w:val="auto"/>
        </w:rPr>
        <w:t>Cautionary Statement Concerning Forward-Looking</w:t>
      </w:r>
    </w:p>
    <w:p>
      <w:pPr>
        <w:ind w:left="220"/>
        <w:spacing w:after="0"/>
        <w:tabs>
          <w:tab w:leader="dot" w:pos="662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699" w:firstLine="421"/>
        <w:spacing w:after="0" w:line="260" w:lineRule="auto"/>
        <w:rPr>
          <w:sz w:val="20"/>
          <w:szCs w:val="20"/>
          <w:color w:val="auto"/>
        </w:rPr>
      </w:pPr>
      <w:r>
        <w:rPr>
          <w:rFonts w:ascii="Courier New" w:cs="Courier New" w:eastAsia="Courier New" w:hAnsi="Courier New"/>
          <w:sz w:val="18"/>
          <w:szCs w:val="18"/>
          <w:color w:val="auto"/>
        </w:rPr>
        <w:t>You should rely only on the information contained in or incorporated by reference in this prospectus. We have authorized no one to provide you with different information. These securities are not being offered in any jurisdiction where such offer is not permitted. You should not assume that the information in this prospectus is accurate as of any date other than the date on the front page of the prospectus.</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1298" w:right="1440" w:bottom="1440" w:gutter="0" w:footer="0" w:header="0"/>
        </w:sectPr>
      </w:pPr>
    </w:p>
    <w:bookmarkStart w:id="5" w:name="page6"/>
    <w:bookmarkEnd w:id="5"/>
    <w:p>
      <w:pPr>
        <w:spacing w:after="0" w:line="15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819" w:firstLine="421"/>
        <w:spacing w:after="0" w:line="292" w:lineRule="auto"/>
        <w:rPr>
          <w:sz w:val="20"/>
          <w:szCs w:val="20"/>
          <w:color w:val="auto"/>
        </w:rPr>
      </w:pPr>
      <w:r>
        <w:rPr>
          <w:rFonts w:ascii="Courier New" w:cs="Courier New" w:eastAsia="Courier New" w:hAnsi="Courier New"/>
          <w:sz w:val="18"/>
          <w:szCs w:val="18"/>
          <w:color w:val="auto"/>
        </w:rPr>
        <w:t>A LARGE DECLINE IN THE AEROSPACE MARKET COULD HAVE A NEGATIVE IMPACT ON OUR REVENUES AND RESULTS OF OPERATIONS, GIVEN THAT A SIGNIFICANT PERCENTAGE OF OUR SALES ARE TO AEROSPACE CUSTOMERS.</w:t>
      </w:r>
    </w:p>
    <w:p>
      <w:pPr>
        <w:spacing w:after="0" w:line="200" w:lineRule="exact"/>
        <w:rPr>
          <w:sz w:val="20"/>
          <w:szCs w:val="20"/>
          <w:color w:val="auto"/>
        </w:rPr>
      </w:pPr>
    </w:p>
    <w:p>
      <w:pPr>
        <w:spacing w:after="0" w:line="271" w:lineRule="exact"/>
        <w:rPr>
          <w:sz w:val="20"/>
          <w:szCs w:val="20"/>
          <w:color w:val="auto"/>
        </w:rPr>
      </w:pPr>
    </w:p>
    <w:p>
      <w:pPr>
        <w:ind w:right="1699" w:firstLine="421"/>
        <w:spacing w:after="0" w:line="253" w:lineRule="auto"/>
        <w:rPr>
          <w:sz w:val="20"/>
          <w:szCs w:val="20"/>
          <w:color w:val="auto"/>
        </w:rPr>
      </w:pPr>
      <w:r>
        <w:rPr>
          <w:rFonts w:ascii="Courier New" w:cs="Courier New" w:eastAsia="Courier New" w:hAnsi="Courier New"/>
          <w:sz w:val="18"/>
          <w:szCs w:val="18"/>
          <w:color w:val="auto"/>
        </w:rPr>
        <w:t>In 1999, approximately 42% of our sales were to aerospace customers. Approximately 15% of our 1999 sales were to original equipment aerospace manufacturers. If there were a large decline in sales of aircraft that use our components, our sales revenue and results of operation could be negatively impacted. In addition, approximately 19% of our 1999 sales were to aftermarket customers of aerospace products and services. If there were a large decline in the operation of aircraft that use our components or services, our sales revenue and results of operation could be negatively impacted.</w:t>
      </w:r>
    </w:p>
    <w:p>
      <w:pPr>
        <w:spacing w:after="0" w:line="200" w:lineRule="exact"/>
        <w:rPr>
          <w:sz w:val="20"/>
          <w:szCs w:val="20"/>
          <w:color w:val="auto"/>
        </w:rPr>
      </w:pPr>
    </w:p>
    <w:p>
      <w:pPr>
        <w:spacing w:after="0" w:line="308" w:lineRule="exact"/>
        <w:rPr>
          <w:sz w:val="20"/>
          <w:szCs w:val="20"/>
          <w:color w:val="auto"/>
        </w:rPr>
      </w:pPr>
    </w:p>
    <w:p>
      <w:pPr>
        <w:jc w:val="both"/>
        <w:ind w:right="1819" w:firstLine="421"/>
        <w:spacing w:after="0" w:line="292" w:lineRule="auto"/>
        <w:rPr>
          <w:sz w:val="20"/>
          <w:szCs w:val="20"/>
          <w:color w:val="auto"/>
        </w:rPr>
      </w:pPr>
      <w:r>
        <w:rPr>
          <w:rFonts w:ascii="Courier New" w:cs="Courier New" w:eastAsia="Courier New" w:hAnsi="Courier New"/>
          <w:sz w:val="18"/>
          <w:szCs w:val="18"/>
          <w:color w:val="auto"/>
        </w:rPr>
        <w:t>THE PRICE OF THE COMMON STOCK MAY BE ADVERSELY AFFECTED IF THE COST SAVINGS AND SALES ENHANCEMENTS EXPECTED AS A RESULT OF THE INTEGRATION OF ALLIEDSIGNAL INC. AND HONEYWELL INC. ARE NOT REALIZED.</w:t>
      </w:r>
    </w:p>
    <w:p>
      <w:pPr>
        <w:spacing w:after="0" w:line="200" w:lineRule="exact"/>
        <w:rPr>
          <w:sz w:val="20"/>
          <w:szCs w:val="20"/>
          <w:color w:val="auto"/>
        </w:rPr>
      </w:pPr>
    </w:p>
    <w:p>
      <w:pPr>
        <w:spacing w:after="0" w:line="271" w:lineRule="exact"/>
        <w:rPr>
          <w:sz w:val="20"/>
          <w:szCs w:val="20"/>
          <w:color w:val="auto"/>
        </w:rPr>
      </w:pPr>
    </w:p>
    <w:p>
      <w:pPr>
        <w:ind w:right="1699" w:firstLine="421"/>
        <w:spacing w:after="0" w:line="251" w:lineRule="auto"/>
        <w:rPr>
          <w:sz w:val="20"/>
          <w:szCs w:val="20"/>
          <w:color w:val="auto"/>
        </w:rPr>
      </w:pPr>
      <w:r>
        <w:rPr>
          <w:rFonts w:ascii="Courier New" w:cs="Courier New" w:eastAsia="Courier New" w:hAnsi="Courier New"/>
          <w:sz w:val="18"/>
          <w:szCs w:val="18"/>
          <w:color w:val="auto"/>
        </w:rPr>
        <w:t>We expect that our integration following our combination on December 1, 1999 will provide significant cost savings and enhanced sales. However, our success in realizing these cost savings and sales enhancements, and the timing of this realization, depends on the quality and speed of the integration of the two companies. Our integration team has identified specific areas for cost savings and has developed a comprehensive plan for the integration of our two companies. However, we may not realize the cost savings and sales enhancements that we anticipate from integrating our operations as fully or as quickly as we expect for a number of reasons, including:</w:t>
      </w:r>
    </w:p>
    <w:p>
      <w:pPr>
        <w:spacing w:after="0" w:line="200" w:lineRule="exact"/>
        <w:rPr>
          <w:sz w:val="20"/>
          <w:szCs w:val="20"/>
          <w:color w:val="auto"/>
        </w:rPr>
      </w:pPr>
    </w:p>
    <w:p>
      <w:pPr>
        <w:spacing w:after="0" w:line="311" w:lineRule="exact"/>
        <w:rPr>
          <w:sz w:val="20"/>
          <w:szCs w:val="20"/>
          <w:color w:val="auto"/>
        </w:rPr>
      </w:pPr>
    </w:p>
    <w:p>
      <w:pPr>
        <w:ind w:left="540" w:right="1919"/>
        <w:spacing w:after="0" w:line="346" w:lineRule="auto"/>
        <w:rPr>
          <w:sz w:val="20"/>
          <w:szCs w:val="20"/>
          <w:color w:val="auto"/>
        </w:rPr>
      </w:pPr>
      <w:r>
        <w:rPr>
          <w:rFonts w:ascii="Courier New" w:cs="Courier New" w:eastAsia="Courier New" w:hAnsi="Courier New"/>
          <w:sz w:val="18"/>
          <w:szCs w:val="18"/>
          <w:color w:val="auto"/>
        </w:rPr>
        <w:t>our large size and worldwide presence and the resulting complexity of our organizations;</w:t>
      </w: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errors in our planning or integration;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unexpected events such as major changes in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19" w:firstLine="421"/>
        <w:spacing w:after="0" w:line="292" w:lineRule="auto"/>
        <w:rPr>
          <w:sz w:val="20"/>
          <w:szCs w:val="20"/>
          <w:color w:val="auto"/>
        </w:rPr>
      </w:pPr>
      <w:r>
        <w:rPr>
          <w:rFonts w:ascii="Courier New" w:cs="Courier New" w:eastAsia="Courier New" w:hAnsi="Courier New"/>
          <w:sz w:val="18"/>
          <w:szCs w:val="18"/>
          <w:color w:val="auto"/>
        </w:rPr>
        <w:t>If we do not realize the cost savings and sales enhancements that we anticipate from integrating our operations as fully or as quickly as we expect, the price of our Common Stock may decline.</w:t>
      </w:r>
    </w:p>
    <w:p>
      <w:pPr>
        <w:spacing w:after="0" w:line="200" w:lineRule="exact"/>
        <w:rPr>
          <w:sz w:val="20"/>
          <w:szCs w:val="20"/>
          <w:color w:val="auto"/>
        </w:rPr>
      </w:pPr>
    </w:p>
    <w:p>
      <w:pPr>
        <w:spacing w:after="0" w:line="271" w:lineRule="exact"/>
        <w:rPr>
          <w:sz w:val="20"/>
          <w:szCs w:val="20"/>
          <w:color w:val="auto"/>
        </w:rPr>
      </w:pPr>
    </w:p>
    <w:p>
      <w:pPr>
        <w:ind w:right="2119" w:firstLine="421"/>
        <w:spacing w:after="0" w:line="346" w:lineRule="auto"/>
        <w:rPr>
          <w:sz w:val="20"/>
          <w:szCs w:val="20"/>
          <w:color w:val="auto"/>
        </w:rPr>
      </w:pPr>
      <w:r>
        <w:rPr>
          <w:rFonts w:ascii="Courier New" w:cs="Courier New" w:eastAsia="Courier New" w:hAnsi="Courier New"/>
          <w:sz w:val="18"/>
          <w:szCs w:val="18"/>
          <w:color w:val="auto"/>
        </w:rPr>
        <w:t>WE MAY BE REQUIRED TO MAKE SIGNIFICANT PAYMENTS WHEN OUR LITIGATION WITH LITTON SYSTEMS, INC. IS RESOLVED.</w:t>
      </w:r>
    </w:p>
    <w:p>
      <w:pPr>
        <w:spacing w:after="0" w:line="200" w:lineRule="exact"/>
        <w:rPr>
          <w:sz w:val="20"/>
          <w:szCs w:val="20"/>
          <w:color w:val="auto"/>
        </w:rPr>
      </w:pPr>
    </w:p>
    <w:p>
      <w:pPr>
        <w:spacing w:after="0" w:line="225" w:lineRule="exact"/>
        <w:rPr>
          <w:sz w:val="20"/>
          <w:szCs w:val="20"/>
          <w:color w:val="auto"/>
        </w:rPr>
      </w:pPr>
    </w:p>
    <w:p>
      <w:pPr>
        <w:ind w:right="2239" w:firstLine="421"/>
        <w:spacing w:after="0" w:line="265" w:lineRule="auto"/>
        <w:rPr>
          <w:sz w:val="20"/>
          <w:szCs w:val="20"/>
          <w:color w:val="auto"/>
        </w:rPr>
      </w:pPr>
      <w:r>
        <w:rPr>
          <w:rFonts w:ascii="Courier New" w:cs="Courier New" w:eastAsia="Courier New" w:hAnsi="Courier New"/>
          <w:sz w:val="18"/>
          <w:szCs w:val="18"/>
          <w:color w:val="auto"/>
        </w:rPr>
        <w:t>Litton Systems, Inc. has filed two lawsuits against us alleging that we engage in monopolistic practices in violation of federal antitrust laws and infringed a Litton patent. Depending on the ultimate resolution of these lawsuits, including possible settlement thereof, we may be required to make significant payments.</w:t>
      </w:r>
    </w:p>
    <w:p>
      <w:pPr>
        <w:spacing w:after="0" w:line="200" w:lineRule="exact"/>
        <w:rPr>
          <w:sz w:val="20"/>
          <w:szCs w:val="20"/>
          <w:color w:val="auto"/>
        </w:rPr>
      </w:pPr>
    </w:p>
    <w:p>
      <w:pPr>
        <w:spacing w:after="0" w:line="294" w:lineRule="exact"/>
        <w:rPr>
          <w:sz w:val="20"/>
          <w:szCs w:val="20"/>
          <w:color w:val="auto"/>
        </w:rPr>
      </w:pPr>
    </w:p>
    <w:p>
      <w:pPr>
        <w:ind w:right="1819" w:firstLine="421"/>
        <w:spacing w:after="0" w:line="256" w:lineRule="auto"/>
        <w:rPr>
          <w:sz w:val="20"/>
          <w:szCs w:val="20"/>
          <w:color w:val="auto"/>
        </w:rPr>
      </w:pPr>
      <w:r>
        <w:rPr>
          <w:rFonts w:ascii="Courier New" w:cs="Courier New" w:eastAsia="Courier New" w:hAnsi="Courier New"/>
          <w:sz w:val="18"/>
          <w:szCs w:val="18"/>
          <w:color w:val="auto"/>
        </w:rPr>
        <w:t>In January 1999, a federal District Court entered a $750 million judgment against us on Litton's antitrust claim. On September 23, 1999, the District Court made certain dispositive rulings which in effect reduced that judgment to $660 million plus attorney fees and costs of approximately $35 million. Both parties have appealed the judgment to the U.S. Court of Appeals for the Ninth Circuit. Our obligation to satisfy this judgment is suspended pending the appeals.</w:t>
      </w:r>
    </w:p>
    <w:p>
      <w:pPr>
        <w:sectPr>
          <w:pgSz w:w="11900" w:h="16993" w:orient="portrait"/>
          <w:cols w:equalWidth="0" w:num="1">
            <w:col w:w="10139"/>
          </w:cols>
          <w:pgMar w:left="320" w:top="893" w:right="1440" w:bottom="0" w:gutter="0" w:footer="0" w:header="0"/>
        </w:sectPr>
      </w:pPr>
    </w:p>
    <w:bookmarkStart w:id="6" w:name="page7"/>
    <w:bookmarkEnd w:id="6"/>
    <w:p>
      <w:pPr>
        <w:ind w:right="1699" w:firstLine="421"/>
        <w:spacing w:after="0" w:line="253" w:lineRule="auto"/>
        <w:rPr>
          <w:sz w:val="20"/>
          <w:szCs w:val="20"/>
          <w:color w:val="auto"/>
        </w:rPr>
      </w:pPr>
      <w:r>
        <w:rPr>
          <w:rFonts w:ascii="Courier New" w:cs="Courier New" w:eastAsia="Courier New" w:hAnsi="Courier New"/>
          <w:sz w:val="18"/>
          <w:szCs w:val="18"/>
          <w:color w:val="auto"/>
        </w:rPr>
        <w:t>In January 1995, a $1.2 billion jury verdict rendered against us in the patent infringement suit was set aside by a federal District Court. On appeal, the Litton patent was found to be valid but not literally infringed by us. The matter was returned to the District Court for further review under the so-called doctrine of equivalents. On September 23, 1999 the District Court granted our motions for judgment as a matter of law as to all of Litton's remaining patent infringement and state law claims. Litton is expected to once again seek an appeal and another jury trial.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717" w:right="1440" w:bottom="1440" w:gutter="0" w:footer="0" w:header="0"/>
        </w:sectPr>
      </w:pPr>
    </w:p>
    <w:bookmarkStart w:id="7" w:name="page8"/>
    <w:bookmarkEnd w:id="7"/>
    <w:p>
      <w:pPr>
        <w:ind w:right="1699" w:firstLine="421"/>
        <w:spacing w:after="0" w:line="260" w:lineRule="auto"/>
        <w:rPr>
          <w:sz w:val="20"/>
          <w:szCs w:val="20"/>
          <w:color w:val="auto"/>
        </w:rPr>
      </w:pPr>
      <w:r>
        <w:rPr>
          <w:rFonts w:ascii="Courier New" w:cs="Courier New" w:eastAsia="Courier New" w:hAnsi="Courier New"/>
          <w:sz w:val="18"/>
          <w:szCs w:val="18"/>
          <w:color w:val="auto"/>
        </w:rPr>
        <w:t>Although it is not possible at this time to predict the result of any eventual appeals in these cases, potential remains for an adverse outcome which could be material to our financial position or results of operations. As a result of the uncertainty regarding the outcome of this litigation, no provision has been made in the financial statements with respect to this contingent liability.</w:t>
      </w:r>
    </w:p>
    <w:p>
      <w:pPr>
        <w:spacing w:after="0" w:line="200" w:lineRule="exact"/>
        <w:rPr>
          <w:sz w:val="20"/>
          <w:szCs w:val="20"/>
          <w:color w:val="auto"/>
        </w:rPr>
      </w:pPr>
    </w:p>
    <w:p>
      <w:pPr>
        <w:spacing w:after="0" w:line="29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HONEYWELL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19" w:firstLine="421"/>
        <w:spacing w:after="0" w:line="260" w:lineRule="auto"/>
        <w:rPr>
          <w:sz w:val="20"/>
          <w:szCs w:val="20"/>
          <w:color w:val="auto"/>
        </w:rPr>
      </w:pPr>
      <w:r>
        <w:rPr>
          <w:rFonts w:ascii="Courier New" w:cs="Courier New" w:eastAsia="Courier New" w:hAnsi="Courier New"/>
          <w:sz w:val="18"/>
          <w:szCs w:val="18"/>
          <w:color w:val="auto"/>
        </w:rPr>
        <w:t>Honeywell, a Delaware corporation, is a diversified technology and manufacturing leader, serving customers worldwide with aerospace products and services; control technologies for buildings, homes and industry; automotive products; power generation systems; specialty chemicals; fibers; plastics; and electronic and advanced materials. We employ approximately 120,000 people in 95 countries.</w:t>
      </w:r>
    </w:p>
    <w:p>
      <w:pPr>
        <w:spacing w:after="0" w:line="200" w:lineRule="exact"/>
        <w:rPr>
          <w:sz w:val="20"/>
          <w:szCs w:val="20"/>
          <w:color w:val="auto"/>
        </w:rPr>
      </w:pPr>
    </w:p>
    <w:p>
      <w:pPr>
        <w:spacing w:after="0" w:line="297" w:lineRule="exact"/>
        <w:rPr>
          <w:sz w:val="20"/>
          <w:szCs w:val="20"/>
          <w:color w:val="auto"/>
        </w:rPr>
      </w:pPr>
    </w:p>
    <w:p>
      <w:pPr>
        <w:ind w:right="1919" w:firstLine="421"/>
        <w:spacing w:after="0" w:line="292" w:lineRule="auto"/>
        <w:rPr>
          <w:sz w:val="20"/>
          <w:szCs w:val="20"/>
          <w:color w:val="auto"/>
        </w:rPr>
      </w:pPr>
      <w:r>
        <w:rPr>
          <w:rFonts w:ascii="Courier New" w:cs="Courier New" w:eastAsia="Courier New" w:hAnsi="Courier New"/>
          <w:sz w:val="18"/>
          <w:szCs w:val="18"/>
          <w:color w:val="auto"/>
        </w:rPr>
        <w:t>Honeywell results from the combination on December 1, 1999 of AlliedSignal Inc. and Honeywell Inc. In connection with the combination, AlliedSignal Inc. changed its name to Honeywell International Inc.</w:t>
      </w:r>
    </w:p>
    <w:p>
      <w:pPr>
        <w:spacing w:after="0" w:line="200" w:lineRule="exact"/>
        <w:rPr>
          <w:sz w:val="20"/>
          <w:szCs w:val="20"/>
          <w:color w:val="auto"/>
        </w:rPr>
      </w:pPr>
    </w:p>
    <w:p>
      <w:pPr>
        <w:spacing w:after="0" w:line="271" w:lineRule="exact"/>
        <w:rPr>
          <w:sz w:val="20"/>
          <w:szCs w:val="20"/>
          <w:color w:val="auto"/>
        </w:rPr>
      </w:pPr>
    </w:p>
    <w:p>
      <w:pPr>
        <w:ind w:right="2019" w:firstLine="421"/>
        <w:spacing w:after="0" w:line="346" w:lineRule="auto"/>
        <w:rPr>
          <w:sz w:val="20"/>
          <w:szCs w:val="20"/>
          <w:color w:val="auto"/>
        </w:rPr>
      </w:pPr>
      <w:r>
        <w:rPr>
          <w:rFonts w:ascii="Courier New" w:cs="Courier New" w:eastAsia="Courier New" w:hAnsi="Courier New"/>
          <w:sz w:val="18"/>
          <w:szCs w:val="18"/>
          <w:color w:val="auto"/>
        </w:rPr>
        <w:t>Our corporate headquarters are at 101 Columbia Road, Morris Township, New Jersey 07962. Our telephone number is (973) 455-2000.</w:t>
      </w:r>
    </w:p>
    <w:p>
      <w:pPr>
        <w:spacing w:after="0" w:line="22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PLAN</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text of the Plan consists of a question and answer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 What is the purpose of the Plan?</w:t>
      </w:r>
    </w:p>
    <w:p>
      <w:pPr>
        <w:spacing w:after="0" w:line="200" w:lineRule="exact"/>
        <w:rPr>
          <w:sz w:val="20"/>
          <w:szCs w:val="20"/>
          <w:color w:val="auto"/>
        </w:rPr>
      </w:pPr>
    </w:p>
    <w:p>
      <w:pPr>
        <w:spacing w:after="0" w:line="204" w:lineRule="exact"/>
        <w:rPr>
          <w:sz w:val="20"/>
          <w:szCs w:val="20"/>
          <w:color w:val="auto"/>
        </w:rPr>
      </w:pPr>
    </w:p>
    <w:p>
      <w:pPr>
        <w:ind w:right="2019" w:firstLine="421"/>
        <w:spacing w:after="0" w:line="306" w:lineRule="auto"/>
        <w:rPr>
          <w:sz w:val="20"/>
          <w:szCs w:val="20"/>
          <w:color w:val="auto"/>
        </w:rPr>
      </w:pPr>
      <w:r>
        <w:rPr>
          <w:rFonts w:ascii="Courier New" w:cs="Courier New" w:eastAsia="Courier New" w:hAnsi="Courier New"/>
          <w:sz w:val="16"/>
          <w:szCs w:val="16"/>
          <w:color w:val="auto"/>
        </w:rPr>
        <w:t>The purpose of the Honeywell International Inc. Dividend Reinvestment and Share Purchase Plan is to provide holders of record of shares of the Common Stock of Honeywell International Inc. with a simple and convenient method of investing cash dividends and optional cash payments in additional shares of Common Stock without payment of any brokerage commission or service charge.</w:t>
      </w: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ADVANTAGES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 What are the advantages of the Plan?</w:t>
      </w:r>
    </w:p>
    <w:p>
      <w:pPr>
        <w:spacing w:after="0" w:line="201" w:lineRule="exact"/>
        <w:rPr>
          <w:sz w:val="20"/>
          <w:szCs w:val="20"/>
          <w:color w:val="auto"/>
        </w:rPr>
      </w:pPr>
    </w:p>
    <w:p>
      <w:pPr>
        <w:ind w:right="1919" w:firstLine="421"/>
        <w:spacing w:after="0" w:line="282" w:lineRule="auto"/>
        <w:rPr>
          <w:sz w:val="20"/>
          <w:szCs w:val="20"/>
          <w:color w:val="auto"/>
        </w:rPr>
      </w:pPr>
      <w:r>
        <w:rPr>
          <w:rFonts w:ascii="Courier New" w:cs="Courier New" w:eastAsia="Courier New" w:hAnsi="Courier New"/>
          <w:sz w:val="16"/>
          <w:szCs w:val="16"/>
          <w:color w:val="auto"/>
        </w:rPr>
        <w:t>A participant in the Plan may (a) have cash dividends on all of the participant's shares automatically reinvested in Common Stock or (b) have cash dividends on part of the participant's shares automatically reinvested or</w:t>
      </w:r>
    </w:p>
    <w:p>
      <w:pPr>
        <w:spacing w:after="0" w:line="1" w:lineRule="exact"/>
        <w:rPr>
          <w:sz w:val="20"/>
          <w:szCs w:val="20"/>
          <w:color w:val="auto"/>
        </w:rPr>
      </w:pPr>
    </w:p>
    <w:p>
      <w:pPr>
        <w:ind w:right="1699" w:firstLine="8"/>
        <w:spacing w:after="0" w:line="244"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a participant has elected to have any such dividends automatically reinvested, invest in additional shares by making optional cash payments of not less than $25 each up to a maximum of $120,000 per calendar year. No commission or service charge is paid by a participant in connection with purchases under the Plan. Full investment of funds is possible under the Plan because fractions of shares, as well as whole shares, will be credited to a participant's account. Further, dividends in respect of such fractions, as well as whole shares, will be reinvested in additional shares of Common Stock and such shares will be credited to a participant's account. A participant can avoid the need for safekeeping of certificates for shares credited to the participant's account under the Plan. Statements of account sent to Plan participants will provide simplified recordkeeping.</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893" w:right="1440" w:bottom="1002"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 Who administers the Plan for participants?</w:t>
      </w:r>
    </w:p>
    <w:p>
      <w:pPr>
        <w:spacing w:after="0" w:line="200" w:lineRule="exact"/>
        <w:rPr>
          <w:sz w:val="20"/>
          <w:szCs w:val="20"/>
          <w:color w:val="auto"/>
        </w:rPr>
      </w:pPr>
    </w:p>
    <w:p>
      <w:pPr>
        <w:spacing w:after="0" w:line="204" w:lineRule="exact"/>
        <w:rPr>
          <w:sz w:val="20"/>
          <w:szCs w:val="20"/>
          <w:color w:val="auto"/>
        </w:rPr>
      </w:pPr>
    </w:p>
    <w:p>
      <w:pPr>
        <w:ind w:right="1699" w:firstLine="421"/>
        <w:spacing w:after="0" w:line="283" w:lineRule="auto"/>
        <w:rPr>
          <w:sz w:val="20"/>
          <w:szCs w:val="20"/>
          <w:color w:val="auto"/>
        </w:rPr>
      </w:pPr>
      <w:r>
        <w:rPr>
          <w:rFonts w:ascii="Courier New" w:cs="Courier New" w:eastAsia="Courier New" w:hAnsi="Courier New"/>
          <w:sz w:val="16"/>
          <w:szCs w:val="16"/>
          <w:color w:val="auto"/>
        </w:rPr>
        <w:t>The Bank of New York has been designated by Honeywell as its agent to administer the Plan for participants, maintain records, send statements of account to participants and perform other duties relating to the Plan. The Bank will hold for safekeeping the shares purchased for, or deposited for safekeeping by, each participant until termination of participation in the Plan or receipt of a written request from a participant for the issuance of a certificate for all or part of such shares. Shares held by the Bank under the Plan will be registered in its name or the name of one of its nominees and will be credited to the account of each participant. In the event that the Bank should resign or otherwise cease to act as agent, Honeywell will make such other arrangements as it deems appropriate for the administration of the Plan.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19" w:firstLine="421"/>
        <w:spacing w:after="0" w:line="257" w:lineRule="auto"/>
        <w:rPr>
          <w:sz w:val="20"/>
          <w:szCs w:val="20"/>
          <w:color w:val="auto"/>
        </w:rPr>
      </w:pPr>
      <w:r>
        <w:rPr>
          <w:rFonts w:ascii="Courier New" w:cs="Courier New" w:eastAsia="Courier New" w:hAnsi="Courier New"/>
          <w:sz w:val="18"/>
          <w:szCs w:val="18"/>
          <w:color w:val="auto"/>
        </w:rPr>
        <w:t>The Bank may be contacted by mail at the following address: The Bank of New York, Dividend Reinvestment Department, P.O. Box 1958, Newark, New Jersey</w:t>
      </w:r>
    </w:p>
    <w:p>
      <w:pPr>
        <w:ind w:right="1699"/>
        <w:spacing w:after="0" w:line="261" w:lineRule="auto"/>
        <w:rPr>
          <w:sz w:val="20"/>
          <w:szCs w:val="20"/>
          <w:color w:val="auto"/>
        </w:rPr>
      </w:pPr>
      <w:r>
        <w:rPr>
          <w:rFonts w:ascii="Courier New" w:cs="Courier New" w:eastAsia="Courier New" w:hAnsi="Courier New"/>
          <w:sz w:val="18"/>
          <w:szCs w:val="18"/>
          <w:color w:val="auto"/>
        </w:rPr>
        <w:t>07101-9774. Telephone inquiries may be made to the Bank at 1-800-647-7147. Please mention Honeywell International Inc. in all correspondence. The Bank also serves as dividend disbursing agent and as transfer agent and registrar for the Common Stock.</w:t>
      </w: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 Who is eligible to participate?</w:t>
      </w:r>
    </w:p>
    <w:p>
      <w:pPr>
        <w:spacing w:after="0" w:line="201" w:lineRule="exact"/>
        <w:rPr>
          <w:sz w:val="20"/>
          <w:szCs w:val="20"/>
          <w:color w:val="auto"/>
        </w:rPr>
      </w:pPr>
    </w:p>
    <w:p>
      <w:pPr>
        <w:ind w:right="1819" w:firstLine="421"/>
        <w:spacing w:after="0" w:line="260" w:lineRule="auto"/>
        <w:rPr>
          <w:sz w:val="20"/>
          <w:szCs w:val="20"/>
          <w:color w:val="auto"/>
        </w:rPr>
      </w:pPr>
      <w:r>
        <w:rPr>
          <w:rFonts w:ascii="Courier New" w:cs="Courier New" w:eastAsia="Courier New" w:hAnsi="Courier New"/>
          <w:sz w:val="18"/>
          <w:szCs w:val="18"/>
          <w:color w:val="auto"/>
        </w:rPr>
        <w:t>All holders of record of shares of the Common Stock are eligible to participate in the Plan. For any shareowner whose shares are registered in the name of someone else (e.g., in the name of a broker or bank nominee) to participate, the shareowner must either become a shareowner of record by having some or all of such shares transferred into the shareowner's own name, or make appropriate arrangements with the registered holder.</w:t>
      </w:r>
    </w:p>
    <w:p>
      <w:pPr>
        <w:spacing w:after="0" w:line="9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5. Is partial participation possible under the Plan?</w:t>
      </w:r>
    </w:p>
    <w:p>
      <w:pPr>
        <w:spacing w:after="0" w:line="201" w:lineRule="exact"/>
        <w:rPr>
          <w:sz w:val="20"/>
          <w:szCs w:val="20"/>
          <w:color w:val="auto"/>
        </w:rPr>
      </w:pPr>
    </w:p>
    <w:p>
      <w:pPr>
        <w:ind w:right="1819" w:firstLine="421"/>
        <w:spacing w:after="0" w:line="265" w:lineRule="auto"/>
        <w:rPr>
          <w:sz w:val="20"/>
          <w:szCs w:val="20"/>
          <w:color w:val="auto"/>
        </w:rPr>
      </w:pPr>
      <w:r>
        <w:rPr>
          <w:rFonts w:ascii="Courier New" w:cs="Courier New" w:eastAsia="Courier New" w:hAnsi="Courier New"/>
          <w:sz w:val="18"/>
          <w:szCs w:val="18"/>
          <w:color w:val="auto"/>
        </w:rPr>
        <w:t>Yes. A shareowner of record who desires the dividends on only some of the shareowner's shares to be reinvested under the Plan may indicate such number of shares on the Authorization Form under 'Partial Dividend Reinvestment'. Dividends on the remaining shares will not be reinvested and will be mailed directly to the participant.</w:t>
      </w:r>
    </w:p>
    <w:p>
      <w:pPr>
        <w:spacing w:after="0" w:line="8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6. How does an eligible shareowner participate?</w:t>
      </w:r>
    </w:p>
    <w:p>
      <w:pPr>
        <w:spacing w:after="0" w:line="200" w:lineRule="exact"/>
        <w:rPr>
          <w:sz w:val="20"/>
          <w:szCs w:val="20"/>
          <w:color w:val="auto"/>
        </w:rPr>
      </w:pPr>
    </w:p>
    <w:p>
      <w:pPr>
        <w:spacing w:after="0" w:line="204" w:lineRule="exact"/>
        <w:rPr>
          <w:sz w:val="20"/>
          <w:szCs w:val="20"/>
          <w:color w:val="auto"/>
        </w:rPr>
      </w:pPr>
    </w:p>
    <w:p>
      <w:pPr>
        <w:ind w:right="1699" w:firstLine="421"/>
        <w:spacing w:after="0" w:line="265" w:lineRule="auto"/>
        <w:rPr>
          <w:sz w:val="20"/>
          <w:szCs w:val="20"/>
          <w:color w:val="auto"/>
        </w:rPr>
      </w:pPr>
      <w:r>
        <w:rPr>
          <w:rFonts w:ascii="Courier New" w:cs="Courier New" w:eastAsia="Courier New" w:hAnsi="Courier New"/>
          <w:sz w:val="18"/>
          <w:szCs w:val="18"/>
          <w:color w:val="auto"/>
        </w:rPr>
        <w:t>A holder of record of the Common Stock may join the Plan by signing the Authorization Form and returning it to the Bank at the address set forth in Question 3. A postage-paid envelope will be provided with the Authorization Form for this purpose. An Authorization Form may be obtained at any time by calling the Bank at 1-800-647-7147.</w:t>
      </w:r>
    </w:p>
    <w:p>
      <w:pPr>
        <w:spacing w:after="0" w:line="29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7. When may an eligible shareowner join the Plan?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 eligible shareowner may join the Plan at any time.</w:t>
      </w:r>
    </w:p>
    <w:p>
      <w:pPr>
        <w:spacing w:after="0" w:line="201" w:lineRule="exact"/>
        <w:rPr>
          <w:sz w:val="20"/>
          <w:szCs w:val="20"/>
          <w:color w:val="auto"/>
        </w:rPr>
      </w:pPr>
    </w:p>
    <w:p>
      <w:pPr>
        <w:jc w:val="both"/>
        <w:ind w:right="1819" w:firstLine="421"/>
        <w:spacing w:after="0" w:line="318" w:lineRule="auto"/>
        <w:rPr>
          <w:sz w:val="20"/>
          <w:szCs w:val="20"/>
          <w:color w:val="auto"/>
        </w:rPr>
      </w:pPr>
      <w:r>
        <w:rPr>
          <w:rFonts w:ascii="Courier New" w:cs="Courier New" w:eastAsia="Courier New" w:hAnsi="Courier New"/>
          <w:sz w:val="16"/>
          <w:szCs w:val="16"/>
          <w:color w:val="auto"/>
        </w:rPr>
        <w:t>If the Authorization Form is received by the Bank prior to the record date for a dividend payment, reinvestment of dividends will begin with that dividend payment date. If the Authorization Form is received on or after a record date, reinvestment of dividends will begin with the dividend payment date</w:t>
      </w:r>
    </w:p>
    <w:p>
      <w:pPr>
        <w:spacing w:after="0" w:line="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139"/>
          </w:cols>
          <w:pgMar w:left="320" w:top="690" w:right="1440" w:bottom="1440" w:gutter="0" w:footer="0" w:header="0"/>
        </w:sectPr>
      </w:pPr>
    </w:p>
    <w:bookmarkStart w:id="9" w:name="page10"/>
    <w:bookmarkEnd w:id="9"/>
    <w:p>
      <w:pPr>
        <w:ind w:right="1819"/>
        <w:spacing w:after="0" w:line="318" w:lineRule="auto"/>
        <w:rPr>
          <w:sz w:val="20"/>
          <w:szCs w:val="20"/>
          <w:color w:val="auto"/>
        </w:rPr>
      </w:pPr>
      <w:r>
        <w:rPr>
          <w:rFonts w:ascii="Courier New" w:cs="Courier New" w:eastAsia="Courier New" w:hAnsi="Courier New"/>
          <w:sz w:val="16"/>
          <w:szCs w:val="16"/>
          <w:color w:val="auto"/>
        </w:rPr>
        <w:t>following the next record date. (Common Stock dividend payment dates ordinarily are the tenth day of March, June, September and December, or the preceding business day if such tenth day is a Saturday or Sunday; corresponding record dates ordinarily precede payment dates by approximately three weeks.)</w:t>
      </w:r>
    </w:p>
    <w:p>
      <w:pPr>
        <w:spacing w:after="0" w:line="52" w:lineRule="exact"/>
        <w:rPr>
          <w:sz w:val="20"/>
          <w:szCs w:val="20"/>
          <w:color w:val="auto"/>
        </w:rPr>
      </w:pPr>
    </w:p>
    <w:p>
      <w:pPr>
        <w:ind w:right="1699" w:firstLine="421"/>
        <w:spacing w:after="0" w:line="318" w:lineRule="auto"/>
        <w:rPr>
          <w:sz w:val="20"/>
          <w:szCs w:val="20"/>
          <w:color w:val="auto"/>
        </w:rPr>
      </w:pPr>
      <w:r>
        <w:rPr>
          <w:rFonts w:ascii="Courier New" w:cs="Courier New" w:eastAsia="Courier New" w:hAnsi="Courier New"/>
          <w:sz w:val="16"/>
          <w:szCs w:val="16"/>
          <w:color w:val="auto"/>
        </w:rPr>
        <w:t>Optional cash payments will be invested beginning with the first business day of the month following receipt by the Bank of the Authorization Form, unless such month is a month in which Common Stock dividends are paid, in which case optional cash payments will be invested on the dividend payment date.</w:t>
      </w:r>
    </w:p>
    <w:p>
      <w:pPr>
        <w:spacing w:after="0" w:line="52" w:lineRule="exact"/>
        <w:rPr>
          <w:sz w:val="20"/>
          <w:szCs w:val="20"/>
          <w:color w:val="auto"/>
        </w:rPr>
      </w:pPr>
    </w:p>
    <w:p>
      <w:pPr>
        <w:ind w:right="1819" w:firstLine="421"/>
        <w:spacing w:after="0" w:line="344" w:lineRule="auto"/>
        <w:rPr>
          <w:sz w:val="20"/>
          <w:szCs w:val="20"/>
          <w:color w:val="auto"/>
        </w:rPr>
      </w:pPr>
      <w:r>
        <w:rPr>
          <w:rFonts w:ascii="Courier New" w:cs="Courier New" w:eastAsia="Courier New" w:hAnsi="Courier New"/>
          <w:sz w:val="16"/>
          <w:szCs w:val="16"/>
          <w:color w:val="auto"/>
        </w:rPr>
        <w:t>As used in the Plan, the term 'investment date' means (a) the dividend payment date for those months in which there is a dividend payment date and (b) the first business day of a month in which there is no dividend payment date.</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8. What does the Authorization Form provide?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Authorization Form provides for the purchase of additional shares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through the following investment options:</w:t>
      </w:r>
    </w:p>
    <w:p>
      <w:pPr>
        <w:spacing w:after="0" w:line="372" w:lineRule="exact"/>
        <w:rPr>
          <w:sz w:val="20"/>
          <w:szCs w:val="20"/>
          <w:color w:val="auto"/>
        </w:rPr>
      </w:pPr>
    </w:p>
    <w:p>
      <w:pPr>
        <w:ind w:left="420" w:right="1699" w:firstLine="421"/>
        <w:spacing w:after="0" w:line="260" w:lineRule="auto"/>
        <w:rPr>
          <w:sz w:val="20"/>
          <w:szCs w:val="20"/>
          <w:color w:val="auto"/>
        </w:rPr>
      </w:pPr>
      <w:r>
        <w:rPr>
          <w:rFonts w:ascii="Courier New" w:cs="Courier New" w:eastAsia="Courier New" w:hAnsi="Courier New"/>
          <w:sz w:val="18"/>
          <w:szCs w:val="18"/>
          <w:color w:val="auto"/>
        </w:rPr>
        <w:t>A. 'FULL DIVIDEND REINVESTMENT', which directs Honeywell to pay to the Bank for reinvestment in accordance with the Plan all of the participant's cash dividends on all shares of Common Stock then or subsequently registered in the participant's name, and which permits the participant to make optional cash payments for the purchase of additional shares in accordance with the Plan;</w:t>
      </w:r>
    </w:p>
    <w:p>
      <w:pPr>
        <w:spacing w:after="0" w:line="200" w:lineRule="exact"/>
        <w:rPr>
          <w:sz w:val="20"/>
          <w:szCs w:val="20"/>
          <w:color w:val="auto"/>
        </w:rPr>
      </w:pPr>
    </w:p>
    <w:p>
      <w:pPr>
        <w:spacing w:after="0" w:line="297" w:lineRule="exact"/>
        <w:rPr>
          <w:sz w:val="20"/>
          <w:szCs w:val="20"/>
          <w:color w:val="auto"/>
        </w:rPr>
      </w:pPr>
    </w:p>
    <w:p>
      <w:pPr>
        <w:ind w:left="420" w:right="1699" w:firstLine="421"/>
        <w:spacing w:after="0" w:line="256" w:lineRule="auto"/>
        <w:rPr>
          <w:sz w:val="20"/>
          <w:szCs w:val="20"/>
          <w:color w:val="auto"/>
        </w:rPr>
      </w:pPr>
      <w:r>
        <w:rPr>
          <w:rFonts w:ascii="Courier New" w:cs="Courier New" w:eastAsia="Courier New" w:hAnsi="Courier New"/>
          <w:sz w:val="18"/>
          <w:szCs w:val="18"/>
          <w:color w:val="auto"/>
        </w:rPr>
        <w:t>B. 'PARTIAL DIVIDEND REINVESTMENT', which directs Honeywell to pay to the Bank for reinvestment in accordance with the Plan all of the participant's cash dividends on that number of shares of Common Stock registered in the participant's name and designated in the appropriate space on the Authorization Form, and which permits the participant to make optional cash payments for the purchase of additional shares in accordance with the Plan;</w:t>
      </w:r>
    </w:p>
    <w:p>
      <w:pPr>
        <w:spacing w:after="0" w:line="300" w:lineRule="exact"/>
        <w:rPr>
          <w:sz w:val="20"/>
          <w:szCs w:val="20"/>
          <w:color w:val="auto"/>
        </w:rPr>
      </w:pPr>
    </w:p>
    <w:p>
      <w:pPr>
        <w:ind w:left="420" w:right="1919" w:firstLine="421"/>
        <w:spacing w:after="0" w:line="292" w:lineRule="auto"/>
        <w:rPr>
          <w:sz w:val="20"/>
          <w:szCs w:val="20"/>
          <w:color w:val="auto"/>
        </w:rPr>
      </w:pPr>
      <w:r>
        <w:rPr>
          <w:rFonts w:ascii="Courier New" w:cs="Courier New" w:eastAsia="Courier New" w:hAnsi="Courier New"/>
          <w:sz w:val="18"/>
          <w:szCs w:val="18"/>
          <w:color w:val="auto"/>
        </w:rPr>
        <w:t>C. 'OPTIONAL CASH PURCHASES', which permits the participant to make optional cash payments for the purchase of additional shares in accordance with the Plan.</w:t>
      </w:r>
    </w:p>
    <w:p>
      <w:pPr>
        <w:spacing w:after="0" w:line="66" w:lineRule="exact"/>
        <w:rPr>
          <w:sz w:val="20"/>
          <w:szCs w:val="20"/>
          <w:color w:val="auto"/>
        </w:rPr>
      </w:pPr>
    </w:p>
    <w:p>
      <w:pPr>
        <w:ind w:right="1819" w:firstLine="421"/>
        <w:spacing w:after="0" w:line="306" w:lineRule="auto"/>
        <w:rPr>
          <w:sz w:val="20"/>
          <w:szCs w:val="20"/>
          <w:color w:val="auto"/>
        </w:rPr>
      </w:pPr>
      <w:r>
        <w:rPr>
          <w:rFonts w:ascii="Courier New" w:cs="Courier New" w:eastAsia="Courier New" w:hAnsi="Courier New"/>
          <w:sz w:val="16"/>
          <w:szCs w:val="16"/>
          <w:color w:val="auto"/>
        </w:rPr>
        <w:t>A participant may select one of the dividend reinvestment options or the optional cash purchases option. Regardless of the option selected, cash dividends on all shares credited to a participant's account under the Plan will be reinvested in accordance with the Plan. A participant's election may be changed by written notice to the Bank at the address set forth in Question 3.</w:t>
      </w:r>
    </w:p>
    <w:p>
      <w:pPr>
        <w:spacing w:after="0" w:line="60" w:lineRule="exact"/>
        <w:rPr>
          <w:sz w:val="20"/>
          <w:szCs w:val="20"/>
          <w:color w:val="auto"/>
        </w:rPr>
      </w:pPr>
    </w:p>
    <w:p>
      <w:pPr>
        <w:ind w:right="1699" w:firstLine="421"/>
        <w:spacing w:after="0" w:line="274" w:lineRule="auto"/>
        <w:rPr>
          <w:sz w:val="20"/>
          <w:szCs w:val="20"/>
          <w:color w:val="auto"/>
        </w:rPr>
      </w:pPr>
      <w:r>
        <w:rPr>
          <w:rFonts w:ascii="Courier New" w:cs="Courier New" w:eastAsia="Courier New" w:hAnsi="Courier New"/>
          <w:sz w:val="18"/>
          <w:szCs w:val="18"/>
          <w:color w:val="auto"/>
        </w:rPr>
        <w:t>The Authorization Form also appoints the Bank agent for each participant and directs the Bank to apply cash dividends and any optional cash payments a participant might make to the purchase of additional shares in accordance with the terms of the Plan.</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 What will be the price of shares purchased under the Plan?</w:t>
      </w:r>
    </w:p>
    <w:p>
      <w:pPr>
        <w:spacing w:after="0" w:line="200" w:lineRule="exact"/>
        <w:rPr>
          <w:sz w:val="20"/>
          <w:szCs w:val="20"/>
          <w:color w:val="auto"/>
        </w:rPr>
      </w:pPr>
    </w:p>
    <w:p>
      <w:pPr>
        <w:spacing w:after="0" w:line="204" w:lineRule="exact"/>
        <w:rPr>
          <w:sz w:val="20"/>
          <w:szCs w:val="20"/>
          <w:color w:val="auto"/>
        </w:rPr>
      </w:pPr>
    </w:p>
    <w:p>
      <w:pPr>
        <w:ind w:right="1699" w:firstLine="421"/>
        <w:spacing w:after="0" w:line="253" w:lineRule="auto"/>
        <w:rPr>
          <w:sz w:val="20"/>
          <w:szCs w:val="20"/>
          <w:color w:val="auto"/>
        </w:rPr>
      </w:pPr>
      <w:r>
        <w:rPr>
          <w:rFonts w:ascii="Courier New" w:cs="Courier New" w:eastAsia="Courier New" w:hAnsi="Courier New"/>
          <w:sz w:val="18"/>
          <w:szCs w:val="18"/>
          <w:color w:val="auto"/>
        </w:rPr>
        <w:t>In the case of shares of Common Stock purchased from Honeywell with reinvested dividends or optional cash payments on any investment date, the purchase price will be the average of the high and low sales prices of the Common Stock reported as New York Stock Exchange Composite Transactions for the investment date (or the trading day immediately preceding the investment date, if the New York Stock Exchange is closed on the investment date). If there is no trading in the Common Stock on the New York Stock Exchange for a substantial amount of time during any investment date, the purchase</w:t>
      </w:r>
    </w:p>
    <w:p>
      <w:pPr>
        <w:spacing w:after="0" w:line="3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39"/>
          </w:cols>
          <w:pgMar w:left="320" w:top="690" w:right="1440" w:bottom="1440" w:gutter="0" w:footer="0" w:header="0"/>
        </w:sectPr>
      </w:pPr>
    </w:p>
    <w:bookmarkStart w:id="10" w:name="page11"/>
    <w:bookmarkEnd w:id="10"/>
    <w:p>
      <w:pPr>
        <w:ind w:right="1699"/>
        <w:spacing w:after="0" w:line="265" w:lineRule="auto"/>
        <w:rPr>
          <w:sz w:val="20"/>
          <w:szCs w:val="20"/>
          <w:color w:val="auto"/>
        </w:rPr>
      </w:pPr>
      <w:r>
        <w:rPr>
          <w:rFonts w:ascii="Courier New" w:cs="Courier New" w:eastAsia="Courier New" w:hAnsi="Courier New"/>
          <w:sz w:val="18"/>
          <w:szCs w:val="18"/>
          <w:color w:val="auto"/>
        </w:rPr>
        <w:t>price shall be determined by Honeywell on the basis of such market quotations as it shall deem appropriate. In the event of open market purchases of Common Stock, the purchase price will be a weighted average price as described in Question 31. Such purchase prices are hereinafter referred to collectively as the 'purchase prices' and individually as the 'purchase price'.</w:t>
      </w:r>
    </w:p>
    <w:p>
      <w:pPr>
        <w:spacing w:after="0" w:line="29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 How many shares will be purchased for participants?</w:t>
      </w:r>
    </w:p>
    <w:p>
      <w:pPr>
        <w:spacing w:after="0" w:line="201" w:lineRule="exact"/>
        <w:rPr>
          <w:sz w:val="20"/>
          <w:szCs w:val="20"/>
          <w:color w:val="auto"/>
        </w:rPr>
      </w:pPr>
    </w:p>
    <w:p>
      <w:pPr>
        <w:ind w:right="1819" w:firstLine="421"/>
        <w:spacing w:after="0" w:line="265" w:lineRule="auto"/>
        <w:rPr>
          <w:sz w:val="20"/>
          <w:szCs w:val="20"/>
          <w:color w:val="auto"/>
        </w:rPr>
      </w:pPr>
      <w:r>
        <w:rPr>
          <w:rFonts w:ascii="Courier New" w:cs="Courier New" w:eastAsia="Courier New" w:hAnsi="Courier New"/>
          <w:sz w:val="18"/>
          <w:szCs w:val="18"/>
          <w:color w:val="auto"/>
        </w:rPr>
        <w:t>The number of shares to be purchased depends on the amount of a participant's dividend and any optional cash payments and the purchase price of the shares. Each participant's account will be credited with that number of shares, including fractions computed to four decimal places, equal to each participant's total amount to be invested divided by the purchase price.</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CASH PURCHASES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11. How does the cash purchase option work?</w:t>
      </w:r>
    </w:p>
    <w:p>
      <w:pPr>
        <w:spacing w:after="0" w:line="201" w:lineRule="exact"/>
        <w:rPr>
          <w:sz w:val="20"/>
          <w:szCs w:val="20"/>
          <w:color w:val="auto"/>
        </w:rPr>
      </w:pPr>
    </w:p>
    <w:p>
      <w:pPr>
        <w:ind w:right="1819" w:firstLine="421"/>
        <w:spacing w:after="0" w:line="253" w:lineRule="auto"/>
        <w:rPr>
          <w:sz w:val="20"/>
          <w:szCs w:val="20"/>
          <w:color w:val="auto"/>
        </w:rPr>
      </w:pPr>
      <w:r>
        <w:rPr>
          <w:rFonts w:ascii="Courier New" w:cs="Courier New" w:eastAsia="Courier New" w:hAnsi="Courier New"/>
          <w:sz w:val="18"/>
          <w:szCs w:val="18"/>
          <w:color w:val="auto"/>
        </w:rPr>
        <w:t>Optional cash payments received by the Bank from a participant prior to an investment date (see Questions 13 and 14) will be applied by the Bank to the purchase of additional shares on the investment date (or as soon thereafter as possible if open market purchases are made under the circumstances described in Question 31). Cash dividends payable on all shares credited to the account of a participant under the Plan, whether such shares were purchased with reinvested dividends or optional cash payments, will be automatically reinvested in additional shares.</w:t>
      </w:r>
    </w:p>
    <w:p>
      <w:pPr>
        <w:spacing w:after="0" w:line="1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12. How are optional cash payments made?</w:t>
      </w:r>
    </w:p>
    <w:p>
      <w:pPr>
        <w:spacing w:after="0" w:line="201" w:lineRule="exact"/>
        <w:rPr>
          <w:sz w:val="20"/>
          <w:szCs w:val="20"/>
          <w:color w:val="auto"/>
        </w:rPr>
      </w:pPr>
    </w:p>
    <w:p>
      <w:pPr>
        <w:ind w:right="1819" w:firstLine="421"/>
        <w:spacing w:after="0" w:line="253" w:lineRule="auto"/>
        <w:rPr>
          <w:sz w:val="20"/>
          <w:szCs w:val="20"/>
          <w:color w:val="auto"/>
        </w:rPr>
      </w:pPr>
      <w:r>
        <w:rPr>
          <w:rFonts w:ascii="Courier New" w:cs="Courier New" w:eastAsia="Courier New" w:hAnsi="Courier New"/>
          <w:sz w:val="18"/>
          <w:szCs w:val="18"/>
          <w:color w:val="auto"/>
        </w:rPr>
        <w:t>An optional cash payment may be made by a participant when enrolling in the Plan by enclosing a check or money order payable to 'The Bank of New York' with the Authorization Form returned to the Bank. Once enrolled in the Plan, participants may make optional cash payments by sending the Bank a check or money order payable to 'The Bank of New York' along with the tear-off section attached to a recent statement of account provided to participants by the Bank. The same amount of money need not be sent each month and there is no obligation to make an optional cash payment each month.</w:t>
      </w:r>
    </w:p>
    <w:p>
      <w:pPr>
        <w:spacing w:after="0" w:line="103" w:lineRule="exact"/>
        <w:rPr>
          <w:sz w:val="20"/>
          <w:szCs w:val="20"/>
          <w:color w:val="auto"/>
        </w:rPr>
      </w:pPr>
    </w:p>
    <w:p>
      <w:pPr>
        <w:ind w:right="1699" w:firstLine="421"/>
        <w:spacing w:after="0" w:line="274" w:lineRule="auto"/>
        <w:rPr>
          <w:sz w:val="20"/>
          <w:szCs w:val="20"/>
          <w:color w:val="auto"/>
        </w:rPr>
      </w:pPr>
      <w:r>
        <w:rPr>
          <w:rFonts w:ascii="Courier New" w:cs="Courier New" w:eastAsia="Courier New" w:hAnsi="Courier New"/>
          <w:sz w:val="18"/>
          <w:szCs w:val="18"/>
          <w:color w:val="auto"/>
        </w:rPr>
        <w:t>Each optional cash payment made by a participant must be at least $25, and such payments cannot, in any calendar year, exceed a total of $120,000 for any participant. All cash purchases will be reflected on a statement of account sent to participants following such purchases.</w:t>
      </w:r>
    </w:p>
    <w:p>
      <w:pPr>
        <w:spacing w:after="0" w:line="81" w:lineRule="exact"/>
        <w:rPr>
          <w:sz w:val="20"/>
          <w:szCs w:val="20"/>
          <w:color w:val="auto"/>
        </w:rPr>
      </w:pPr>
    </w:p>
    <w:p>
      <w:pPr>
        <w:jc w:val="both"/>
        <w:ind w:right="1919" w:firstLine="421"/>
        <w:spacing w:after="0" w:line="292" w:lineRule="auto"/>
        <w:rPr>
          <w:sz w:val="20"/>
          <w:szCs w:val="20"/>
          <w:color w:val="auto"/>
        </w:rPr>
      </w:pPr>
      <w:r>
        <w:rPr>
          <w:rFonts w:ascii="Courier New" w:cs="Courier New" w:eastAsia="Courier New" w:hAnsi="Courier New"/>
          <w:sz w:val="18"/>
          <w:szCs w:val="18"/>
          <w:color w:val="auto"/>
        </w:rPr>
        <w:t>No third-party checks will be accepted by the Bank. Optional cash payments received from foreign shareowners must be in United States dollars and will be invested in the same manner as payments from other participants.</w:t>
      </w:r>
    </w:p>
    <w:p>
      <w:pPr>
        <w:spacing w:after="0" w:line="6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13. When will optional cash payments received by the Bank be invested?</w:t>
      </w:r>
    </w:p>
    <w:p>
      <w:pPr>
        <w:spacing w:after="0" w:line="200" w:lineRule="exact"/>
        <w:rPr>
          <w:sz w:val="20"/>
          <w:szCs w:val="20"/>
          <w:color w:val="auto"/>
        </w:rPr>
      </w:pPr>
    </w:p>
    <w:p>
      <w:pPr>
        <w:spacing w:after="0" w:line="204" w:lineRule="exact"/>
        <w:rPr>
          <w:sz w:val="20"/>
          <w:szCs w:val="20"/>
          <w:color w:val="auto"/>
        </w:rPr>
      </w:pPr>
    </w:p>
    <w:p>
      <w:pPr>
        <w:ind w:right="1699" w:firstLine="421"/>
        <w:spacing w:after="0" w:line="256" w:lineRule="auto"/>
        <w:rPr>
          <w:sz w:val="20"/>
          <w:szCs w:val="20"/>
          <w:color w:val="auto"/>
        </w:rPr>
      </w:pPr>
      <w:r>
        <w:rPr>
          <w:rFonts w:ascii="Courier New" w:cs="Courier New" w:eastAsia="Courier New" w:hAnsi="Courier New"/>
          <w:sz w:val="18"/>
          <w:szCs w:val="18"/>
          <w:color w:val="auto"/>
        </w:rPr>
        <w:t>Optional cash payments will be invested on the investment date in the case of shares purchased from Honeywell and as soon as possible (but not more than 30 days) thereafter in the case of open market purchases under the circumstances described in Question 31. UNDER NO CIRCUMSTANCES WILL INTEREST BE PAID ON OPTIONAL CASH PAYMENTS. Participants are therefore strongly urged to transmit their optional cash payments so as to be received by the Bank as close as possible but prior to the investment date.</w:t>
      </w:r>
    </w:p>
    <w:p>
      <w:pPr>
        <w:spacing w:after="0" w:line="3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39"/>
          </w:cols>
          <w:pgMar w:left="320" w:top="893" w:right="1440" w:bottom="1440" w:gutter="0" w:footer="0" w:header="0"/>
        </w:sectPr>
      </w:pPr>
    </w:p>
    <w:bookmarkStart w:id="11" w:name="page12"/>
    <w:bookmarkEnd w:id="11"/>
    <w:p>
      <w:pPr>
        <w:ind w:left="420"/>
        <w:spacing w:after="0"/>
        <w:rPr>
          <w:sz w:val="20"/>
          <w:szCs w:val="20"/>
          <w:color w:val="auto"/>
        </w:rPr>
      </w:pPr>
      <w:r>
        <w:rPr>
          <w:rFonts w:ascii="Courier New" w:cs="Courier New" w:eastAsia="Courier New" w:hAnsi="Courier New"/>
          <w:sz w:val="18"/>
          <w:szCs w:val="18"/>
          <w:color w:val="auto"/>
        </w:rPr>
        <w:t>14. Under what circumstances will optional cash payments be returned?</w:t>
      </w:r>
    </w:p>
    <w:p>
      <w:pPr>
        <w:spacing w:after="0" w:line="201" w:lineRule="exact"/>
        <w:rPr>
          <w:sz w:val="20"/>
          <w:szCs w:val="20"/>
          <w:color w:val="auto"/>
        </w:rPr>
      </w:pPr>
    </w:p>
    <w:p>
      <w:pPr>
        <w:ind w:right="1699" w:firstLine="421"/>
        <w:spacing w:after="0" w:line="256" w:lineRule="auto"/>
        <w:rPr>
          <w:sz w:val="20"/>
          <w:szCs w:val="20"/>
          <w:color w:val="auto"/>
        </w:rPr>
      </w:pPr>
      <w:r>
        <w:rPr>
          <w:rFonts w:ascii="Courier New" w:cs="Courier New" w:eastAsia="Courier New" w:hAnsi="Courier New"/>
          <w:sz w:val="18"/>
          <w:szCs w:val="18"/>
          <w:color w:val="auto"/>
        </w:rPr>
        <w:t>Optional cash payments received by the Bank will be returned to the participant upon written request received by the Bank at least two business days prior to an investment date. The Bank may, however, delay issuance of any refund check for at least five business days after receipt of the request to allow for clearance of the original payment. Any optional cash payments in excess of the $120,000 per calendar year limit will be returned, as will third-party checks and checks not in United States dollars.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w:t>
      </w:r>
    </w:p>
    <w:p>
      <w:pPr>
        <w:spacing w:after="0" w:line="201" w:lineRule="exact"/>
        <w:rPr>
          <w:sz w:val="20"/>
          <w:szCs w:val="20"/>
          <w:color w:val="auto"/>
        </w:rPr>
      </w:pPr>
    </w:p>
    <w:p>
      <w:pPr>
        <w:ind w:left="860" w:right="2119" w:hanging="431"/>
        <w:spacing w:after="0" w:line="346"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there any out-of-pocket costs to participants in connection with participation in the Plan?</w:t>
      </w:r>
    </w:p>
    <w:p>
      <w:pPr>
        <w:spacing w:after="0" w:line="222" w:lineRule="exact"/>
        <w:rPr>
          <w:sz w:val="20"/>
          <w:szCs w:val="20"/>
          <w:color w:val="auto"/>
        </w:rPr>
      </w:pPr>
    </w:p>
    <w:p>
      <w:pPr>
        <w:ind w:right="1699" w:firstLine="421"/>
        <w:spacing w:after="0" w:line="250" w:lineRule="auto"/>
        <w:rPr>
          <w:sz w:val="20"/>
          <w:szCs w:val="20"/>
          <w:color w:val="auto"/>
        </w:rPr>
      </w:pPr>
      <w:r>
        <w:rPr>
          <w:rFonts w:ascii="Courier New" w:cs="Courier New" w:eastAsia="Courier New" w:hAnsi="Courier New"/>
          <w:sz w:val="18"/>
          <w:szCs w:val="18"/>
          <w:color w:val="auto"/>
        </w:rPr>
        <w:t>All costs of administration of the Plan are paid by Honeywell. No service charges or brokerage commissions are charged to participants in connection with the purchase of shares under the Plan. Certain expenses may be incurred by the participant if the participant requests the re-registration of shares upon the issuance of a certificate or if the participant requests that shares be sold upon their withdrawal from the Plan (see Questions 20, 21 and 22). In addition, starting January 1, 1995, service charges imposed by the Bank in connection with a participant's deposit of certificates for safekeeping (Question 24) and in connection with termination of participation in the Plan (Question 22) will be passed on to the participant.</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16. What are the income tax consequences of participation in the Plan?</w:t>
      </w:r>
    </w:p>
    <w:p>
      <w:pPr>
        <w:spacing w:after="0" w:line="200" w:lineRule="exact"/>
        <w:rPr>
          <w:sz w:val="20"/>
          <w:szCs w:val="20"/>
          <w:color w:val="auto"/>
        </w:rPr>
      </w:pPr>
    </w:p>
    <w:p>
      <w:pPr>
        <w:spacing w:after="0" w:line="204" w:lineRule="exact"/>
        <w:rPr>
          <w:sz w:val="20"/>
          <w:szCs w:val="20"/>
          <w:color w:val="auto"/>
        </w:rPr>
      </w:pPr>
    </w:p>
    <w:p>
      <w:pPr>
        <w:ind w:right="1699" w:firstLine="421"/>
        <w:spacing w:after="0" w:line="283" w:lineRule="auto"/>
        <w:rPr>
          <w:sz w:val="20"/>
          <w:szCs w:val="20"/>
          <w:color w:val="auto"/>
        </w:rPr>
      </w:pPr>
      <w:r>
        <w:rPr>
          <w:rFonts w:ascii="Courier New" w:cs="Courier New" w:eastAsia="Courier New" w:hAnsi="Courier New"/>
          <w:sz w:val="16"/>
          <w:szCs w:val="16"/>
          <w:color w:val="auto"/>
        </w:rPr>
        <w:t>UNDER FEDERAL INCOME TAX LAW, IN THE CASE OF SHARES ACQUIRED FROM HONEYWELL WITH REINVESTED DIVIDENDS, A PARTICIPANT WILL REALIZE, ON THE DETERMINATION DATE (DEFINED BELOW), A TAXABLE DIVIDEND IN AN AMOUNT EQUAL TO THE FAIR MARKET VALUE ON THE DETERMINATION DATE OF THE SHARES SO ACQUIRED RATHER THAN A DIVIDEND IN THE AMOUNT OF THE CASH OTHERWISE PAYABLE TO THE PARTICIPANT. Such amount will also be the tax basis of the shares. Alternatively, when the Bank purchases shares on the open market with reinvested dividends, a participant will realize a taxable dividend in an amount equal to the actual purchase price of the shares so acquired plus any brokerage commissions paid by Honeywell which are attributable to the purchase of the participant's shares. Such amount will also be the participant's tax basis in such 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99" w:firstLine="421"/>
        <w:spacing w:after="0" w:line="253" w:lineRule="auto"/>
        <w:rPr>
          <w:sz w:val="20"/>
          <w:szCs w:val="20"/>
          <w:color w:val="auto"/>
        </w:rPr>
      </w:pPr>
      <w:r>
        <w:rPr>
          <w:rFonts w:ascii="Courier New" w:cs="Courier New" w:eastAsia="Courier New" w:hAnsi="Courier New"/>
          <w:sz w:val="18"/>
          <w:szCs w:val="18"/>
          <w:color w:val="auto"/>
        </w:rPr>
        <w:t>In the case of shares purchased with optional cash payments, a participant will not be subject to federal income tax if the shares are purchased from Honeywell. If the shares are purchased on the open market, a participant will realize a taxable dividend in an amount equal to any brokerage commissions paid by Honeywell which are attributable to the purchase of the participant's shares. The tax basis of shares purchased with an optional cash payment and credited to the participant's account will be the actual purchase price of such shares plus allocable brokerage commissions.</w:t>
      </w:r>
    </w:p>
    <w:p>
      <w:pPr>
        <w:spacing w:after="0" w:line="200" w:lineRule="exact"/>
        <w:rPr>
          <w:sz w:val="20"/>
          <w:szCs w:val="20"/>
          <w:color w:val="auto"/>
        </w:rPr>
      </w:pPr>
    </w:p>
    <w:p>
      <w:pPr>
        <w:spacing w:after="0" w:line="308" w:lineRule="exact"/>
        <w:rPr>
          <w:sz w:val="20"/>
          <w:szCs w:val="20"/>
          <w:color w:val="auto"/>
        </w:rPr>
      </w:pPr>
    </w:p>
    <w:p>
      <w:pPr>
        <w:ind w:right="1699" w:firstLine="421"/>
        <w:spacing w:after="0" w:line="256" w:lineRule="auto"/>
        <w:rPr>
          <w:sz w:val="20"/>
          <w:szCs w:val="20"/>
          <w:color w:val="auto"/>
        </w:rPr>
      </w:pPr>
      <w:r>
        <w:rPr>
          <w:rFonts w:ascii="Courier New" w:cs="Courier New" w:eastAsia="Courier New" w:hAnsi="Courier New"/>
          <w:sz w:val="18"/>
          <w:szCs w:val="18"/>
          <w:color w:val="auto"/>
        </w:rPr>
        <w:t>For purposes of this Question 16, the 'fair market value' of shares acquired with reinvested dividends will be the average of the high and low sales prices of the shares reported as New York Stock Exchange Composite Transactions for the determination date. The 'determination date' will be the investment date in the case of shares purchased from Honeywell and the date shares are allocated to participants' accounts in the case of open market purchases under the circumstances described in Question 31.</w:t>
      </w:r>
    </w:p>
    <w:p>
      <w:pPr>
        <w:spacing w:after="0" w:line="3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139"/>
          </w:cols>
          <w:pgMar w:left="320" w:top="690" w:right="1440" w:bottom="1440" w:gutter="0" w:footer="0" w:header="0"/>
        </w:sectPr>
      </w:pPr>
    </w:p>
    <w:bookmarkStart w:id="12" w:name="page13"/>
    <w:bookmarkEnd w:id="12"/>
    <w:p>
      <w:pPr>
        <w:ind w:right="1699" w:firstLine="421"/>
        <w:spacing w:after="0" w:line="346" w:lineRule="auto"/>
        <w:rPr>
          <w:sz w:val="20"/>
          <w:szCs w:val="20"/>
          <w:color w:val="auto"/>
        </w:rPr>
      </w:pPr>
      <w:r>
        <w:rPr>
          <w:rFonts w:ascii="Courier New" w:cs="Courier New" w:eastAsia="Courier New" w:hAnsi="Courier New"/>
          <w:sz w:val="18"/>
          <w:szCs w:val="18"/>
          <w:color w:val="auto"/>
        </w:rPr>
        <w:t>A participant's holding period for shares acquired pursuant to the Plan will begin on the day following the determination date.</w:t>
      </w:r>
    </w:p>
    <w:p>
      <w:pPr>
        <w:spacing w:after="0" w:line="20" w:lineRule="exact"/>
        <w:rPr>
          <w:sz w:val="20"/>
          <w:szCs w:val="20"/>
          <w:color w:val="auto"/>
        </w:rPr>
      </w:pPr>
    </w:p>
    <w:p>
      <w:pPr>
        <w:ind w:right="1919" w:firstLine="421"/>
        <w:spacing w:after="0" w:line="274" w:lineRule="auto"/>
        <w:rPr>
          <w:sz w:val="20"/>
          <w:szCs w:val="20"/>
          <w:color w:val="auto"/>
        </w:rPr>
      </w:pPr>
      <w:r>
        <w:rPr>
          <w:rFonts w:ascii="Courier New" w:cs="Courier New" w:eastAsia="Courier New" w:hAnsi="Courier New"/>
          <w:sz w:val="18"/>
          <w:szCs w:val="18"/>
          <w:color w:val="auto"/>
        </w:rPr>
        <w:t>A participant will not realize any taxable income when the participant receives a certificate for whole shares credited to the participant's account, either upon the participant's request for certain of those shares or upon termination of the participant's account.</w:t>
      </w:r>
    </w:p>
    <w:p>
      <w:pPr>
        <w:spacing w:after="0" w:line="81" w:lineRule="exact"/>
        <w:rPr>
          <w:sz w:val="20"/>
          <w:szCs w:val="20"/>
          <w:color w:val="auto"/>
        </w:rPr>
      </w:pPr>
    </w:p>
    <w:p>
      <w:pPr>
        <w:ind w:right="1699" w:firstLine="421"/>
        <w:spacing w:after="0" w:line="256" w:lineRule="auto"/>
        <w:rPr>
          <w:sz w:val="20"/>
          <w:szCs w:val="20"/>
          <w:color w:val="auto"/>
        </w:rPr>
      </w:pPr>
      <w:r>
        <w:rPr>
          <w:rFonts w:ascii="Courier New" w:cs="Courier New" w:eastAsia="Courier New" w:hAnsi="Courier New"/>
          <w:sz w:val="18"/>
          <w:szCs w:val="18"/>
          <w:color w:val="auto"/>
        </w:rPr>
        <w:t>A participant will realize gain or loss when shares are sold or exchanged, whether such sale or exchange is pursuant to the participant's request under the Plan or takes place after withdrawal from the Plan and, in the case of a fraction of a share, when the participant receives a cash payment for the fraction. The amount of such gain or loss will be the difference between the amount which the participant receives for the shares or fraction of a share and the tax basis thereof.</w:t>
      </w:r>
    </w:p>
    <w:p>
      <w:pPr>
        <w:spacing w:after="0" w:line="97" w:lineRule="exact"/>
        <w:rPr>
          <w:sz w:val="20"/>
          <w:szCs w:val="20"/>
          <w:color w:val="auto"/>
        </w:rPr>
      </w:pPr>
    </w:p>
    <w:p>
      <w:pPr>
        <w:ind w:right="1699" w:firstLine="421"/>
        <w:spacing w:after="0" w:line="260" w:lineRule="auto"/>
        <w:rPr>
          <w:sz w:val="20"/>
          <w:szCs w:val="20"/>
          <w:color w:val="auto"/>
        </w:rPr>
      </w:pPr>
      <w:r>
        <w:rPr>
          <w:rFonts w:ascii="Courier New" w:cs="Courier New" w:eastAsia="Courier New" w:hAnsi="Courier New"/>
          <w:sz w:val="18"/>
          <w:szCs w:val="18"/>
          <w:color w:val="auto"/>
        </w:rPr>
        <w:t>All participants are urged to consult their own tax advisors to determine the particular tax consequences, including those under state and local tax laws, which may result from their participation in the Plan and the subsequent disposition of shares purchased pursuant to the Plan. The income tax consequences for participants who do not reside in the United States will vary from jurisdiction to jurisdiction.</w:t>
      </w:r>
    </w:p>
    <w:p>
      <w:pPr>
        <w:spacing w:after="0" w:line="9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17. What are the requirements for back-up withholding?</w:t>
      </w:r>
    </w:p>
    <w:p>
      <w:pPr>
        <w:spacing w:after="0" w:line="201" w:lineRule="exact"/>
        <w:rPr>
          <w:sz w:val="20"/>
          <w:szCs w:val="20"/>
          <w:color w:val="auto"/>
        </w:rPr>
      </w:pPr>
    </w:p>
    <w:p>
      <w:pPr>
        <w:ind w:right="1819" w:firstLine="421"/>
        <w:spacing w:after="0" w:line="246" w:lineRule="auto"/>
        <w:rPr>
          <w:sz w:val="20"/>
          <w:szCs w:val="20"/>
          <w:color w:val="auto"/>
        </w:rPr>
      </w:pPr>
      <w:r>
        <w:rPr>
          <w:rFonts w:ascii="Courier New" w:cs="Courier New" w:eastAsia="Courier New" w:hAnsi="Courier New"/>
          <w:sz w:val="18"/>
          <w:szCs w:val="18"/>
          <w:color w:val="auto"/>
        </w:rPr>
        <w:t>Under federal income tax law, a participant in the Plan may be subject to backup withholding (currently at the rate of 31%) with respect to the amount of dividends attributable to the participant's shares of Common Stock or from the proceeds of the sale of a fraction of a share or whole shares under the Plan unless the participant (a) is an exempt participant (including, among others, all corporations and certain foreign individuals) or (b) provides the participant's correct taxpayer identification number to the Bank, certifies as to no loss of exemption from backup withholding and otherwise complies with applicable requirements of the backup withholding rules. In order to qualify as exempt, a foreign individual participant must submit a statement attesting to that individual's exempt status. Amounts paid as backup withholding do not constitute an additional tax and would be allowable as a credit against the participant's federal income tax liability. Any withheld amounts will be deducted from the amount of dividends to determine the amount of dividends available for reinvestment.</w:t>
      </w:r>
    </w:p>
    <w:p>
      <w:pPr>
        <w:spacing w:after="0" w:line="105" w:lineRule="exact"/>
        <w:rPr>
          <w:sz w:val="20"/>
          <w:szCs w:val="20"/>
          <w:color w:val="auto"/>
        </w:rPr>
      </w:pPr>
    </w:p>
    <w:p>
      <w:pPr>
        <w:ind w:right="1819" w:firstLine="421"/>
        <w:spacing w:after="0" w:line="256" w:lineRule="auto"/>
        <w:rPr>
          <w:sz w:val="20"/>
          <w:szCs w:val="20"/>
          <w:color w:val="auto"/>
        </w:rPr>
      </w:pPr>
      <w:r>
        <w:rPr>
          <w:rFonts w:ascii="Courier New" w:cs="Courier New" w:eastAsia="Courier New" w:hAnsi="Courier New"/>
          <w:sz w:val="18"/>
          <w:szCs w:val="18"/>
          <w:color w:val="auto"/>
        </w:rPr>
        <w:t>Forms for certifying a participant's taxpayer identification number and for establishing the exemption of a foreign individual participant from backup withholding, as well as additional information concerning the requirements for certification, may be obtained by writing the Bank at the address set forth in Question 3. Participants should consult their own tax advisors as to their qualification for exemption from backup withholding and the procedure for obtaining such an exemption.</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 TO PARTICIPANTS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18. What kind of reports will be sent to participants in the Plan?</w:t>
      </w:r>
    </w:p>
    <w:p>
      <w:pPr>
        <w:spacing w:after="0" w:line="200" w:lineRule="exact"/>
        <w:rPr>
          <w:sz w:val="20"/>
          <w:szCs w:val="20"/>
          <w:color w:val="auto"/>
        </w:rPr>
      </w:pPr>
    </w:p>
    <w:p>
      <w:pPr>
        <w:spacing w:after="0" w:line="204" w:lineRule="exact"/>
        <w:rPr>
          <w:sz w:val="20"/>
          <w:szCs w:val="20"/>
          <w:color w:val="auto"/>
        </w:rPr>
      </w:pPr>
    </w:p>
    <w:p>
      <w:pPr>
        <w:ind w:right="1699" w:firstLine="421"/>
        <w:spacing w:after="0" w:line="287" w:lineRule="auto"/>
        <w:rPr>
          <w:sz w:val="20"/>
          <w:szCs w:val="20"/>
          <w:color w:val="auto"/>
        </w:rPr>
      </w:pPr>
      <w:r>
        <w:rPr>
          <w:rFonts w:ascii="Courier New" w:cs="Courier New" w:eastAsia="Courier New" w:hAnsi="Courier New"/>
          <w:sz w:val="16"/>
          <w:szCs w:val="16"/>
          <w:color w:val="auto"/>
        </w:rPr>
        <w:t>As soon as practicable after each dividend payment date, a quarterly statement of account will be mailed to each participant by the Bank. In addition, a monthly statement will be mailed as soon as practicable after the investment date to those participants investing optional cash payments in months in which there is no dividend payment date. THE LATEST STATEMENT OF ACCOUNT FOR ANY YEAR CONTAINS YEAR-TO-DATE INFORMATION AND SHOULD BE RETAINED FOR INCOME TAX PURPOSES SINCE IT PROVIDES THE PARTICIPANT WITH A RECORD OF THE COST OF THE PARTICIPANT'S PURCHASES DURING THAT YEAR. In addition, each participant will receive copies of communications sent to holders of the Common Stock, including</w:t>
      </w:r>
    </w:p>
    <w:p>
      <w:pPr>
        <w:spacing w:after="0" w:line="2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139"/>
          </w:cols>
          <w:pgMar w:left="320" w:top="690" w:right="1440" w:bottom="1440" w:gutter="0" w:footer="0" w:header="0"/>
        </w:sectPr>
      </w:pPr>
    </w:p>
    <w:bookmarkStart w:id="13" w:name="page14"/>
    <w:bookmarkEnd w:id="13"/>
    <w:p>
      <w:pPr>
        <w:ind w:right="1919"/>
        <w:spacing w:after="0" w:line="292" w:lineRule="auto"/>
        <w:rPr>
          <w:sz w:val="20"/>
          <w:szCs w:val="20"/>
          <w:color w:val="auto"/>
        </w:rPr>
      </w:pPr>
      <w:r>
        <w:rPr>
          <w:rFonts w:ascii="Courier New" w:cs="Courier New" w:eastAsia="Courier New" w:hAnsi="Courier New"/>
          <w:sz w:val="18"/>
          <w:szCs w:val="18"/>
          <w:color w:val="auto"/>
        </w:rPr>
        <w:t>Honeywell's annual report to shareowners, notice of annual meeting and proxy statement, and any Internal Revenue Service information for reporting dividend income (i.e., Form 1099).</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ON FRACTIONS OF SHARES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19. Will participants be credited with dividends on fractions of shares?</w:t>
      </w:r>
    </w:p>
    <w:p>
      <w:pPr>
        <w:spacing w:after="0" w:line="201" w:lineRule="exact"/>
        <w:rPr>
          <w:sz w:val="20"/>
          <w:szCs w:val="20"/>
          <w:color w:val="auto"/>
        </w:rPr>
      </w:pPr>
    </w:p>
    <w:p>
      <w:pPr>
        <w:jc w:val="both"/>
        <w:ind w:right="1819" w:firstLine="421"/>
        <w:spacing w:after="0" w:line="292" w:lineRule="auto"/>
        <w:rPr>
          <w:sz w:val="20"/>
          <w:szCs w:val="20"/>
          <w:color w:val="auto"/>
        </w:rPr>
      </w:pPr>
      <w:r>
        <w:rPr>
          <w:rFonts w:ascii="Courier New" w:cs="Courier New" w:eastAsia="Courier New" w:hAnsi="Courier New"/>
          <w:sz w:val="18"/>
          <w:szCs w:val="18"/>
          <w:color w:val="auto"/>
        </w:rPr>
        <w:t>Yes. Dividends with respect to fractions of shares held under the Plan, as well as whole shares, will be credited to the participant's account and will be reinvested in additional shares.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CERTIFICATES FOR SHARES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 Will certificates be issued for shares purchased?</w:t>
      </w:r>
    </w:p>
    <w:p>
      <w:pPr>
        <w:spacing w:after="0" w:line="201" w:lineRule="exact"/>
        <w:rPr>
          <w:sz w:val="20"/>
          <w:szCs w:val="20"/>
          <w:color w:val="auto"/>
        </w:rPr>
      </w:pPr>
    </w:p>
    <w:p>
      <w:pPr>
        <w:ind w:right="1699" w:firstLine="421"/>
        <w:spacing w:after="0" w:line="306" w:lineRule="auto"/>
        <w:rPr>
          <w:sz w:val="20"/>
          <w:szCs w:val="20"/>
          <w:color w:val="auto"/>
        </w:rPr>
      </w:pPr>
      <w:r>
        <w:rPr>
          <w:rFonts w:ascii="Courier New" w:cs="Courier New" w:eastAsia="Courier New" w:hAnsi="Courier New"/>
          <w:sz w:val="16"/>
          <w:szCs w:val="16"/>
          <w:color w:val="auto"/>
        </w:rPr>
        <w:t>No certificate will be issued for shares credited to a participant's account unless the participant so requests the Bank in writing as indicated below or until the account is terminated. The number of shares credited to an account under the Plan will be shown on the participant's latest statement of account. This service protects against loss, theft or destruction of stock certificates.</w:t>
      </w:r>
    </w:p>
    <w:p>
      <w:pPr>
        <w:spacing w:after="0" w:line="262" w:lineRule="exact"/>
        <w:rPr>
          <w:sz w:val="20"/>
          <w:szCs w:val="20"/>
          <w:color w:val="auto"/>
        </w:rPr>
      </w:pPr>
    </w:p>
    <w:p>
      <w:pPr>
        <w:ind w:right="1699" w:firstLine="421"/>
        <w:spacing w:after="0" w:line="249" w:lineRule="auto"/>
        <w:rPr>
          <w:sz w:val="20"/>
          <w:szCs w:val="20"/>
          <w:color w:val="auto"/>
        </w:rPr>
      </w:pPr>
      <w:r>
        <w:rPr>
          <w:rFonts w:ascii="Courier New" w:cs="Courier New" w:eastAsia="Courier New" w:hAnsi="Courier New"/>
          <w:sz w:val="18"/>
          <w:szCs w:val="18"/>
          <w:color w:val="auto"/>
        </w:rPr>
        <w:t>At any time, a participant may request a certificate for (or the sale of) all or part of the whole shares credited to the participant's account by checking the appropriate box on the tear-off section attached to a recent statement of account provided by the Bank and mailing it to the Bank at the address set forth in Question 3. The request should contain a reference to Honeywell International Inc. If a sale is requested, the Bank will sell the shares at market within five business days after receipt of the request, and the participant will receive the proceeds from the sale, less any brokerage commissions and any transfer tax. Any remaining whole shares and fraction of a share will continue to be credited to the participant's account. In no event will a certificate for a fraction of a share be issued to participants.</w:t>
      </w:r>
    </w:p>
    <w:p>
      <w:pPr>
        <w:spacing w:after="0" w:line="305" w:lineRule="exact"/>
        <w:rPr>
          <w:sz w:val="20"/>
          <w:szCs w:val="20"/>
          <w:color w:val="auto"/>
        </w:rPr>
      </w:pPr>
    </w:p>
    <w:p>
      <w:pPr>
        <w:ind w:right="1699" w:firstLine="421"/>
        <w:spacing w:after="0" w:line="274" w:lineRule="auto"/>
        <w:rPr>
          <w:sz w:val="20"/>
          <w:szCs w:val="20"/>
          <w:color w:val="auto"/>
        </w:rPr>
      </w:pPr>
      <w:r>
        <w:rPr>
          <w:rFonts w:ascii="Courier New" w:cs="Courier New" w:eastAsia="Courier New" w:hAnsi="Courier New"/>
          <w:sz w:val="18"/>
          <w:szCs w:val="18"/>
          <w:color w:val="auto"/>
        </w:rPr>
        <w:t>Shares credited to the account of a participant under the Plan may not be pledged or assigned and any such purported pledge or assignment shall be void. A participant who wishes to pledge or assign any of the shares must request that a certificate for those shares be issued in the participant's name.</w:t>
      </w:r>
    </w:p>
    <w:p>
      <w:pPr>
        <w:spacing w:after="0" w:line="81" w:lineRule="exact"/>
        <w:rPr>
          <w:sz w:val="20"/>
          <w:szCs w:val="20"/>
          <w:color w:val="auto"/>
        </w:rPr>
      </w:pPr>
    </w:p>
    <w:p>
      <w:pPr>
        <w:ind w:right="1919" w:firstLine="421"/>
        <w:spacing w:after="0" w:line="274" w:lineRule="auto"/>
        <w:rPr>
          <w:sz w:val="20"/>
          <w:szCs w:val="20"/>
          <w:color w:val="auto"/>
        </w:rPr>
      </w:pPr>
      <w:r>
        <w:rPr>
          <w:rFonts w:ascii="Courier New" w:cs="Courier New" w:eastAsia="Courier New" w:hAnsi="Courier New"/>
          <w:sz w:val="18"/>
          <w:szCs w:val="18"/>
          <w:color w:val="auto"/>
        </w:rPr>
        <w:t>An institution that is required by law to maintain physical possession of certificates may request a special arrangement regarding the issuance of certificates for whole shares purchased under the Plan. This request should be mailed to the Bank at the address set forth in Question 3.</w:t>
      </w:r>
    </w:p>
    <w:p>
      <w:pPr>
        <w:spacing w:after="0" w:line="81" w:lineRule="exact"/>
        <w:rPr>
          <w:sz w:val="20"/>
          <w:szCs w:val="20"/>
          <w:color w:val="auto"/>
        </w:rPr>
      </w:pPr>
    </w:p>
    <w:p>
      <w:pPr>
        <w:ind w:left="860" w:right="2979" w:hanging="431"/>
        <w:spacing w:after="0" w:line="34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whose name will certificates be registered when issued to participants?</w:t>
      </w:r>
    </w:p>
    <w:p>
      <w:pPr>
        <w:spacing w:after="0" w:line="20" w:lineRule="exact"/>
        <w:rPr>
          <w:sz w:val="20"/>
          <w:szCs w:val="20"/>
          <w:color w:val="auto"/>
        </w:rPr>
      </w:pPr>
    </w:p>
    <w:p>
      <w:pPr>
        <w:ind w:right="1819" w:firstLine="421"/>
        <w:spacing w:after="0" w:line="250" w:lineRule="auto"/>
        <w:rPr>
          <w:sz w:val="20"/>
          <w:szCs w:val="20"/>
          <w:color w:val="auto"/>
        </w:rPr>
      </w:pPr>
      <w:r>
        <w:rPr>
          <w:rFonts w:ascii="Courier New" w:cs="Courier New" w:eastAsia="Courier New" w:hAnsi="Courier New"/>
          <w:sz w:val="18"/>
          <w:szCs w:val="18"/>
          <w:color w:val="auto"/>
        </w:rPr>
        <w:t>Shareowner accounts under the Plan are maintained in the names in which certificates of participants were registered at the time they joined the Plan. Consequently, certificates for whole shares will be similarly registered when issued. If a participant wants these shares registered in any name other than that of the holder of record participating in the Plan or wants to transfer shares to another Plan account, the participant should contact the Bank at the address or telephone number set forth in Question 3 to request the appropriate forms. In the event of such re-registration or transfer, a participant would be responsible for any possible transfer taxes and for compliance with any applicable transfer requirements.</w:t>
      </w:r>
    </w:p>
    <w:p>
      <w:pPr>
        <w:spacing w:after="0" w:line="1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139"/>
          </w:cols>
          <w:pgMar w:left="320" w:top="89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TERMINATION OF PARTICIPATION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22. How is participation in the Plan terminated?</w:t>
      </w:r>
    </w:p>
    <w:p>
      <w:pPr>
        <w:spacing w:after="0" w:line="200" w:lineRule="exact"/>
        <w:rPr>
          <w:sz w:val="20"/>
          <w:szCs w:val="20"/>
          <w:color w:val="auto"/>
        </w:rPr>
      </w:pPr>
    </w:p>
    <w:p>
      <w:pPr>
        <w:spacing w:after="0" w:line="204" w:lineRule="exact"/>
        <w:rPr>
          <w:sz w:val="20"/>
          <w:szCs w:val="20"/>
          <w:color w:val="auto"/>
        </w:rPr>
      </w:pPr>
    </w:p>
    <w:p>
      <w:pPr>
        <w:ind w:right="1819" w:firstLine="421"/>
        <w:spacing w:after="0" w:line="247" w:lineRule="auto"/>
        <w:rPr>
          <w:sz w:val="20"/>
          <w:szCs w:val="20"/>
          <w:color w:val="auto"/>
        </w:rPr>
      </w:pPr>
      <w:r>
        <w:rPr>
          <w:rFonts w:ascii="Courier New" w:cs="Courier New" w:eastAsia="Courier New" w:hAnsi="Courier New"/>
          <w:sz w:val="18"/>
          <w:szCs w:val="18"/>
          <w:color w:val="auto"/>
        </w:rPr>
        <w:t>To terminate participation in the Plan, a participant (or participants if a joint registration) must notify the Bank by checking the appropriate box on the tear-off section attached to a recent statement of account provided by the Bank and mailing it to the Bank at the address set forth in Question 3. When participation in the Plan is terminated or upon termination of the Plan by Honeywell, a certificate for whole shares credited to the participant's account under the Plan will be issued and a cash payment will be made for any fraction of a share. Such cash payment will be based on the closing price of the Common Stock reported as New York Stock Exchange Composite Transactions for the first business day of the week next following the day the termination notice is received by the Bank. Any service charge imposed by the Bank in connection with termination of participation in the Plan (currently $5.00) will be subtracted from the cash payment.</w:t>
      </w:r>
    </w:p>
    <w:p>
      <w:pPr>
        <w:spacing w:after="0" w:line="309" w:lineRule="exact"/>
        <w:rPr>
          <w:sz w:val="20"/>
          <w:szCs w:val="20"/>
          <w:color w:val="auto"/>
        </w:rPr>
      </w:pPr>
    </w:p>
    <w:p>
      <w:pPr>
        <w:ind w:right="1699" w:firstLine="421"/>
        <w:spacing w:after="0" w:line="253" w:lineRule="auto"/>
        <w:rPr>
          <w:sz w:val="20"/>
          <w:szCs w:val="20"/>
          <w:color w:val="auto"/>
        </w:rPr>
      </w:pPr>
      <w:r>
        <w:rPr>
          <w:rFonts w:ascii="Courier New" w:cs="Courier New" w:eastAsia="Courier New" w:hAnsi="Courier New"/>
          <w:sz w:val="18"/>
          <w:szCs w:val="18"/>
          <w:color w:val="auto"/>
        </w:rPr>
        <w:t>Upon termination of participation, a participant may also request that all or part of the whole shares credited to the participant's account in the Plan be sold. The sale will be made by the Bank for the participant's account at market within five business days after the Bank receives the request, except that sales with respect to requests received on or after the record date for a dividend will be made at market as promptly as possible following the dividend payment date. The participant will receive the proceeds from the sale, less any brokerage commissions, Bank service charge and any transfer tax.</w:t>
      </w:r>
    </w:p>
    <w:p>
      <w:pPr>
        <w:spacing w:after="0" w:line="1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23. When may participation in the Plan be terminated?</w:t>
      </w:r>
    </w:p>
    <w:p>
      <w:pPr>
        <w:spacing w:after="0" w:line="201" w:lineRule="exact"/>
        <w:rPr>
          <w:sz w:val="20"/>
          <w:szCs w:val="20"/>
          <w:color w:val="auto"/>
        </w:rPr>
      </w:pPr>
    </w:p>
    <w:p>
      <w:pPr>
        <w:ind w:right="2019" w:firstLine="421"/>
        <w:spacing w:after="0" w:line="346" w:lineRule="auto"/>
        <w:rPr>
          <w:sz w:val="20"/>
          <w:szCs w:val="20"/>
          <w:color w:val="auto"/>
        </w:rPr>
      </w:pPr>
      <w:r>
        <w:rPr>
          <w:rFonts w:ascii="Courier New" w:cs="Courier New" w:eastAsia="Courier New" w:hAnsi="Courier New"/>
          <w:sz w:val="18"/>
          <w:szCs w:val="18"/>
          <w:color w:val="auto"/>
        </w:rPr>
        <w:t>A participant may request termination of participation in the Plan at any time.</w:t>
      </w:r>
    </w:p>
    <w:p>
      <w:pPr>
        <w:spacing w:after="0" w:line="20" w:lineRule="exact"/>
        <w:rPr>
          <w:sz w:val="20"/>
          <w:szCs w:val="20"/>
          <w:color w:val="auto"/>
        </w:rPr>
      </w:pPr>
    </w:p>
    <w:p>
      <w:pPr>
        <w:ind w:right="1699" w:firstLine="421"/>
        <w:spacing w:after="0" w:line="402" w:lineRule="auto"/>
        <w:rPr>
          <w:sz w:val="20"/>
          <w:szCs w:val="20"/>
          <w:color w:val="auto"/>
        </w:rPr>
      </w:pPr>
      <w:r>
        <w:rPr>
          <w:rFonts w:ascii="Courier New" w:cs="Courier New" w:eastAsia="Courier New" w:hAnsi="Courier New"/>
          <w:sz w:val="16"/>
          <w:szCs w:val="16"/>
          <w:color w:val="auto"/>
        </w:rPr>
        <w:t>If the request to terminate is received by the Bank prior to the record date for a dividend, the request will be processed on the day following its receipt.</w:t>
      </w:r>
    </w:p>
    <w:p>
      <w:pPr>
        <w:ind w:right="1699" w:firstLine="421"/>
        <w:spacing w:after="0" w:line="253" w:lineRule="auto"/>
        <w:rPr>
          <w:sz w:val="20"/>
          <w:szCs w:val="20"/>
          <w:color w:val="auto"/>
        </w:rPr>
      </w:pPr>
      <w:r>
        <w:rPr>
          <w:rFonts w:ascii="Courier New" w:cs="Courier New" w:eastAsia="Courier New" w:hAnsi="Courier New"/>
          <w:sz w:val="18"/>
          <w:szCs w:val="18"/>
          <w:color w:val="auto"/>
        </w:rPr>
        <w:t>If the request to terminate is received on or after the record date for a dividend, any cash dividend paid on the dividend payment date will be reinvested for the participant's account. Any optional cash payment which had been sent to the Bank prior to the request to terminate will be invested unless return of the amount is expressly requested in the termination request and the request is received at least two business days prior to the investment date. The request to terminate will be processed as promptly as possible following the investment date.</w:t>
      </w:r>
    </w:p>
    <w:p>
      <w:pPr>
        <w:spacing w:after="0" w:line="103" w:lineRule="exact"/>
        <w:rPr>
          <w:sz w:val="20"/>
          <w:szCs w:val="20"/>
          <w:color w:val="auto"/>
        </w:rPr>
      </w:pPr>
    </w:p>
    <w:p>
      <w:pPr>
        <w:ind w:right="1699" w:firstLine="421"/>
        <w:spacing w:after="0" w:line="292" w:lineRule="auto"/>
        <w:rPr>
          <w:sz w:val="20"/>
          <w:szCs w:val="20"/>
          <w:color w:val="auto"/>
        </w:rPr>
      </w:pPr>
      <w:r>
        <w:rPr>
          <w:rFonts w:ascii="Courier New" w:cs="Courier New" w:eastAsia="Courier New" w:hAnsi="Courier New"/>
          <w:sz w:val="18"/>
          <w:szCs w:val="18"/>
          <w:color w:val="auto"/>
        </w:rPr>
        <w:t>All dividends subsequent to termination of participation will be paid to the participant in cash unless the participant re-enrolls in the Plan, which may be done at any time.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SAFEKEEPING</w:t>
      </w:r>
    </w:p>
    <w:p>
      <w:pPr>
        <w:spacing w:after="0" w:line="201" w:lineRule="exact"/>
        <w:rPr>
          <w:sz w:val="20"/>
          <w:szCs w:val="20"/>
          <w:color w:val="auto"/>
        </w:rPr>
      </w:pPr>
    </w:p>
    <w:p>
      <w:pPr>
        <w:ind w:left="860" w:right="2559" w:hanging="431"/>
        <w:spacing w:after="0" w:line="346"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the Bank accept a participant's underlying certificates for safekeeping?</w:t>
      </w:r>
    </w:p>
    <w:p>
      <w:pPr>
        <w:spacing w:after="0" w:line="20" w:lineRule="exact"/>
        <w:rPr>
          <w:sz w:val="20"/>
          <w:szCs w:val="20"/>
          <w:color w:val="auto"/>
        </w:rPr>
      </w:pPr>
    </w:p>
    <w:p>
      <w:pPr>
        <w:ind w:right="1699" w:firstLine="421"/>
        <w:spacing w:after="0" w:line="253" w:lineRule="auto"/>
        <w:rPr>
          <w:sz w:val="20"/>
          <w:szCs w:val="20"/>
          <w:color w:val="auto"/>
        </w:rPr>
      </w:pPr>
      <w:r>
        <w:rPr>
          <w:rFonts w:ascii="Courier New" w:cs="Courier New" w:eastAsia="Courier New" w:hAnsi="Courier New"/>
          <w:sz w:val="18"/>
          <w:szCs w:val="18"/>
          <w:color w:val="auto"/>
        </w:rPr>
        <w:t>Yes. Participants in the Plan who wish to do so may deposit Common Stock certificates registered in their names with the Bank for safekeeping. This custodial service relieves a participant of the responsibility for loss, theft or destruction of the certificates. The shares represented by the deposited certificates will be transferred into the name of the Bank or its nominee and the Bank will credit the shares to the participant's Plan account. Dividends paid on all shares held for safekeeping by the Bank will be reinvested in shares of Common Stock pursuant to the Plan.</w:t>
      </w:r>
    </w:p>
    <w:p>
      <w:pPr>
        <w:spacing w:after="0" w:line="103" w:lineRule="exact"/>
        <w:rPr>
          <w:sz w:val="20"/>
          <w:szCs w:val="20"/>
          <w:color w:val="auto"/>
        </w:rPr>
      </w:pPr>
    </w:p>
    <w:p>
      <w:pPr>
        <w:ind w:right="1699" w:firstLine="421"/>
        <w:spacing w:after="0" w:line="292" w:lineRule="auto"/>
        <w:rPr>
          <w:sz w:val="20"/>
          <w:szCs w:val="20"/>
          <w:color w:val="auto"/>
        </w:rPr>
      </w:pPr>
      <w:r>
        <w:rPr>
          <w:rFonts w:ascii="Courier New" w:cs="Courier New" w:eastAsia="Courier New" w:hAnsi="Courier New"/>
          <w:sz w:val="18"/>
          <w:szCs w:val="18"/>
          <w:color w:val="auto"/>
        </w:rPr>
        <w:t>Participants who wish to utilize this service should send their certificates (which should not be endorsed) to the Bank at the address set forth in Question 3, along with a written request that the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139"/>
          </w:cols>
          <w:pgMar w:left="320" w:top="690" w:right="1440" w:bottom="1440" w:gutter="0" w:footer="0" w:header="0"/>
        </w:sectPr>
      </w:pPr>
    </w:p>
    <w:bookmarkStart w:id="15" w:name="page16"/>
    <w:bookmarkEnd w:id="15"/>
    <w:p>
      <w:pPr>
        <w:ind w:right="1699"/>
        <w:spacing w:after="0" w:line="260" w:lineRule="auto"/>
        <w:rPr>
          <w:sz w:val="20"/>
          <w:szCs w:val="20"/>
          <w:color w:val="auto"/>
        </w:rPr>
      </w:pPr>
      <w:r>
        <w:rPr>
          <w:rFonts w:ascii="Courier New" w:cs="Courier New" w:eastAsia="Courier New" w:hAnsi="Courier New"/>
          <w:sz w:val="18"/>
          <w:szCs w:val="18"/>
          <w:color w:val="auto"/>
        </w:rPr>
        <w:t>certificates be deposited by the Bank for safekeeping under the Plan and a check made payable to 'The Bank of New York' to cover the Bank's service charge for this service (currently $7.00 for each deposit, regardless of the number of certificates). Because the participant bears the risk of loss in sending certificates to the Bank, it is recommended that the certificates be sent by registered mail, return receipt requested and properly insured.</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w:t>
      </w:r>
    </w:p>
    <w:p>
      <w:pPr>
        <w:spacing w:after="0" w:line="201" w:lineRule="exact"/>
        <w:rPr>
          <w:sz w:val="20"/>
          <w:szCs w:val="20"/>
          <w:color w:val="auto"/>
        </w:rPr>
      </w:pPr>
    </w:p>
    <w:p>
      <w:pPr>
        <w:ind w:left="860" w:right="2119" w:hanging="431"/>
        <w:spacing w:after="0" w:line="346"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when a participant sells or transfers all of the shares registered in the participant's name?</w:t>
      </w:r>
    </w:p>
    <w:p>
      <w:pPr>
        <w:spacing w:after="0" w:line="20" w:lineRule="exact"/>
        <w:rPr>
          <w:sz w:val="20"/>
          <w:szCs w:val="20"/>
          <w:color w:val="auto"/>
        </w:rPr>
      </w:pPr>
    </w:p>
    <w:p>
      <w:pPr>
        <w:ind w:right="1699" w:firstLine="421"/>
        <w:spacing w:after="0" w:line="256" w:lineRule="auto"/>
        <w:rPr>
          <w:sz w:val="20"/>
          <w:szCs w:val="20"/>
          <w:color w:val="auto"/>
        </w:rPr>
      </w:pPr>
      <w:r>
        <w:rPr>
          <w:rFonts w:ascii="Courier New" w:cs="Courier New" w:eastAsia="Courier New" w:hAnsi="Courier New"/>
          <w:sz w:val="18"/>
          <w:szCs w:val="18"/>
          <w:color w:val="auto"/>
        </w:rPr>
        <w:t>If a participant disposes of all shares registered in the participant's name, the Bank will continue to reinvest the dividends on shares credited to the participant's account under the Plan, subject to the participant's right to terminate participation in the Plan at any time. If, however, a participant who disposes of all registered shares has less than one whole share credited to the participant's account under the Plan, the account will automatically be terminated and a cash payment will be made for the fraction of a share.</w:t>
      </w:r>
    </w:p>
    <w:p>
      <w:pPr>
        <w:spacing w:after="0" w:line="300" w:lineRule="exact"/>
        <w:rPr>
          <w:sz w:val="20"/>
          <w:szCs w:val="20"/>
          <w:color w:val="auto"/>
        </w:rPr>
      </w:pPr>
    </w:p>
    <w:p>
      <w:pPr>
        <w:ind w:left="860" w:right="2239" w:hanging="431"/>
        <w:spacing w:after="0" w:line="34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Honeywell has a rights offering, how will the rights on the Plan shares be handled?</w:t>
      </w:r>
    </w:p>
    <w:p>
      <w:pPr>
        <w:spacing w:after="0" w:line="222" w:lineRule="exact"/>
        <w:rPr>
          <w:sz w:val="20"/>
          <w:szCs w:val="20"/>
          <w:color w:val="auto"/>
        </w:rPr>
      </w:pPr>
    </w:p>
    <w:p>
      <w:pPr>
        <w:ind w:right="1699" w:firstLine="421"/>
        <w:spacing w:after="0" w:line="274" w:lineRule="auto"/>
        <w:rPr>
          <w:sz w:val="20"/>
          <w:szCs w:val="20"/>
          <w:color w:val="auto"/>
        </w:rPr>
      </w:pPr>
      <w:r>
        <w:rPr>
          <w:rFonts w:ascii="Courier New" w:cs="Courier New" w:eastAsia="Courier New" w:hAnsi="Courier New"/>
          <w:sz w:val="18"/>
          <w:szCs w:val="18"/>
          <w:color w:val="auto"/>
        </w:rPr>
        <w:t>If a participant is entitled to participate in a rights offering relating to the Common Stock, the entitlement will be based upon the participant's total holdings. However, rights certificates will be issued for the number of whole shares only.</w:t>
      </w:r>
    </w:p>
    <w:p>
      <w:pPr>
        <w:spacing w:after="0" w:line="284" w:lineRule="exact"/>
        <w:rPr>
          <w:sz w:val="20"/>
          <w:szCs w:val="20"/>
          <w:color w:val="auto"/>
        </w:rPr>
      </w:pPr>
    </w:p>
    <w:p>
      <w:pPr>
        <w:ind w:left="860" w:right="1699" w:hanging="431"/>
        <w:spacing w:after="0" w:line="34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if Honeywell issues a dividend payable in stock or declares a stock split?</w:t>
      </w:r>
    </w:p>
    <w:p>
      <w:pPr>
        <w:spacing w:after="0" w:line="200" w:lineRule="exact"/>
        <w:rPr>
          <w:sz w:val="20"/>
          <w:szCs w:val="20"/>
          <w:color w:val="auto"/>
        </w:rPr>
      </w:pPr>
    </w:p>
    <w:p>
      <w:pPr>
        <w:spacing w:after="0" w:line="225" w:lineRule="exact"/>
        <w:rPr>
          <w:sz w:val="20"/>
          <w:szCs w:val="20"/>
          <w:color w:val="auto"/>
        </w:rPr>
      </w:pPr>
    </w:p>
    <w:p>
      <w:pPr>
        <w:ind w:right="1919" w:firstLine="421"/>
        <w:spacing w:after="0" w:line="274" w:lineRule="auto"/>
        <w:rPr>
          <w:sz w:val="20"/>
          <w:szCs w:val="20"/>
          <w:color w:val="auto"/>
        </w:rPr>
      </w:pPr>
      <w:r>
        <w:rPr>
          <w:rFonts w:ascii="Courier New" w:cs="Courier New" w:eastAsia="Courier New" w:hAnsi="Courier New"/>
          <w:sz w:val="18"/>
          <w:szCs w:val="18"/>
          <w:color w:val="auto"/>
        </w:rPr>
        <w:t>Any dividend payable in Common Stock or split shares distributed by Honeywell on shares credited to the account of a participant under the Plan or on shares registered in the name of the participant will be credited to the participant's account under the Plan.</w:t>
      </w:r>
    </w:p>
    <w:p>
      <w:pPr>
        <w:spacing w:after="0" w:line="284" w:lineRule="exact"/>
        <w:rPr>
          <w:sz w:val="20"/>
          <w:szCs w:val="20"/>
          <w:color w:val="auto"/>
        </w:rPr>
      </w:pPr>
    </w:p>
    <w:p>
      <w:pPr>
        <w:ind w:left="860" w:right="2979" w:hanging="431"/>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will a participant's shares held by the Bank be voted at shareowners' meetings?</w:t>
      </w:r>
    </w:p>
    <w:p>
      <w:pPr>
        <w:spacing w:after="0" w:line="20" w:lineRule="exact"/>
        <w:rPr>
          <w:sz w:val="20"/>
          <w:szCs w:val="20"/>
          <w:color w:val="auto"/>
        </w:rPr>
      </w:pPr>
    </w:p>
    <w:p>
      <w:pPr>
        <w:ind w:right="1919" w:firstLine="421"/>
        <w:spacing w:after="0" w:line="346" w:lineRule="auto"/>
        <w:rPr>
          <w:sz w:val="20"/>
          <w:szCs w:val="20"/>
          <w:color w:val="auto"/>
        </w:rPr>
      </w:pPr>
      <w:r>
        <w:rPr>
          <w:rFonts w:ascii="Courier New" w:cs="Courier New" w:eastAsia="Courier New" w:hAnsi="Courier New"/>
          <w:sz w:val="18"/>
          <w:szCs w:val="18"/>
          <w:color w:val="auto"/>
        </w:rPr>
        <w:t>Shares held by the Bank for a participant will be voted as the participant directs.</w:t>
      </w:r>
    </w:p>
    <w:p>
      <w:pPr>
        <w:spacing w:after="0" w:line="20" w:lineRule="exact"/>
        <w:rPr>
          <w:sz w:val="20"/>
          <w:szCs w:val="20"/>
          <w:color w:val="auto"/>
        </w:rPr>
      </w:pPr>
    </w:p>
    <w:p>
      <w:pPr>
        <w:ind w:right="1819" w:firstLine="421"/>
        <w:spacing w:after="0" w:line="265" w:lineRule="auto"/>
        <w:rPr>
          <w:sz w:val="20"/>
          <w:szCs w:val="20"/>
          <w:color w:val="auto"/>
        </w:rPr>
      </w:pPr>
      <w:r>
        <w:rPr>
          <w:rFonts w:ascii="Courier New" w:cs="Courier New" w:eastAsia="Courier New" w:hAnsi="Courier New"/>
          <w:sz w:val="18"/>
          <w:szCs w:val="18"/>
          <w:color w:val="auto"/>
        </w:rPr>
        <w:t>A proxy card will be sent to each participant in connection with any annual or special meeting of shareowners, as in the case of shareowners not participating in the Plan. This proxy will apply to all whole shares registered in the participant's own name, if any, as well as to all whole shares credited to the participant's account under the Plan.</w:t>
      </w:r>
    </w:p>
    <w:p>
      <w:pPr>
        <w:spacing w:after="0" w:line="292" w:lineRule="exact"/>
        <w:rPr>
          <w:sz w:val="20"/>
          <w:szCs w:val="20"/>
          <w:color w:val="auto"/>
        </w:rPr>
      </w:pPr>
    </w:p>
    <w:p>
      <w:pPr>
        <w:ind w:right="1699" w:firstLine="421"/>
        <w:spacing w:after="0" w:line="253" w:lineRule="auto"/>
        <w:rPr>
          <w:sz w:val="20"/>
          <w:szCs w:val="20"/>
          <w:color w:val="auto"/>
        </w:rPr>
      </w:pPr>
      <w:r>
        <w:rPr>
          <w:rFonts w:ascii="Courier New" w:cs="Courier New" w:eastAsia="Courier New" w:hAnsi="Courier New"/>
          <w:sz w:val="18"/>
          <w:szCs w:val="18"/>
          <w:color w:val="auto"/>
        </w:rPr>
        <w:t>As in the case of non-participating shareowners, if no instructions are indicated on a properly signed and returned proxy card, all of the participant's whole shares -- those registered in the participant's name, if any, and those credited to the participant's account under the Plan -- will be voted in accordance with the recommendations of Honeywell's management. If the proxy card is not returned or is returned unsigned, the participant's shares may be voted only if the participant or a duly appointed representative votes in person at the meeting.</w:t>
      </w:r>
    </w:p>
    <w:p>
      <w:pPr>
        <w:spacing w:after="0" w:line="200" w:lineRule="exact"/>
        <w:rPr>
          <w:sz w:val="20"/>
          <w:szCs w:val="20"/>
          <w:color w:val="auto"/>
        </w:rPr>
      </w:pPr>
    </w:p>
    <w:p>
      <w:pPr>
        <w:spacing w:after="0" w:line="30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29. What are the responsibilities of Honeywell and the Bank under the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99" w:firstLine="421"/>
        <w:spacing w:after="0" w:line="256" w:lineRule="auto"/>
        <w:rPr>
          <w:sz w:val="20"/>
          <w:szCs w:val="20"/>
          <w:color w:val="auto"/>
        </w:rPr>
      </w:pPr>
      <w:r>
        <w:rPr>
          <w:rFonts w:ascii="Courier New" w:cs="Courier New" w:eastAsia="Courier New" w:hAnsi="Courier New"/>
          <w:sz w:val="18"/>
          <w:szCs w:val="18"/>
          <w:color w:val="auto"/>
        </w:rPr>
        <w:t>Honeywell and the Bank will not be liable under the Plan for any act done in good faith or for any good faith omission to act including, without limitation, any claim of liability arising out of failure to terminate a participant's account upon such participant's death or with respect to the prices at which shares are purchased or sold for the participant's account, the times when such purchases or sales are made, or with respect to any fluctuation in market value of the Common Stock.</w:t>
      </w:r>
    </w:p>
    <w:p>
      <w:pPr>
        <w:sectPr>
          <w:pgSz w:w="11900" w:h="16838" w:orient="portrait"/>
          <w:cols w:equalWidth="0" w:num="1">
            <w:col w:w="10139"/>
          </w:cols>
          <w:pgMar w:left="320" w:top="690" w:right="1440" w:bottom="0" w:gutter="0" w:footer="0" w:header="0"/>
        </w:sectPr>
      </w:pPr>
    </w:p>
    <w:bookmarkStart w:id="16" w:name="page17"/>
    <w:bookmarkEnd w:id="16"/>
    <w:p>
      <w:pPr>
        <w:ind w:left="30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110" w:right="1440" w:bottom="1440" w:gutter="0" w:footer="0" w:header="0"/>
        </w:sectPr>
      </w:pPr>
    </w:p>
    <w:bookmarkStart w:id="17" w:name="page18"/>
    <w:bookmarkEnd w:id="17"/>
    <w:p>
      <w:pPr>
        <w:spacing w:after="0" w:line="51" w:lineRule="exact"/>
        <w:rPr>
          <w:sz w:val="20"/>
          <w:szCs w:val="20"/>
          <w:color w:val="auto"/>
        </w:rPr>
      </w:pPr>
    </w:p>
    <w:p>
      <w:pPr>
        <w:ind w:right="1819" w:firstLine="421"/>
        <w:spacing w:after="0" w:line="292" w:lineRule="auto"/>
        <w:rPr>
          <w:sz w:val="20"/>
          <w:szCs w:val="20"/>
          <w:color w:val="auto"/>
        </w:rPr>
      </w:pPr>
      <w:r>
        <w:rPr>
          <w:rFonts w:ascii="Courier New" w:cs="Courier New" w:eastAsia="Courier New" w:hAnsi="Courier New"/>
          <w:sz w:val="18"/>
          <w:szCs w:val="18"/>
          <w:color w:val="auto"/>
        </w:rPr>
        <w:t>The participant should recognize that neither the Bank nor Honeywell can assure the participant of a profit or protect the participant against a loss on shares purchased under the Plan.</w:t>
      </w:r>
    </w:p>
    <w:p>
      <w:pPr>
        <w:spacing w:after="0" w:line="26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30. May the Plan be changed or discontinued?</w:t>
      </w:r>
    </w:p>
    <w:p>
      <w:pPr>
        <w:spacing w:after="0" w:line="200" w:lineRule="exact"/>
        <w:rPr>
          <w:sz w:val="20"/>
          <w:szCs w:val="20"/>
          <w:color w:val="auto"/>
        </w:rPr>
      </w:pPr>
    </w:p>
    <w:p>
      <w:pPr>
        <w:spacing w:after="0" w:line="204" w:lineRule="exact"/>
        <w:rPr>
          <w:sz w:val="20"/>
          <w:szCs w:val="20"/>
          <w:color w:val="auto"/>
        </w:rPr>
      </w:pPr>
    </w:p>
    <w:p>
      <w:pPr>
        <w:ind w:right="1699" w:firstLine="421"/>
        <w:spacing w:after="0" w:line="247" w:lineRule="auto"/>
        <w:rPr>
          <w:sz w:val="20"/>
          <w:szCs w:val="20"/>
          <w:color w:val="auto"/>
        </w:rPr>
      </w:pPr>
      <w:r>
        <w:rPr>
          <w:rFonts w:ascii="Courier New" w:cs="Courier New" w:eastAsia="Courier New" w:hAnsi="Courier New"/>
          <w:sz w:val="18"/>
          <w:szCs w:val="18"/>
          <w:color w:val="auto"/>
        </w:rPr>
        <w:t>Notwithstanding any other provision of the Plan, the Board of Directors of Honeywell or any designee thereof (which designee need not be a director of Honeywell) reserves the right to amend, suspend, modify or terminate the Plan at any time, including the period between a record date and a dividend payment date. To the extent and in the manner the Board or such designee deems appropriate, notice of any such amendment, suspension, modification or termination will be sent to all participants. Upon a termination of the Plan, any uninvested optional cash payments will be returned, certificates for whole shares credited to a participant's account under the Plan will be issued, and a cash payment will be made for any fraction of a share credited to a participant's account. The cash payment will be based on the closing price of the Common Stock reported as New York Stock Exchange Composite Transactions for such date as is set forth in the notice of termination.</w:t>
      </w:r>
    </w:p>
    <w:p>
      <w:pPr>
        <w:spacing w:after="0" w:line="309" w:lineRule="exact"/>
        <w:rPr>
          <w:sz w:val="20"/>
          <w:szCs w:val="20"/>
          <w:color w:val="auto"/>
        </w:rPr>
      </w:pPr>
    </w:p>
    <w:p>
      <w:pPr>
        <w:ind w:left="860" w:right="1699" w:hanging="431"/>
        <w:spacing w:after="0" w:line="346"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what circumstances will shares be purchased on the open market and what effect would such purchases have on participants?</w:t>
      </w:r>
    </w:p>
    <w:p>
      <w:pPr>
        <w:spacing w:after="0" w:line="222" w:lineRule="exact"/>
        <w:rPr>
          <w:sz w:val="20"/>
          <w:szCs w:val="20"/>
          <w:color w:val="auto"/>
        </w:rPr>
      </w:pPr>
    </w:p>
    <w:p>
      <w:pPr>
        <w:ind w:right="1699" w:firstLine="421"/>
        <w:spacing w:after="0" w:line="289" w:lineRule="auto"/>
        <w:rPr>
          <w:sz w:val="20"/>
          <w:szCs w:val="20"/>
          <w:color w:val="auto"/>
        </w:rPr>
      </w:pPr>
      <w:r>
        <w:rPr>
          <w:rFonts w:ascii="Courier New" w:cs="Courier New" w:eastAsia="Courier New" w:hAnsi="Courier New"/>
          <w:sz w:val="16"/>
          <w:szCs w:val="16"/>
          <w:color w:val="auto"/>
        </w:rPr>
        <w:t>Shares of Common Stock purchased from Honeywell under the Plan may either be authorized but unissued shares or shares reacquired by Honeywell and held in its treasury. If the Bank would be unable to purchase sufficient shares (whether authorized but unissued shares or treasury shares) from Honeywell to satisfy the requirements of the Plan for an investment date, the Bank will purchase the required shares in excess of those purchased from Honeywell for that investment date on the open market. Open market purchases will be made as soon as possible after the applicable investment date, but not more than 30 days after such date.</w:t>
      </w:r>
    </w:p>
    <w:p>
      <w:pPr>
        <w:spacing w:after="0" w:line="200" w:lineRule="exact"/>
        <w:rPr>
          <w:sz w:val="20"/>
          <w:szCs w:val="20"/>
          <w:color w:val="auto"/>
        </w:rPr>
      </w:pPr>
    </w:p>
    <w:p>
      <w:pPr>
        <w:spacing w:after="0" w:line="281" w:lineRule="exact"/>
        <w:rPr>
          <w:sz w:val="20"/>
          <w:szCs w:val="20"/>
          <w:color w:val="auto"/>
        </w:rPr>
      </w:pPr>
    </w:p>
    <w:p>
      <w:pPr>
        <w:ind w:right="1699" w:firstLine="421"/>
        <w:spacing w:after="0" w:line="253" w:lineRule="auto"/>
        <w:rPr>
          <w:sz w:val="20"/>
          <w:szCs w:val="20"/>
          <w:color w:val="auto"/>
        </w:rPr>
      </w:pPr>
      <w:r>
        <w:rPr>
          <w:rFonts w:ascii="Courier New" w:cs="Courier New" w:eastAsia="Courier New" w:hAnsi="Courier New"/>
          <w:sz w:val="18"/>
          <w:szCs w:val="18"/>
          <w:color w:val="auto"/>
        </w:rPr>
        <w:t>The purchase price of shares purchased from Honeywell will be computed as set forth in Question 9. The purchase price of shares purchased on the open market will be the average, or weighted average if shares are purchased on more than one day, of the daily high and low sales prices of the Common Stock reported as New York Stock Exchange Composite Transactions for the date or dates of purchase. If shares are purchased on the open market, Honeywell will pay any brokerage commissions which would not have been paid by participants if all of the shares had been purchased from Honeywell under the Plan.</w:t>
      </w:r>
    </w:p>
    <w:p>
      <w:pPr>
        <w:spacing w:after="0" w:line="200" w:lineRule="exact"/>
        <w:rPr>
          <w:sz w:val="20"/>
          <w:szCs w:val="20"/>
          <w:color w:val="auto"/>
        </w:rPr>
      </w:pPr>
    </w:p>
    <w:p>
      <w:pPr>
        <w:spacing w:after="0" w:line="308" w:lineRule="exact"/>
        <w:rPr>
          <w:sz w:val="20"/>
          <w:szCs w:val="20"/>
          <w:color w:val="auto"/>
        </w:rPr>
      </w:pPr>
    </w:p>
    <w:p>
      <w:pPr>
        <w:ind w:right="1699" w:firstLine="421"/>
        <w:spacing w:after="0" w:line="256" w:lineRule="auto"/>
        <w:rPr>
          <w:sz w:val="20"/>
          <w:szCs w:val="20"/>
          <w:color w:val="auto"/>
        </w:rPr>
      </w:pPr>
      <w:r>
        <w:rPr>
          <w:rFonts w:ascii="Courier New" w:cs="Courier New" w:eastAsia="Courier New" w:hAnsi="Courier New"/>
          <w:sz w:val="18"/>
          <w:szCs w:val="18"/>
          <w:color w:val="auto"/>
        </w:rPr>
        <w:t>In the event of open market purchases, shares will not be allocated to participants' accounts until the date on which the Bank has purchased sufficient shares from Honeywell and on the open market for all participants in the Plan. The purchase price to participants will be based on the weighted average of the purchase price of all shares purchased from Honeywell and the purchase price of all shares purchased on the open market with the funds available for that investment date.</w:t>
      </w:r>
    </w:p>
    <w:p>
      <w:pPr>
        <w:spacing w:after="0" w:line="200" w:lineRule="exact"/>
        <w:rPr>
          <w:sz w:val="20"/>
          <w:szCs w:val="20"/>
          <w:color w:val="auto"/>
        </w:rPr>
      </w:pPr>
    </w:p>
    <w:p>
      <w:pPr>
        <w:spacing w:after="0" w:line="302" w:lineRule="exact"/>
        <w:rPr>
          <w:sz w:val="20"/>
          <w:szCs w:val="20"/>
          <w:color w:val="auto"/>
        </w:rPr>
      </w:pPr>
    </w:p>
    <w:p>
      <w:pPr>
        <w:ind w:right="1699" w:firstLine="421"/>
        <w:spacing w:after="0" w:line="265" w:lineRule="auto"/>
        <w:rPr>
          <w:sz w:val="20"/>
          <w:szCs w:val="20"/>
          <w:color w:val="auto"/>
        </w:rPr>
      </w:pPr>
      <w:r>
        <w:rPr>
          <w:rFonts w:ascii="Courier New" w:cs="Courier New" w:eastAsia="Courier New" w:hAnsi="Courier New"/>
          <w:sz w:val="18"/>
          <w:szCs w:val="18"/>
          <w:color w:val="auto"/>
        </w:rPr>
        <w:t>In addition, the income tax consequences to participants will be based on the fair market value of the Common Stock on the date such shares are allocated to participants' accounts, rather than on the investment date, and participants will realize taxable dividend income in an amount equal to their allocable share of brokerage commissions paid by Honeywell (see Question 16).</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ABOUT THE 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19" w:firstLine="421"/>
        <w:spacing w:after="0" w:line="274" w:lineRule="auto"/>
        <w:rPr>
          <w:sz w:val="20"/>
          <w:szCs w:val="20"/>
          <w:color w:val="auto"/>
        </w:rPr>
      </w:pPr>
      <w:r>
        <w:rPr>
          <w:rFonts w:ascii="Courier New" w:cs="Courier New" w:eastAsia="Courier New" w:hAnsi="Courier New"/>
          <w:sz w:val="18"/>
          <w:szCs w:val="18"/>
          <w:color w:val="auto"/>
        </w:rPr>
        <w:t>The Bank has advised us that it utilizes BNY ESI &amp; Co. for all trading activity relative to the Plan on behalf of Plan participants. BNY ESI &amp; Co. receives a commission in connection with such transactions. BNY ESI &amp; Co. is an affiliate of the Bank.</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90" w:orient="portrait"/>
          <w:cols w:equalWidth="0" w:num="1">
            <w:col w:w="10139"/>
          </w:cols>
          <w:pgMar w:left="320" w:top="893" w:right="1440" w:bottom="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right="1919" w:firstLine="421"/>
        <w:spacing w:after="0" w:line="306" w:lineRule="auto"/>
        <w:rPr>
          <w:sz w:val="20"/>
          <w:szCs w:val="20"/>
          <w:color w:val="auto"/>
        </w:rPr>
      </w:pPr>
      <w:r>
        <w:rPr>
          <w:rFonts w:ascii="Courier New" w:cs="Courier New" w:eastAsia="Courier New" w:hAnsi="Courier New"/>
          <w:sz w:val="16"/>
          <w:szCs w:val="16"/>
          <w:color w:val="auto"/>
        </w:rPr>
        <w:t>Neither Honeywell nor the Plan will be liable for actions taken in good faith in administering the Plan, or for actions required by law, or for good faith omissions to act. This includes any claims for liability relating to the prices at which shares are purchased or sold for your account, the dates of purchases or sales, or any changes in the market value of the Common Stock.</w:t>
      </w:r>
    </w:p>
    <w:p>
      <w:pPr>
        <w:spacing w:after="0" w:line="200" w:lineRule="exact"/>
        <w:rPr>
          <w:sz w:val="20"/>
          <w:szCs w:val="20"/>
          <w:color w:val="auto"/>
        </w:rPr>
      </w:pPr>
    </w:p>
    <w:p>
      <w:pPr>
        <w:spacing w:after="0" w:line="265" w:lineRule="exact"/>
        <w:rPr>
          <w:sz w:val="20"/>
          <w:szCs w:val="20"/>
          <w:color w:val="auto"/>
        </w:rPr>
      </w:pPr>
    </w:p>
    <w:p>
      <w:pPr>
        <w:ind w:right="1819" w:firstLine="421"/>
        <w:spacing w:after="0" w:line="274" w:lineRule="auto"/>
        <w:rPr>
          <w:sz w:val="20"/>
          <w:szCs w:val="20"/>
          <w:color w:val="auto"/>
        </w:rPr>
      </w:pPr>
      <w:r>
        <w:rPr>
          <w:rFonts w:ascii="Courier New" w:cs="Courier New" w:eastAsia="Courier New" w:hAnsi="Courier New"/>
          <w:sz w:val="18"/>
          <w:szCs w:val="18"/>
          <w:color w:val="auto"/>
        </w:rPr>
        <w:t>Your account represents an investment in the Common Stock, which may increase or decrease in value. You are responsible for the investment decisions regarding your Plan investments. Neither Honeywell nor the Plan can provide investment advice.</w:t>
      </w:r>
    </w:p>
    <w:p>
      <w:pPr>
        <w:spacing w:after="0" w:line="200" w:lineRule="exact"/>
        <w:rPr>
          <w:sz w:val="20"/>
          <w:szCs w:val="20"/>
          <w:color w:val="auto"/>
        </w:rPr>
      </w:pPr>
    </w:p>
    <w:p>
      <w:pPr>
        <w:spacing w:after="0" w:line="286" w:lineRule="exact"/>
        <w:rPr>
          <w:sz w:val="20"/>
          <w:szCs w:val="20"/>
          <w:color w:val="auto"/>
        </w:rPr>
      </w:pPr>
    </w:p>
    <w:p>
      <w:pPr>
        <w:ind w:right="1819" w:firstLine="421"/>
        <w:spacing w:after="0" w:line="265" w:lineRule="auto"/>
        <w:rPr>
          <w:sz w:val="20"/>
          <w:szCs w:val="20"/>
          <w:color w:val="auto"/>
        </w:rPr>
      </w:pPr>
      <w:r>
        <w:rPr>
          <w:rFonts w:ascii="Courier New" w:cs="Courier New" w:eastAsia="Courier New" w:hAnsi="Courier New"/>
          <w:sz w:val="18"/>
          <w:szCs w:val="18"/>
          <w:color w:val="auto"/>
        </w:rPr>
        <w:t>You are responsible for costs that you incur in connection with Plan participation -- for example, the cost of sending certificates or other materials to us, fees that your bank may charge you for electronic funds transfer, or delivery fees for certificates or payments we send to you by means other than first class mail, at your request.</w:t>
      </w:r>
    </w:p>
    <w:p>
      <w:pPr>
        <w:spacing w:after="0" w:line="200" w:lineRule="exact"/>
        <w:rPr>
          <w:sz w:val="20"/>
          <w:szCs w:val="20"/>
          <w:color w:val="auto"/>
        </w:rPr>
      </w:pPr>
    </w:p>
    <w:p>
      <w:pPr>
        <w:spacing w:after="0" w:line="294" w:lineRule="exact"/>
        <w:rPr>
          <w:sz w:val="20"/>
          <w:szCs w:val="20"/>
          <w:color w:val="auto"/>
        </w:rPr>
      </w:pPr>
    </w:p>
    <w:p>
      <w:pPr>
        <w:ind w:right="1819" w:firstLine="421"/>
        <w:spacing w:after="0" w:line="256" w:lineRule="auto"/>
        <w:rPr>
          <w:sz w:val="20"/>
          <w:szCs w:val="20"/>
          <w:color w:val="auto"/>
        </w:rPr>
      </w:pPr>
      <w:r>
        <w:rPr>
          <w:rFonts w:ascii="Courier New" w:cs="Courier New" w:eastAsia="Courier New" w:hAnsi="Courier New"/>
          <w:sz w:val="18"/>
          <w:szCs w:val="18"/>
          <w:color w:val="auto"/>
        </w:rPr>
        <w:t>This prospectus (including any supplements or revisions that may be distributed in the future) sets forth the terms of the Plan. Honeywell may change the terms of the Plan, including applicable fees, or terminate the Plan, at any time. We will mail you a supplemental or revised prospectus before any material changes in the Plan are effective. Honeywell and the Bank may change their administrative procedures without notice, if the changes do not change material terms of the Plan.</w:t>
      </w:r>
    </w:p>
    <w:p>
      <w:pPr>
        <w:spacing w:after="0" w:line="3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0" w:lineRule="exact"/>
        <w:rPr>
          <w:sz w:val="20"/>
          <w:szCs w:val="20"/>
          <w:color w:val="auto"/>
        </w:rPr>
      </w:pPr>
    </w:p>
    <w:p>
      <w:pPr>
        <w:spacing w:after="0" w:line="204" w:lineRule="exact"/>
        <w:rPr>
          <w:sz w:val="20"/>
          <w:szCs w:val="20"/>
          <w:color w:val="auto"/>
        </w:rPr>
      </w:pPr>
    </w:p>
    <w:p>
      <w:pPr>
        <w:ind w:right="1699" w:firstLine="421"/>
        <w:spacing w:after="0" w:line="344" w:lineRule="auto"/>
        <w:rPr>
          <w:sz w:val="20"/>
          <w:szCs w:val="20"/>
          <w:color w:val="auto"/>
        </w:rPr>
      </w:pPr>
      <w:r>
        <w:rPr>
          <w:rFonts w:ascii="Courier New" w:cs="Courier New" w:eastAsia="Courier New" w:hAnsi="Courier New"/>
          <w:sz w:val="16"/>
          <w:szCs w:val="16"/>
          <w:color w:val="auto"/>
        </w:rPr>
        <w:t>Honeywell intends to add the proceeds it receives from sales of Common Stock under the Plan to its general funds, to be available for general corporate purposes. Honeywell currently has no specific plans for any such proceeds.</w:t>
      </w:r>
    </w:p>
    <w:p>
      <w:pPr>
        <w:spacing w:after="0" w:line="23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99" w:firstLine="421"/>
        <w:spacing w:after="0" w:line="250" w:lineRule="auto"/>
        <w:rPr>
          <w:sz w:val="20"/>
          <w:szCs w:val="20"/>
          <w:color w:val="auto"/>
        </w:rPr>
      </w:pPr>
      <w:r>
        <w:rPr>
          <w:rFonts w:ascii="Courier New" w:cs="Courier New" w:eastAsia="Courier New" w:hAnsi="Courier New"/>
          <w:sz w:val="18"/>
          <w:szCs w:val="18"/>
          <w:color w:val="auto"/>
        </w:rPr>
        <w:t>The audited financial statements incorporated in this prospectus by reference to the Annual Report on Form 10-K of Honeywell International Inc. for the year ended December 31, 1999, except as they relate to Honeywell Inc. (a wholly-owned subsidiary of Honeywell International Inc.) as of and for the two years ended December 31, 1998, have been audited by PricewaterhouseCoopers LLP, independent accountants, and, insofar as they relate to Honeywell Inc. as of and for the two years ended December 31, 1998, by Deloitte &amp; Touche LLP, independent accountants. Such financial statements have been so incorporated in reliance on the reports of such independent accountants given on the authority of such firms as experts in auditing and accounting.</w:t>
      </w:r>
    </w:p>
    <w:p>
      <w:pPr>
        <w:spacing w:after="0" w:line="3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OPINION</w:t>
      </w:r>
    </w:p>
    <w:p>
      <w:pPr>
        <w:spacing w:after="0" w:line="200" w:lineRule="exact"/>
        <w:rPr>
          <w:sz w:val="20"/>
          <w:szCs w:val="20"/>
          <w:color w:val="auto"/>
        </w:rPr>
      </w:pPr>
    </w:p>
    <w:p>
      <w:pPr>
        <w:spacing w:after="0" w:line="204" w:lineRule="exact"/>
        <w:rPr>
          <w:sz w:val="20"/>
          <w:szCs w:val="20"/>
          <w:color w:val="auto"/>
        </w:rPr>
      </w:pPr>
    </w:p>
    <w:p>
      <w:pPr>
        <w:jc w:val="both"/>
        <w:ind w:right="1819" w:firstLine="421"/>
        <w:spacing w:after="0" w:line="274" w:lineRule="auto"/>
        <w:rPr>
          <w:sz w:val="20"/>
          <w:szCs w:val="20"/>
          <w:color w:val="auto"/>
        </w:rPr>
      </w:pPr>
      <w:r>
        <w:rPr>
          <w:rFonts w:ascii="Courier New" w:cs="Courier New" w:eastAsia="Courier New" w:hAnsi="Courier New"/>
          <w:sz w:val="18"/>
          <w:szCs w:val="18"/>
          <w:color w:val="auto"/>
        </w:rPr>
        <w:t>The legality of the Common Stock offered by this prospectus is being passed upon for Honeywell by J. Edward Smith, Assistant General Counsel, Corporate and Finance, of Honeywell. Mr. Smith owns shares of Common Stock and has options to purchase additional shares of Common Stock.</w:t>
      </w:r>
    </w:p>
    <w:p>
      <w:pPr>
        <w:spacing w:after="0" w:line="28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INDEMNIFICATION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819" w:firstLine="421"/>
        <w:spacing w:after="0" w:line="260" w:lineRule="auto"/>
        <w:rPr>
          <w:sz w:val="20"/>
          <w:szCs w:val="20"/>
          <w:color w:val="auto"/>
        </w:rPr>
      </w:pPr>
      <w:r>
        <w:rPr>
          <w:rFonts w:ascii="Courier New" w:cs="Courier New" w:eastAsia="Courier New" w:hAnsi="Courier New"/>
          <w:sz w:val="18"/>
          <w:szCs w:val="18"/>
          <w:color w:val="auto"/>
        </w:rPr>
        <w:t>Delaware law provides that a corporation may indemnify directors, officers and other employees and individuals against expenses (including attorneys' fees), judgments, fines, and amounts paid in settlement in connection with civil, criminal, administrative, or investigative actions, suits or proceedings (other than action by or in the right of the corporation -- a 'derivative action') if they acted:</w:t>
      </w:r>
    </w:p>
    <w:p>
      <w:pPr>
        <w:sectPr>
          <w:pgSz w:w="11900" w:h="16838" w:orient="portrait"/>
          <w:cols w:equalWidth="0" w:num="1">
            <w:col w:w="10139"/>
          </w:cols>
          <w:pgMar w:left="320" w:top="893"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in good faith;</w:t>
      </w:r>
    </w:p>
    <w:p>
      <w:pPr>
        <w:spacing w:after="0" w:line="200" w:lineRule="exact"/>
        <w:rPr>
          <w:sz w:val="20"/>
          <w:szCs w:val="20"/>
          <w:color w:val="auto"/>
        </w:rPr>
      </w:pPr>
    </w:p>
    <w:p>
      <w:pPr>
        <w:spacing w:after="0" w:line="204"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599"/>
          </w:cols>
          <w:pgMar w:left="860" w:top="515" w:right="1440" w:bottom="1440" w:gutter="0" w:footer="0" w:header="0"/>
        </w:sectPr>
      </w:pPr>
    </w:p>
    <w:bookmarkStart w:id="21" w:name="page22"/>
    <w:bookmarkEnd w:id="21"/>
    <w:p>
      <w:pPr>
        <w:spacing w:after="0" w:line="181" w:lineRule="exact"/>
        <w:rPr>
          <w:sz w:val="20"/>
          <w:szCs w:val="20"/>
          <w:color w:val="auto"/>
        </w:rPr>
      </w:pPr>
    </w:p>
    <w:p>
      <w:pPr>
        <w:ind w:left="540" w:right="2019"/>
        <w:spacing w:after="0" w:line="346" w:lineRule="auto"/>
        <w:rPr>
          <w:sz w:val="20"/>
          <w:szCs w:val="20"/>
          <w:color w:val="auto"/>
        </w:rPr>
      </w:pPr>
      <w:r>
        <w:rPr>
          <w:rFonts w:ascii="Courier New" w:cs="Courier New" w:eastAsia="Courier New" w:hAnsi="Courier New"/>
          <w:sz w:val="18"/>
          <w:szCs w:val="18"/>
          <w:color w:val="auto"/>
        </w:rPr>
        <w:t>in a manner they reasonably believed to be in or not opposed to the best interests of the corporation; and</w:t>
      </w:r>
    </w:p>
    <w:p>
      <w:pPr>
        <w:spacing w:after="0" w:line="200" w:lineRule="exact"/>
        <w:rPr>
          <w:sz w:val="20"/>
          <w:szCs w:val="20"/>
          <w:color w:val="auto"/>
        </w:rPr>
      </w:pPr>
    </w:p>
    <w:p>
      <w:pPr>
        <w:spacing w:after="0" w:line="225" w:lineRule="exact"/>
        <w:rPr>
          <w:sz w:val="20"/>
          <w:szCs w:val="20"/>
          <w:color w:val="auto"/>
        </w:rPr>
      </w:pPr>
    </w:p>
    <w:p>
      <w:pPr>
        <w:ind w:left="540" w:right="2119"/>
        <w:spacing w:after="0" w:line="346" w:lineRule="auto"/>
        <w:rPr>
          <w:sz w:val="20"/>
          <w:szCs w:val="20"/>
          <w:color w:val="auto"/>
        </w:rPr>
      </w:pPr>
      <w:r>
        <w:rPr>
          <w:rFonts w:ascii="Courier New" w:cs="Courier New" w:eastAsia="Courier New" w:hAnsi="Courier New"/>
          <w:sz w:val="18"/>
          <w:szCs w:val="18"/>
          <w:color w:val="auto"/>
        </w:rPr>
        <w:t>with respect to any criminal action, had no reasonable cause to believe their conduct was unlawful.</w:t>
      </w:r>
    </w:p>
    <w:p>
      <w:pPr>
        <w:spacing w:after="0" w:line="200" w:lineRule="exact"/>
        <w:rPr>
          <w:sz w:val="20"/>
          <w:szCs w:val="20"/>
          <w:color w:val="auto"/>
        </w:rPr>
      </w:pPr>
    </w:p>
    <w:p>
      <w:pPr>
        <w:spacing w:after="0" w:line="225" w:lineRule="exact"/>
        <w:rPr>
          <w:sz w:val="20"/>
          <w:szCs w:val="20"/>
          <w:color w:val="auto"/>
        </w:rPr>
      </w:pPr>
    </w:p>
    <w:p>
      <w:pPr>
        <w:ind w:right="1699"/>
        <w:spacing w:after="0" w:line="253" w:lineRule="auto"/>
        <w:rPr>
          <w:sz w:val="20"/>
          <w:szCs w:val="20"/>
          <w:color w:val="auto"/>
        </w:rPr>
      </w:pPr>
      <w:r>
        <w:rPr>
          <w:rFonts w:ascii="Courier New" w:cs="Courier New" w:eastAsia="Courier New" w:hAnsi="Courier New"/>
          <w:sz w:val="18"/>
          <w:szCs w:val="18"/>
          <w:color w:val="auto"/>
        </w:rPr>
        <w:t>A similar standard applies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or other indemnification that may be granted by a corporation's charter, by-laws, disinterested director vote, shareowner vote, agreement, or otherwise.</w:t>
      </w:r>
    </w:p>
    <w:p>
      <w:pPr>
        <w:spacing w:after="0" w:line="200" w:lineRule="exact"/>
        <w:rPr>
          <w:sz w:val="20"/>
          <w:szCs w:val="20"/>
          <w:color w:val="auto"/>
        </w:rPr>
      </w:pPr>
    </w:p>
    <w:p>
      <w:pPr>
        <w:spacing w:after="0" w:line="308" w:lineRule="exact"/>
        <w:rPr>
          <w:sz w:val="20"/>
          <w:szCs w:val="20"/>
          <w:color w:val="auto"/>
        </w:rPr>
      </w:pPr>
    </w:p>
    <w:p>
      <w:pPr>
        <w:ind w:right="1699" w:firstLine="421"/>
        <w:spacing w:after="0" w:line="251" w:lineRule="auto"/>
        <w:rPr>
          <w:sz w:val="20"/>
          <w:szCs w:val="20"/>
          <w:color w:val="auto"/>
        </w:rPr>
      </w:pPr>
      <w:r>
        <w:rPr>
          <w:rFonts w:ascii="Courier New" w:cs="Courier New" w:eastAsia="Courier New" w:hAnsi="Courier New"/>
          <w:sz w:val="18"/>
          <w:szCs w:val="18"/>
          <w:color w:val="auto"/>
        </w:rPr>
        <w:t>Delaware law permits a corporation to provide in its certificate of incorporation that a director of the corporation shall not be personally liable to the corporation or its shareowners for monetary damages for breach of fiduciary duty as a director, except for liability for (i) any breach of the director's duly of loyalty to the corporation or its shareowners, (ii) acts or omissions not in good faith or which involve intentional misconduct or a knowing violation of law, (iii) payment of unlawful dividends or unlawful stock purchases or redemptions, or (iv) any transaction from which the director derived an improper personal benefit.</w:t>
      </w:r>
    </w:p>
    <w:p>
      <w:pPr>
        <w:spacing w:after="0" w:line="200" w:lineRule="exact"/>
        <w:rPr>
          <w:sz w:val="20"/>
          <w:szCs w:val="20"/>
          <w:color w:val="auto"/>
        </w:rPr>
      </w:pPr>
    </w:p>
    <w:p>
      <w:pPr>
        <w:spacing w:after="0" w:line="311" w:lineRule="exact"/>
        <w:rPr>
          <w:sz w:val="20"/>
          <w:szCs w:val="20"/>
          <w:color w:val="auto"/>
        </w:rPr>
      </w:pPr>
    </w:p>
    <w:p>
      <w:pPr>
        <w:ind w:right="1919" w:firstLine="421"/>
        <w:spacing w:after="0" w:line="265" w:lineRule="auto"/>
        <w:rPr>
          <w:sz w:val="20"/>
          <w:szCs w:val="20"/>
          <w:color w:val="auto"/>
        </w:rPr>
      </w:pPr>
      <w:r>
        <w:rPr>
          <w:rFonts w:ascii="Courier New" w:cs="Courier New" w:eastAsia="Courier New" w:hAnsi="Courier New"/>
          <w:sz w:val="18"/>
          <w:szCs w:val="18"/>
          <w:color w:val="auto"/>
        </w:rPr>
        <w:t>Under Article ELEVENTH of our Restated Certificate of Incorporation, each person who is or was a director or officer of Honeywell, and each director or officer of Honeywell who serves or served any other enterprise or organization at our request, shall be indemnified by us to the full extent permitted by the Delaware law.</w:t>
      </w:r>
    </w:p>
    <w:p>
      <w:pPr>
        <w:spacing w:after="0" w:line="200" w:lineRule="exact"/>
        <w:rPr>
          <w:sz w:val="20"/>
          <w:szCs w:val="20"/>
          <w:color w:val="auto"/>
        </w:rPr>
      </w:pPr>
    </w:p>
    <w:p>
      <w:pPr>
        <w:spacing w:after="0" w:line="294" w:lineRule="exact"/>
        <w:rPr>
          <w:sz w:val="20"/>
          <w:szCs w:val="20"/>
          <w:color w:val="auto"/>
        </w:rPr>
      </w:pPr>
    </w:p>
    <w:p>
      <w:pPr>
        <w:ind w:right="1819" w:firstLine="421"/>
        <w:spacing w:after="0" w:line="260" w:lineRule="auto"/>
        <w:rPr>
          <w:sz w:val="20"/>
          <w:szCs w:val="20"/>
          <w:color w:val="auto"/>
        </w:rPr>
      </w:pPr>
      <w:r>
        <w:rPr>
          <w:rFonts w:ascii="Courier New" w:cs="Courier New" w:eastAsia="Courier New" w:hAnsi="Courier New"/>
          <w:sz w:val="18"/>
          <w:szCs w:val="18"/>
          <w:color w:val="auto"/>
        </w:rPr>
        <w:t>Under Delaware law, to the extent that a person is successful in defense of a suit or proceeding brought against such person because they are or were a director or officer of Honeywell, or serves or served any other enterprise or organization at our request, such person shall be indemnified against expenses (including attorneys' fees) actually and reasonably incurred in connection with such action.</w:t>
      </w:r>
    </w:p>
    <w:p>
      <w:pPr>
        <w:spacing w:after="0" w:line="200" w:lineRule="exact"/>
        <w:rPr>
          <w:sz w:val="20"/>
          <w:szCs w:val="20"/>
          <w:color w:val="auto"/>
        </w:rPr>
      </w:pPr>
    </w:p>
    <w:p>
      <w:pPr>
        <w:spacing w:after="0" w:line="297" w:lineRule="exact"/>
        <w:rPr>
          <w:sz w:val="20"/>
          <w:szCs w:val="20"/>
          <w:color w:val="auto"/>
        </w:rPr>
      </w:pPr>
    </w:p>
    <w:p>
      <w:pPr>
        <w:jc w:val="both"/>
        <w:ind w:right="1819" w:firstLine="421"/>
        <w:spacing w:after="0" w:line="274" w:lineRule="auto"/>
        <w:rPr>
          <w:sz w:val="20"/>
          <w:szCs w:val="20"/>
          <w:color w:val="auto"/>
        </w:rPr>
      </w:pPr>
      <w:r>
        <w:rPr>
          <w:rFonts w:ascii="Courier New" w:cs="Courier New" w:eastAsia="Courier New" w:hAnsi="Courier New"/>
          <w:sz w:val="18"/>
          <w:szCs w:val="18"/>
          <w:color w:val="auto"/>
        </w:rPr>
        <w:t>If unsuccessful in defense of a third-party civil suit or a criminal suit, or if such a suit is settled, such a person shall be indemnified under Delaware law against both expenses (including attorneys' fees) and judgments, fines and amounts paid in settlement if such person acted:</w:t>
      </w:r>
    </w:p>
    <w:p>
      <w:pPr>
        <w:spacing w:after="0" w:line="200" w:lineRule="exact"/>
        <w:rPr>
          <w:sz w:val="20"/>
          <w:szCs w:val="20"/>
          <w:color w:val="auto"/>
        </w:rPr>
      </w:pPr>
    </w:p>
    <w:p>
      <w:pPr>
        <w:spacing w:after="0" w:line="2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good faith;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right="2019"/>
        <w:spacing w:after="0" w:line="346" w:lineRule="auto"/>
        <w:rPr>
          <w:sz w:val="20"/>
          <w:szCs w:val="20"/>
          <w:color w:val="auto"/>
        </w:rPr>
      </w:pPr>
      <w:r>
        <w:rPr>
          <w:rFonts w:ascii="Courier New" w:cs="Courier New" w:eastAsia="Courier New" w:hAnsi="Courier New"/>
          <w:sz w:val="18"/>
          <w:szCs w:val="18"/>
          <w:color w:val="auto"/>
        </w:rPr>
        <w:t>in a manner they reasonably believed to be in or not opposed to the best interests of Honeywell; and</w:t>
      </w:r>
    </w:p>
    <w:p>
      <w:pPr>
        <w:spacing w:after="0" w:line="200" w:lineRule="exact"/>
        <w:rPr>
          <w:sz w:val="20"/>
          <w:szCs w:val="20"/>
          <w:color w:val="auto"/>
        </w:rPr>
      </w:pPr>
    </w:p>
    <w:p>
      <w:pPr>
        <w:spacing w:after="0" w:line="225" w:lineRule="exact"/>
        <w:rPr>
          <w:sz w:val="20"/>
          <w:szCs w:val="20"/>
          <w:color w:val="auto"/>
        </w:rPr>
      </w:pPr>
    </w:p>
    <w:p>
      <w:pPr>
        <w:ind w:left="540" w:right="2119"/>
        <w:spacing w:after="0" w:line="346" w:lineRule="auto"/>
        <w:rPr>
          <w:sz w:val="20"/>
          <w:szCs w:val="20"/>
          <w:color w:val="auto"/>
        </w:rPr>
      </w:pPr>
      <w:r>
        <w:rPr>
          <w:rFonts w:ascii="Courier New" w:cs="Courier New" w:eastAsia="Courier New" w:hAnsi="Courier New"/>
          <w:sz w:val="18"/>
          <w:szCs w:val="18"/>
          <w:color w:val="auto"/>
        </w:rPr>
        <w:t>with respect to any criminal action, had no reasonable cause to believe their conduct was unlawful.</w:t>
      </w:r>
    </w:p>
    <w:p>
      <w:pPr>
        <w:spacing w:after="0" w:line="200" w:lineRule="exact"/>
        <w:rPr>
          <w:sz w:val="20"/>
          <w:szCs w:val="20"/>
          <w:color w:val="auto"/>
        </w:rPr>
      </w:pPr>
    </w:p>
    <w:p>
      <w:pPr>
        <w:spacing w:after="0" w:line="225" w:lineRule="exact"/>
        <w:rPr>
          <w:sz w:val="20"/>
          <w:szCs w:val="20"/>
          <w:color w:val="auto"/>
        </w:rPr>
      </w:pPr>
    </w:p>
    <w:p>
      <w:pPr>
        <w:ind w:right="1699" w:firstLine="421"/>
        <w:spacing w:after="0" w:line="293" w:lineRule="auto"/>
        <w:rPr>
          <w:sz w:val="20"/>
          <w:szCs w:val="20"/>
          <w:color w:val="auto"/>
        </w:rPr>
      </w:pPr>
      <w:r>
        <w:rPr>
          <w:rFonts w:ascii="Courier New" w:cs="Courier New" w:eastAsia="Courier New" w:hAnsi="Courier New"/>
          <w:sz w:val="16"/>
          <w:szCs w:val="16"/>
          <w:color w:val="auto"/>
        </w:rPr>
        <w:t>If unsuccessful in defense of a suit brought by or in the right of Honeywell, or if such suit is settled, such a person shall be indemnified under such law only against expenses (including attorneys' fees) actually and reasonably incurred in the defense or settlement of such suit if such person acted in good faith and in a manner such person reasonably believed to be in, or not opposed to, the best interests of Honeywell except that if such person is held liable in such suit to Honeywell, such person cannot be made whole even for</w:t>
      </w:r>
    </w:p>
    <w:p>
      <w:pPr>
        <w:sectPr>
          <w:pgSz w:w="11900" w:h="17020" w:orient="portrait"/>
          <w:cols w:equalWidth="0" w:num="1">
            <w:col w:w="10139"/>
          </w:cols>
          <w:pgMar w:left="320" w:top="893" w:right="1440" w:bottom="0" w:gutter="0" w:footer="0" w:header="0"/>
        </w:sectPr>
      </w:pPr>
    </w:p>
    <w:bookmarkStart w:id="22" w:name="page23"/>
    <w:bookmarkEnd w:id="22"/>
    <w:p>
      <w:pPr>
        <w:ind w:right="1919"/>
        <w:spacing w:after="0" w:line="346" w:lineRule="auto"/>
        <w:rPr>
          <w:sz w:val="20"/>
          <w:szCs w:val="20"/>
          <w:color w:val="auto"/>
        </w:rPr>
      </w:pPr>
      <w:r>
        <w:rPr>
          <w:rFonts w:ascii="Courier New" w:cs="Courier New" w:eastAsia="Courier New" w:hAnsi="Courier New"/>
          <w:sz w:val="18"/>
          <w:szCs w:val="18"/>
          <w:color w:val="auto"/>
        </w:rPr>
        <w:t>expenses unless the court determines that such person is fairly and reasonably entitled to indemnity for such expenses.</w:t>
      </w:r>
    </w:p>
    <w:p>
      <w:pPr>
        <w:spacing w:after="0" w:line="200" w:lineRule="exact"/>
        <w:rPr>
          <w:sz w:val="20"/>
          <w:szCs w:val="20"/>
          <w:color w:val="auto"/>
        </w:rPr>
      </w:pPr>
    </w:p>
    <w:p>
      <w:pPr>
        <w:spacing w:after="0" w:line="225" w:lineRule="exact"/>
        <w:rPr>
          <w:sz w:val="20"/>
          <w:szCs w:val="20"/>
          <w:color w:val="auto"/>
        </w:rPr>
      </w:pPr>
    </w:p>
    <w:p>
      <w:pPr>
        <w:ind w:right="1819" w:firstLine="421"/>
        <w:spacing w:after="0" w:line="292" w:lineRule="auto"/>
        <w:rPr>
          <w:sz w:val="20"/>
          <w:szCs w:val="20"/>
          <w:color w:val="auto"/>
        </w:rPr>
      </w:pPr>
      <w:r>
        <w:rPr>
          <w:rFonts w:ascii="Courier New" w:cs="Courier New" w:eastAsia="Courier New" w:hAnsi="Courier New"/>
          <w:sz w:val="18"/>
          <w:szCs w:val="18"/>
          <w:color w:val="auto"/>
        </w:rPr>
        <w:t>In addition, Honeywell maintains directors' and officers' reimbursement and liability insurance. The risks covered by such policies include certain liabilities under the securities laws.</w:t>
      </w:r>
    </w:p>
    <w:p>
      <w:pPr>
        <w:spacing w:after="0" w:line="2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139"/>
          </w:cols>
          <w:pgMar w:left="320" w:top="110" w:right="1440" w:bottom="1440" w:gutter="0" w:footer="0" w:header="0"/>
        </w:sectPr>
      </w:pPr>
    </w:p>
    <w:bookmarkStart w:id="23" w:name="page24"/>
    <w:bookmarkEnd w:id="23"/>
    <w:p>
      <w:pPr>
        <w:spacing w:after="0" w:line="160" w:lineRule="exact"/>
        <w:rPr>
          <w:sz w:val="20"/>
          <w:szCs w:val="20"/>
          <w:color w:val="auto"/>
        </w:rPr>
      </w:pPr>
    </w:p>
    <w:p>
      <w:pPr>
        <w:ind w:right="2320" w:firstLine="421"/>
        <w:spacing w:after="0" w:line="260"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or persons controlling Honeywell pursuant to our Restated Certificate of Incorporation, Delaware law, or otherwise,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9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520" w:firstLine="421"/>
        <w:spacing w:after="0" w:line="292" w:lineRule="auto"/>
        <w:rPr>
          <w:sz w:val="20"/>
          <w:szCs w:val="20"/>
          <w:color w:val="auto"/>
        </w:rPr>
      </w:pPr>
      <w:r>
        <w:rPr>
          <w:rFonts w:ascii="Courier New" w:cs="Courier New" w:eastAsia="Courier New" w:hAnsi="Courier New"/>
          <w:sz w:val="18"/>
          <w:szCs w:val="18"/>
          <w:color w:val="auto"/>
        </w:rPr>
        <w:t>We file annual, quarterly and current reports, proxy statements and other information with the SEC. You may read and copy any document we file at the SEC's public reference rooms in the following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Public Reference Room</w:t>
            </w: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New</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York Regional Office</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w w:val="96"/>
              </w:rPr>
              <w:t>Chicago Regional Office</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450 Fifth Street, N.W.</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7 World Trade Center</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Citicorp Center</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Room 1024</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Suite 1300</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500 West Madison Street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New</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NY 10048</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Suite 1400</w:t>
            </w:r>
          </w:p>
        </w:tc>
      </w:tr>
      <w:tr>
        <w:trPr>
          <w:trHeight w:val="296"/>
        </w:trPr>
        <w:tc>
          <w:tcPr>
            <w:tcW w:w="2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Chicago, IL 60661</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420"/>
        <w:spacing w:after="0" w:line="292" w:lineRule="auto"/>
        <w:rPr>
          <w:sz w:val="20"/>
          <w:szCs w:val="20"/>
          <w:color w:val="auto"/>
        </w:rPr>
      </w:pPr>
      <w:r>
        <w:rPr>
          <w:rFonts w:ascii="Courier New" w:cs="Courier New" w:eastAsia="Courier New" w:hAnsi="Courier New"/>
          <w:sz w:val="18"/>
          <w:szCs w:val="18"/>
          <w:color w:val="auto"/>
        </w:rPr>
        <w:t>Please call the SEC at 1-800-SEC-0330 for further information on the public reference rooms. Our SEC filings are also available to the public at the SEC's web site at http://www.sec.gov.</w:t>
      </w:r>
    </w:p>
    <w:p>
      <w:pPr>
        <w:spacing w:after="0" w:line="200" w:lineRule="exact"/>
        <w:rPr>
          <w:sz w:val="20"/>
          <w:szCs w:val="20"/>
          <w:color w:val="auto"/>
        </w:rPr>
      </w:pPr>
    </w:p>
    <w:p>
      <w:pPr>
        <w:spacing w:after="0" w:line="271" w:lineRule="exact"/>
        <w:rPr>
          <w:sz w:val="20"/>
          <w:szCs w:val="20"/>
          <w:color w:val="auto"/>
        </w:rPr>
      </w:pPr>
    </w:p>
    <w:p>
      <w:pPr>
        <w:ind w:right="2420" w:firstLine="421"/>
        <w:spacing w:after="0" w:line="265" w:lineRule="auto"/>
        <w:rPr>
          <w:sz w:val="20"/>
          <w:szCs w:val="20"/>
          <w:color w:val="auto"/>
        </w:rPr>
      </w:pPr>
      <w:r>
        <w:rPr>
          <w:rFonts w:ascii="Courier New" w:cs="Courier New" w:eastAsia="Courier New" w:hAnsi="Courier New"/>
          <w:sz w:val="18"/>
          <w:szCs w:val="18"/>
          <w:color w:val="auto"/>
        </w:rPr>
        <w:t>You may also inspect reports, proxy statements and other information about Honeywell at the offices of the New York Stock Exchange Inc., 20 Broad Street, New York, NY 10005; the Chicago Stock Exchange, One Financial Place, 440 South LaSalle Street, Chicago, IL 60605; and the Pacific Exchange, 301 Pine Street, San Francisco, CA 94104.</w:t>
      </w:r>
    </w:p>
    <w:p>
      <w:pPr>
        <w:spacing w:after="0" w:line="200" w:lineRule="exact"/>
        <w:rPr>
          <w:sz w:val="20"/>
          <w:szCs w:val="20"/>
          <w:color w:val="auto"/>
        </w:rPr>
      </w:pPr>
    </w:p>
    <w:p>
      <w:pPr>
        <w:spacing w:after="0" w:line="294" w:lineRule="exact"/>
        <w:rPr>
          <w:sz w:val="20"/>
          <w:szCs w:val="20"/>
          <w:color w:val="auto"/>
        </w:rPr>
      </w:pPr>
    </w:p>
    <w:p>
      <w:pPr>
        <w:ind w:right="2200" w:firstLine="421"/>
        <w:spacing w:after="0" w:line="256" w:lineRule="auto"/>
        <w:rPr>
          <w:sz w:val="20"/>
          <w:szCs w:val="20"/>
          <w:color w:val="auto"/>
        </w:rPr>
      </w:pPr>
      <w:r>
        <w:rPr>
          <w:rFonts w:ascii="Courier New" w:cs="Courier New" w:eastAsia="Courier New" w:hAnsi="Courier New"/>
          <w:sz w:val="18"/>
          <w:szCs w:val="18"/>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a part of this prospectus, and information filed with the SEC after the date of this prospectus will update and supersede information on file with the SEC as of the date of this prospectus. We incorporate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HONEYWELL'S SEC</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FILINGS</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(FILE NO. 1-8974)</w:t>
            </w:r>
          </w:p>
        </w:tc>
        <w:tc>
          <w:tcPr>
            <w:tcW w:w="2420" w:type="dxa"/>
            <w:vAlign w:val="bottom"/>
          </w:tcPr>
          <w:p>
            <w:pPr>
              <w:ind w:left="380"/>
              <w:spacing w:after="0"/>
              <w:rPr>
                <w:sz w:val="20"/>
                <w:szCs w:val="20"/>
                <w:color w:val="auto"/>
              </w:rPr>
            </w:pPr>
            <w:r>
              <w:rPr>
                <w:rFonts w:ascii="Courier New" w:cs="Courier New" w:eastAsia="Courier New" w:hAnsi="Courier New"/>
                <w:sz w:val="18"/>
                <w:szCs w:val="18"/>
                <w:color w:val="auto"/>
                <w:w w:val="98"/>
              </w:rPr>
              <w:t>DESCRIPTION, PERIOD</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OR DATE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900" w:type="dxa"/>
            <w:vAlign w:val="bottom"/>
            <w:gridSpan w:val="3"/>
          </w:tcPr>
          <w:p>
            <w:pPr>
              <w:spacing w:after="0"/>
              <w:rPr>
                <w:sz w:val="20"/>
                <w:szCs w:val="20"/>
                <w:color w:val="auto"/>
              </w:rPr>
            </w:pPr>
            <w:r>
              <w:rPr>
                <w:rFonts w:ascii="Courier New" w:cs="Courier New" w:eastAsia="Courier New" w:hAnsi="Courier New"/>
                <w:sz w:val="18"/>
                <w:szCs w:val="18"/>
                <w:color w:val="auto"/>
              </w:rPr>
              <w:t>- -----------------------------------------</w:t>
            </w:r>
          </w:p>
        </w:tc>
        <w:tc>
          <w:tcPr>
            <w:tcW w:w="3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00" w:type="dxa"/>
            <w:vAlign w:val="bottom"/>
            <w:gridSpan w:val="3"/>
          </w:tcPr>
          <w:p>
            <w:pPr>
              <w:spacing w:after="0"/>
              <w:rPr>
                <w:sz w:val="20"/>
                <w:szCs w:val="20"/>
                <w:color w:val="auto"/>
              </w:rPr>
            </w:pPr>
            <w:r>
              <w:rPr>
                <w:rFonts w:ascii="Courier New" w:cs="Courier New" w:eastAsia="Courier New" w:hAnsi="Courier New"/>
                <w:sz w:val="18"/>
                <w:szCs w:val="18"/>
                <w:color w:val="auto"/>
              </w:rPr>
              <w:t>Annual Report on Form 10-K</w:t>
            </w:r>
          </w:p>
        </w:tc>
        <w:tc>
          <w:tcPr>
            <w:tcW w:w="2420" w:type="dxa"/>
            <w:vAlign w:val="bottom"/>
          </w:tcPr>
          <w:p>
            <w:pPr>
              <w:ind w:left="380"/>
              <w:spacing w:after="0"/>
              <w:rPr>
                <w:sz w:val="20"/>
                <w:szCs w:val="20"/>
                <w:color w:val="auto"/>
              </w:rPr>
            </w:pPr>
            <w:r>
              <w:rPr>
                <w:rFonts w:ascii="Courier New" w:cs="Courier New" w:eastAsia="Courier New" w:hAnsi="Courier New"/>
                <w:sz w:val="18"/>
                <w:szCs w:val="18"/>
                <w:color w:val="auto"/>
                <w:w w:val="98"/>
              </w:rPr>
              <w:t>Year ended December</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31, 1999</w:t>
            </w:r>
          </w:p>
        </w:tc>
        <w:tc>
          <w:tcPr>
            <w:tcW w:w="22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and February 29, 2000</w:t>
            </w:r>
          </w:p>
        </w:tc>
        <w:tc>
          <w:tcPr>
            <w:tcW w:w="0" w:type="dxa"/>
            <w:vAlign w:val="bottom"/>
          </w:tcPr>
          <w:p>
            <w:pPr>
              <w:spacing w:after="0"/>
              <w:rPr>
                <w:sz w:val="1"/>
                <w:szCs w:val="1"/>
                <w:color w:val="auto"/>
              </w:rPr>
            </w:pPr>
          </w:p>
        </w:tc>
      </w:t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Current Reports</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on Form</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8-K</w:t>
            </w:r>
          </w:p>
        </w:tc>
        <w:tc>
          <w:tcPr>
            <w:tcW w:w="348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8"/>
              </w:rPr>
              <w:t>Filed January 21, February 14</w:t>
            </w:r>
          </w:p>
        </w:tc>
        <w:tc>
          <w:tcPr>
            <w:tcW w:w="2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200" w:firstLine="421"/>
        <w:spacing w:after="0" w:line="274" w:lineRule="auto"/>
        <w:rPr>
          <w:sz w:val="20"/>
          <w:szCs w:val="20"/>
          <w:color w:val="auto"/>
        </w:rPr>
      </w:pPr>
      <w:r>
        <w:rPr>
          <w:rFonts w:ascii="Courier New" w:cs="Courier New" w:eastAsia="Courier New" w:hAnsi="Courier New"/>
          <w:sz w:val="18"/>
          <w:szCs w:val="18"/>
          <w:color w:val="auto"/>
        </w:rPr>
        <w:t>We incorporate by reference additional documents that we may file with the SEC after the date of this prospectus. These documents include periodic reports, which may include Annual Reports on Form 10-K, Quarterly Reports on Form 10-Q and Current Reports on Form 8-K, as well as proxy statements.</w:t>
      </w:r>
    </w:p>
    <w:p>
      <w:pPr>
        <w:spacing w:after="0" w:line="200" w:lineRule="exact"/>
        <w:rPr>
          <w:sz w:val="20"/>
          <w:szCs w:val="20"/>
          <w:color w:val="auto"/>
        </w:rPr>
      </w:pPr>
    </w:p>
    <w:p>
      <w:pPr>
        <w:spacing w:after="0" w:line="286" w:lineRule="exact"/>
        <w:rPr>
          <w:sz w:val="20"/>
          <w:szCs w:val="20"/>
          <w:color w:val="auto"/>
        </w:rPr>
      </w:pPr>
    </w:p>
    <w:p>
      <w:pPr>
        <w:ind w:right="2200" w:firstLine="421"/>
        <w:spacing w:after="0" w:line="260" w:lineRule="auto"/>
        <w:rPr>
          <w:sz w:val="20"/>
          <w:szCs w:val="20"/>
          <w:color w:val="auto"/>
        </w:rPr>
      </w:pPr>
      <w:r>
        <w:rPr>
          <w:rFonts w:ascii="Courier New" w:cs="Courier New" w:eastAsia="Courier New" w:hAnsi="Courier New"/>
          <w:sz w:val="18"/>
          <w:szCs w:val="18"/>
          <w:color w:val="auto"/>
        </w:rPr>
        <w:t>You can obtain any of the documents incorporated by reference in this prospectus through us, or from the SEC through the SEC's web site at the address provided above. Documents incorporated by reference are available from us without charge, excluding any exhibits to those documents unless the exhibit is specifically incorporated by reference as an exhibit in this prospectus. You can obtain</w:t>
      </w:r>
    </w:p>
    <w:p>
      <w:pPr>
        <w:sectPr>
          <w:pgSz w:w="11900" w:h="16999" w:orient="portrait"/>
          <w:cols w:equalWidth="0" w:num="1">
            <w:col w:w="10640"/>
          </w:cols>
          <w:pgMar w:left="320" w:top="893" w:right="939" w:bottom="0" w:gutter="0" w:footer="0" w:header="0"/>
        </w:sectPr>
      </w:pPr>
    </w:p>
    <w:bookmarkStart w:id="24" w:name="page25"/>
    <w:bookmarkEnd w:id="24"/>
    <w:p>
      <w:pPr>
        <w:ind w:left="30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515" w:right="1440" w:bottom="1440" w:gutter="0" w:footer="0" w:header="0"/>
        </w:sectPr>
      </w:pPr>
    </w:p>
    <w:bookmarkStart w:id="25" w:name="page26"/>
    <w:bookmarkEnd w:id="25"/>
    <w:p>
      <w:pPr>
        <w:ind w:right="1919"/>
        <w:spacing w:after="0" w:line="420" w:lineRule="auto"/>
        <w:rPr>
          <w:sz w:val="20"/>
          <w:szCs w:val="20"/>
          <w:color w:val="auto"/>
        </w:rPr>
      </w:pPr>
      <w:r>
        <w:rPr>
          <w:rFonts w:ascii="Courier New" w:cs="Courier New" w:eastAsia="Courier New" w:hAnsi="Courier New"/>
          <w:sz w:val="16"/>
          <w:szCs w:val="16"/>
          <w:color w:val="auto"/>
        </w:rPr>
        <w:t>documents incorporated by reference in this prospectus by requesting them in writing or by telephone from us at the following address and telephone number:</w:t>
      </w:r>
    </w:p>
    <w:p>
      <w:pPr>
        <w:spacing w:after="0" w:line="37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Honeywell International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101 Columbia Road</w:t>
      </w:r>
    </w:p>
    <w:p>
      <w:pPr>
        <w:ind w:left="420"/>
        <w:spacing w:after="0" w:line="238" w:lineRule="auto"/>
        <w:rPr>
          <w:sz w:val="20"/>
          <w:szCs w:val="20"/>
          <w:color w:val="auto"/>
        </w:rPr>
      </w:pPr>
      <w:r>
        <w:rPr>
          <w:rFonts w:ascii="Courier New" w:cs="Courier New" w:eastAsia="Courier New" w:hAnsi="Courier New"/>
          <w:sz w:val="18"/>
          <w:szCs w:val="18"/>
          <w:color w:val="auto"/>
        </w:rPr>
        <w:t>P.O. Box 2245</w:t>
      </w:r>
    </w:p>
    <w:p>
      <w:pPr>
        <w:ind w:left="420"/>
        <w:spacing w:after="0" w:line="238" w:lineRule="auto"/>
        <w:rPr>
          <w:sz w:val="20"/>
          <w:szCs w:val="20"/>
          <w:color w:val="auto"/>
        </w:rPr>
      </w:pPr>
      <w:r>
        <w:rPr>
          <w:rFonts w:ascii="Courier New" w:cs="Courier New" w:eastAsia="Courier New" w:hAnsi="Courier New"/>
          <w:sz w:val="18"/>
          <w:szCs w:val="18"/>
          <w:color w:val="auto"/>
        </w:rPr>
        <w:t>Morris Township, NJ 07962-2245</w:t>
      </w:r>
    </w:p>
    <w:p>
      <w:pPr>
        <w:ind w:left="420"/>
        <w:spacing w:after="0"/>
        <w:rPr>
          <w:sz w:val="20"/>
          <w:szCs w:val="20"/>
          <w:color w:val="auto"/>
        </w:rPr>
      </w:pPr>
      <w:r>
        <w:rPr>
          <w:rFonts w:ascii="Courier New" w:cs="Courier New" w:eastAsia="Courier New" w:hAnsi="Courier New"/>
          <w:sz w:val="18"/>
          <w:szCs w:val="18"/>
          <w:color w:val="auto"/>
        </w:rPr>
        <w:t>Attention: Corporate Publications</w:t>
      </w:r>
    </w:p>
    <w:p>
      <w:pPr>
        <w:ind w:left="420"/>
        <w:spacing w:after="0"/>
        <w:rPr>
          <w:sz w:val="20"/>
          <w:szCs w:val="20"/>
          <w:color w:val="auto"/>
        </w:rPr>
      </w:pPr>
      <w:r>
        <w:rPr>
          <w:rFonts w:ascii="Courier New" w:cs="Courier New" w:eastAsia="Courier New" w:hAnsi="Courier New"/>
          <w:sz w:val="18"/>
          <w:szCs w:val="18"/>
          <w:color w:val="auto"/>
        </w:rPr>
        <w:t>Telephone No.: (973) 455-5402</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139"/>
          </w:cols>
          <w:pgMar w:left="320" w:top="893" w:right="1440" w:bottom="1440" w:gutter="0" w:footer="0" w:header="0"/>
        </w:sectPr>
      </w:pPr>
    </w:p>
    <w:bookmarkStart w:id="26" w:name="page27"/>
    <w:bookmarkEnd w:id="26"/>
    <w:p>
      <w:pPr>
        <w:spacing w:after="0" w:line="5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CAUTIONARY STATEMENT CONCERNING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19" w:firstLine="421"/>
        <w:spacing w:after="0" w:line="260" w:lineRule="auto"/>
        <w:rPr>
          <w:sz w:val="20"/>
          <w:szCs w:val="20"/>
          <w:color w:val="auto"/>
        </w:rPr>
      </w:pPr>
      <w:r>
        <w:rPr>
          <w:rFonts w:ascii="Courier New" w:cs="Courier New" w:eastAsia="Courier New" w:hAnsi="Courier New"/>
          <w:sz w:val="18"/>
          <w:szCs w:val="18"/>
          <w:color w:val="auto"/>
        </w:rPr>
        <w:t>We have made forward-looking statements in this document and in documents that are incorporated by reference in this document that are subject to risks and uncertainties. Forward-looking statements include information concerning possible or assumed future actions, events or results of operations of Honeywell. Forward-looking statements include the information in this document, specifically, regarding:</w:t>
      </w:r>
    </w:p>
    <w:p>
      <w:pPr>
        <w:sectPr>
          <w:pgSz w:w="11900" w:h="16890" w:orient="portrait"/>
          <w:cols w:equalWidth="0" w:num="1">
            <w:col w:w="10139"/>
          </w:cols>
          <w:pgMar w:left="320" w:top="8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efficiencies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 savings</w:t>
      </w:r>
    </w:p>
    <w:p>
      <w:pPr>
        <w:spacing w:after="0"/>
        <w:rPr>
          <w:sz w:val="20"/>
          <w:szCs w:val="20"/>
          <w:color w:val="auto"/>
        </w:rPr>
      </w:pPr>
      <w:r>
        <w:rPr>
          <w:rFonts w:ascii="Courier New" w:cs="Courier New" w:eastAsia="Courier New" w:hAnsi="Courier New"/>
          <w:sz w:val="16"/>
          <w:szCs w:val="16"/>
          <w:color w:val="auto"/>
        </w:rPr>
        <w:t>sales enhancements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and margins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free cash flow</w:t>
      </w:r>
    </w:p>
    <w:p>
      <w:pPr>
        <w:spacing w:after="0"/>
        <w:rPr>
          <w:sz w:val="20"/>
          <w:szCs w:val="20"/>
          <w:color w:val="auto"/>
        </w:rPr>
      </w:pPr>
      <w:r>
        <w:rPr>
          <w:rFonts w:ascii="Courier New" w:cs="Courier New" w:eastAsia="Courier New" w:hAnsi="Courier New"/>
          <w:sz w:val="18"/>
          <w:szCs w:val="18"/>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diversification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future economic performance</w:t>
      </w:r>
    </w:p>
    <w:p>
      <w:pPr>
        <w:spacing w:after="0" w:line="238" w:lineRule="auto"/>
        <w:rPr>
          <w:sz w:val="20"/>
          <w:szCs w:val="20"/>
          <w:color w:val="auto"/>
        </w:rPr>
      </w:pPr>
      <w:r>
        <w:rPr>
          <w:rFonts w:ascii="Courier New" w:cs="Courier New" w:eastAsia="Courier New" w:hAnsi="Courier New"/>
          <w:sz w:val="18"/>
          <w:szCs w:val="18"/>
          <w:color w:val="auto"/>
        </w:rPr>
        <w:t>future acquisitions</w:t>
      </w:r>
    </w:p>
    <w:p>
      <w:pPr>
        <w:spacing w:after="0" w:line="238" w:lineRule="auto"/>
        <w:rPr>
          <w:sz w:val="20"/>
          <w:szCs w:val="20"/>
          <w:color w:val="auto"/>
        </w:rPr>
      </w:pPr>
      <w:r>
        <w:rPr>
          <w:rFonts w:ascii="Courier New" w:cs="Courier New" w:eastAsia="Courier New" w:hAnsi="Courier New"/>
          <w:sz w:val="18"/>
          <w:szCs w:val="18"/>
          <w:color w:val="auto"/>
        </w:rPr>
        <w:t>management's plans</w:t>
      </w:r>
    </w:p>
    <w:p>
      <w:pPr>
        <w:spacing w:after="0"/>
        <w:rPr>
          <w:sz w:val="20"/>
          <w:szCs w:val="20"/>
          <w:color w:val="auto"/>
        </w:rPr>
      </w:pPr>
      <w:r>
        <w:rPr>
          <w:rFonts w:ascii="Courier New" w:cs="Courier New" w:eastAsia="Courier New" w:hAnsi="Courier New"/>
          <w:sz w:val="18"/>
          <w:szCs w:val="18"/>
          <w:color w:val="auto"/>
        </w:rPr>
        <w:t>business portfolios</w:t>
      </w:r>
    </w:p>
    <w:p>
      <w:pPr>
        <w:spacing w:after="0"/>
        <w:rPr>
          <w:sz w:val="20"/>
          <w:szCs w:val="20"/>
          <w:color w:val="auto"/>
        </w:rPr>
      </w:pPr>
      <w:r>
        <w:rPr>
          <w:rFonts w:ascii="Courier New" w:cs="Courier New" w:eastAsia="Courier New" w:hAnsi="Courier New"/>
          <w:sz w:val="16"/>
          <w:szCs w:val="16"/>
          <w:color w:val="auto"/>
        </w:rPr>
        <w:t>merger integration related expenses</w:t>
      </w:r>
    </w:p>
    <w:p>
      <w:pPr>
        <w:spacing w:after="0" w:line="425" w:lineRule="exact"/>
        <w:rPr>
          <w:sz w:val="20"/>
          <w:szCs w:val="20"/>
          <w:color w:val="auto"/>
        </w:rPr>
      </w:pPr>
    </w:p>
    <w:p>
      <w:pPr>
        <w:sectPr>
          <w:pgSz w:w="11900" w:h="16890" w:orient="portrait"/>
          <w:cols w:equalWidth="0" w:num="2">
            <w:col w:w="3820" w:space="720"/>
            <w:col w:w="5599"/>
          </w:cols>
          <w:pgMar w:left="320" w:top="893" w:right="1440" w:bottom="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right="1919" w:firstLine="421"/>
        <w:spacing w:after="0" w:line="292" w:lineRule="auto"/>
        <w:rPr>
          <w:sz w:val="20"/>
          <w:szCs w:val="20"/>
          <w:color w:val="auto"/>
        </w:rPr>
      </w:pPr>
      <w:r>
        <w:rPr>
          <w:rFonts w:ascii="Courier New" w:cs="Courier New" w:eastAsia="Courier New" w:hAnsi="Courier New"/>
          <w:sz w:val="18"/>
          <w:szCs w:val="18"/>
          <w:color w:val="auto"/>
        </w:rPr>
        <w:t>With respect to all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71" w:lineRule="exact"/>
        <w:rPr>
          <w:sz w:val="20"/>
          <w:szCs w:val="20"/>
          <w:color w:val="auto"/>
        </w:rPr>
      </w:pPr>
    </w:p>
    <w:p>
      <w:pPr>
        <w:ind w:right="1919" w:firstLine="421"/>
        <w:spacing w:after="0" w:line="265" w:lineRule="auto"/>
        <w:rPr>
          <w:sz w:val="20"/>
          <w:szCs w:val="20"/>
          <w:color w:val="auto"/>
        </w:rPr>
      </w:pPr>
      <w:r>
        <w:rPr>
          <w:rFonts w:ascii="Courier New" w:cs="Courier New" w:eastAsia="Courier New" w:hAnsi="Courier New"/>
          <w:sz w:val="18"/>
          <w:szCs w:val="18"/>
          <w:color w:val="auto"/>
        </w:rPr>
        <w:t>You should understand that the following important factors, in addition to those discussed elsewhere in this document and in the documents which are incorporated by reference, could affect the future results of Honeywell and could cause those results or other outcomes to differ materially from those expressed or implied in our forward-looking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Economic and Industry Conditions</w:t>
      </w:r>
    </w:p>
    <w:p>
      <w:pPr>
        <w:spacing w:after="0" w:line="201" w:lineRule="exact"/>
        <w:rPr>
          <w:sz w:val="20"/>
          <w:szCs w:val="20"/>
          <w:color w:val="auto"/>
        </w:rPr>
      </w:pPr>
    </w:p>
    <w:p>
      <w:pPr>
        <w:ind w:left="540" w:right="1699"/>
        <w:spacing w:after="0" w:line="346" w:lineRule="auto"/>
        <w:rPr>
          <w:sz w:val="20"/>
          <w:szCs w:val="20"/>
          <w:color w:val="auto"/>
        </w:rPr>
      </w:pPr>
      <w:r>
        <w:rPr>
          <w:rFonts w:ascii="Courier New" w:cs="Courier New" w:eastAsia="Courier New" w:hAnsi="Courier New"/>
          <w:sz w:val="18"/>
          <w:szCs w:val="18"/>
          <w:color w:val="auto"/>
        </w:rPr>
        <w:t>materially adverse changes in economic and industry conditions and customer demand generally or in the markets served by us</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supply and demand for and pricing of supplies and components</w:t>
      </w:r>
    </w:p>
    <w:p>
      <w:pPr>
        <w:spacing w:after="0" w:line="201" w:lineRule="exact"/>
        <w:rPr>
          <w:sz w:val="20"/>
          <w:szCs w:val="20"/>
          <w:color w:val="auto"/>
        </w:rPr>
      </w:pPr>
    </w:p>
    <w:p>
      <w:pPr>
        <w:ind w:left="540" w:right="1919"/>
        <w:spacing w:after="0" w:line="346" w:lineRule="auto"/>
        <w:rPr>
          <w:sz w:val="20"/>
          <w:szCs w:val="20"/>
          <w:color w:val="auto"/>
        </w:rPr>
      </w:pPr>
      <w:r>
        <w:rPr>
          <w:rFonts w:ascii="Courier New" w:cs="Courier New" w:eastAsia="Courier New" w:hAnsi="Courier New"/>
          <w:sz w:val="18"/>
          <w:szCs w:val="18"/>
          <w:color w:val="auto"/>
        </w:rPr>
        <w:t>changes in demographics and consumer preferences or demands for our goods and services</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fluctuations of foreign currencies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 Factors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competitiveness of product substitutes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actions of competitors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technologies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industry consolidation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deregulation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Factors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supply disruptions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acquisitions or divestitures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changes in operating conditions and costs</w:t>
      </w:r>
    </w:p>
    <w:p>
      <w:pPr>
        <w:spacing w:after="0" w:line="201" w:lineRule="exact"/>
        <w:rPr>
          <w:sz w:val="20"/>
          <w:szCs w:val="20"/>
          <w:color w:val="auto"/>
        </w:rPr>
      </w:pPr>
    </w:p>
    <w:p>
      <w:pPr>
        <w:ind w:left="540" w:right="2559"/>
        <w:spacing w:after="0" w:line="346" w:lineRule="auto"/>
        <w:rPr>
          <w:sz w:val="20"/>
          <w:szCs w:val="20"/>
          <w:color w:val="auto"/>
        </w:rPr>
      </w:pPr>
      <w:r>
        <w:rPr>
          <w:rFonts w:ascii="Courier New" w:cs="Courier New" w:eastAsia="Courier New" w:hAnsi="Courier New"/>
          <w:sz w:val="18"/>
          <w:szCs w:val="18"/>
          <w:color w:val="auto"/>
        </w:rPr>
        <w:t>risks relating to performance of contracts, including dependence on performance of third-parties</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availability of intellectual property rights for newly developed products</w:t>
      </w:r>
    </w:p>
    <w:p>
      <w:pPr>
        <w:sectPr>
          <w:pgSz w:w="11900" w:h="16890" w:orient="portrait"/>
          <w:cols w:equalWidth="0" w:num="1">
            <w:col w:w="10139"/>
          </w:cols>
          <w:pgMar w:left="320" w:top="893" w:right="1440" w:bottom="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changes in regulatory environment</w:t>
      </w:r>
    </w:p>
    <w:p>
      <w:pPr>
        <w:spacing w:after="0" w:line="201" w:lineRule="exact"/>
        <w:rPr>
          <w:sz w:val="20"/>
          <w:szCs w:val="20"/>
          <w:color w:val="auto"/>
        </w:rPr>
      </w:pPr>
    </w:p>
    <w:p>
      <w:pPr>
        <w:ind w:right="1819"/>
        <w:spacing w:after="0" w:line="292" w:lineRule="auto"/>
        <w:rPr>
          <w:sz w:val="20"/>
          <w:szCs w:val="20"/>
          <w:color w:val="auto"/>
        </w:rPr>
      </w:pPr>
      <w:r>
        <w:rPr>
          <w:rFonts w:ascii="Courier New" w:cs="Courier New" w:eastAsia="Courier New" w:hAnsi="Courier New"/>
          <w:sz w:val="18"/>
          <w:szCs w:val="18"/>
          <w:color w:val="auto"/>
        </w:rPr>
        <w:t>the challenges inherent in diverting management's focus and resources from other strategic opportunities and from operational matters during merger integration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impact of the loss of employees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599"/>
          </w:cols>
          <w:pgMar w:left="860" w:top="312" w:right="1440" w:bottom="1440" w:gutter="0" w:footer="0" w:header="0"/>
        </w:sectPr>
      </w:pPr>
    </w:p>
    <w:bookmarkStart w:id="28" w:name="page29"/>
    <w:bookmarkEnd w:id="28"/>
    <w:p>
      <w:pPr>
        <w:spacing w:after="0" w:line="163"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PART II</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Securities and Exchange Commission Registration Fee.........</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18,401</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Accountants'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c>
          <w:tcPr>
            <w:tcW w:w="0" w:type="dxa"/>
            <w:vAlign w:val="bottom"/>
          </w:tcPr>
          <w:p>
            <w:pPr>
              <w:spacing w:after="0"/>
              <w:rPr>
                <w:sz w:val="1"/>
                <w:szCs w:val="1"/>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5,599*</w:t>
            </w:r>
          </w:p>
        </w:tc>
        <w:tc>
          <w:tcPr>
            <w:tcW w:w="0" w:type="dxa"/>
            <w:vAlign w:val="bottom"/>
          </w:tcPr>
          <w:p>
            <w:pPr>
              <w:spacing w:after="0"/>
              <w:rPr>
                <w:sz w:val="1"/>
                <w:szCs w:val="1"/>
                <w:color w:val="auto"/>
              </w:rPr>
            </w:pPr>
          </w:p>
        </w:tc>
      </w:tr>
      <w:tr>
        <w:trPr>
          <w:trHeight w:val="203"/>
        </w:trPr>
        <w:tc>
          <w:tcPr>
            <w:tcW w:w="6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Total...................................................</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44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220" w:right="2119" w:hanging="212"/>
        <w:spacing w:after="0" w:line="309"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These expenses do not include recurring annual expenses for the operation of the Plan.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19" w:firstLine="421"/>
        <w:spacing w:after="0" w:line="277" w:lineRule="auto"/>
        <w:rPr>
          <w:sz w:val="20"/>
          <w:szCs w:val="20"/>
          <w:color w:val="auto"/>
        </w:rPr>
      </w:pPr>
      <w:r>
        <w:rPr>
          <w:rFonts w:ascii="Courier New" w:cs="Courier New" w:eastAsia="Courier New" w:hAnsi="Courier New"/>
          <w:sz w:val="16"/>
          <w:szCs w:val="16"/>
          <w:color w:val="auto"/>
        </w:rPr>
        <w:t>Section 145 of the Delaware General Corporation Law (DGCL) provides that a corporation may indemnify directors and officers as well as other employees and individuals against expenses (including attorneys' fees), judgments, fines, and amounts paid in settlement in connection with specified actions, suits, proceedings whether civil, criminal, administrative, or investigative (other than action by or in the right of the corporation --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or other indemnification that may be granted by a corporation's charter, by-laws, disinterested director vote, shareowner vote, agreement, or otherwise.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99" w:firstLine="421"/>
        <w:spacing w:after="0" w:line="251" w:lineRule="auto"/>
        <w:rPr>
          <w:sz w:val="20"/>
          <w:szCs w:val="20"/>
          <w:color w:val="auto"/>
        </w:rPr>
      </w:pPr>
      <w:r>
        <w:rPr>
          <w:rFonts w:ascii="Courier New" w:cs="Courier New" w:eastAsia="Courier New" w:hAnsi="Courier New"/>
          <w:sz w:val="18"/>
          <w:szCs w:val="18"/>
          <w:color w:val="auto"/>
        </w:rPr>
        <w:t>Section 102(b)(7) of the DGCL permits a corporation to provide in its certificate of incorporation that a director of the corporation shall not be personally liable to the corporation or its shareowners for monetary damages for breach of fiduciary duty as a director, except for liability for (i) any breach of the director's duly of loyalty to the corporation or its shareowners, (ii) acts or omissions not in good faith or which involve intentional misconduct or a knowing violation of law, (iii) payment of unlawful dividends or unlawful stock purchases or redemptions, or (iv) any transaction from which the director derived an improper personal benefit.</w:t>
      </w:r>
    </w:p>
    <w:p>
      <w:pPr>
        <w:spacing w:after="0" w:line="200" w:lineRule="exact"/>
        <w:rPr>
          <w:sz w:val="20"/>
          <w:szCs w:val="20"/>
          <w:color w:val="auto"/>
        </w:rPr>
      </w:pPr>
    </w:p>
    <w:p>
      <w:pPr>
        <w:spacing w:after="0" w:line="311" w:lineRule="exact"/>
        <w:rPr>
          <w:sz w:val="20"/>
          <w:szCs w:val="20"/>
          <w:color w:val="auto"/>
        </w:rPr>
      </w:pPr>
    </w:p>
    <w:p>
      <w:pPr>
        <w:ind w:right="1699" w:firstLine="421"/>
        <w:spacing w:after="0" w:line="306" w:lineRule="auto"/>
        <w:rPr>
          <w:sz w:val="20"/>
          <w:szCs w:val="20"/>
          <w:color w:val="auto"/>
        </w:rPr>
      </w:pPr>
      <w:r>
        <w:rPr>
          <w:rFonts w:ascii="Courier New" w:cs="Courier New" w:eastAsia="Courier New" w:hAnsi="Courier New"/>
          <w:sz w:val="16"/>
          <w:szCs w:val="16"/>
          <w:color w:val="auto"/>
        </w:rPr>
        <w:t>Under Article ELEVENTH of Honeywell's Restated Certificate of Incorporation, each person who is or was a director or officer of Honeywell, and each director or officer of Honeywell who serves or served any other enterprise or organization at the request of Honeywell, shall be indemnified by Honeywell to the full extent permitted by the Delaware General Corporation Law.</w:t>
      </w:r>
    </w:p>
    <w:p>
      <w:pPr>
        <w:spacing w:after="0" w:line="200" w:lineRule="exact"/>
        <w:rPr>
          <w:sz w:val="20"/>
          <w:szCs w:val="20"/>
          <w:color w:val="auto"/>
        </w:rPr>
      </w:pPr>
    </w:p>
    <w:p>
      <w:pPr>
        <w:spacing w:after="0" w:line="265" w:lineRule="exact"/>
        <w:rPr>
          <w:sz w:val="20"/>
          <w:szCs w:val="20"/>
          <w:color w:val="auto"/>
        </w:rPr>
      </w:pPr>
    </w:p>
    <w:p>
      <w:pPr>
        <w:ind w:right="1699" w:firstLine="421"/>
        <w:spacing w:after="0" w:line="265" w:lineRule="auto"/>
        <w:rPr>
          <w:sz w:val="20"/>
          <w:szCs w:val="20"/>
          <w:color w:val="auto"/>
        </w:rPr>
      </w:pPr>
      <w:r>
        <w:rPr>
          <w:rFonts w:ascii="Courier New" w:cs="Courier New" w:eastAsia="Courier New" w:hAnsi="Courier New"/>
          <w:sz w:val="18"/>
          <w:szCs w:val="18"/>
          <w:color w:val="auto"/>
        </w:rPr>
        <w:t>Under the DGCL, to the extent that such a person is successful on the merits or otherwise in defense of a suit or proceeding brought against such person by reason of the fact that such person is or was a director or officer of Honeywell, or serves or served any other enterprise or organization at the request of Honeywell, such person shall be indemnified against expenses</w:t>
      </w:r>
    </w:p>
    <w:p>
      <w:pPr>
        <w:sectPr>
          <w:pgSz w:w="11900" w:h="17002" w:orient="portrait"/>
          <w:cols w:equalWidth="0" w:num="1">
            <w:col w:w="10139"/>
          </w:cols>
          <w:pgMar w:left="320" w:top="893" w:right="1440" w:bottom="0" w:gutter="0" w:footer="0" w:header="0"/>
        </w:sectPr>
      </w:pPr>
    </w:p>
    <w:bookmarkStart w:id="29" w:name="page30"/>
    <w:bookmarkEnd w:id="29"/>
    <w:p>
      <w:pPr>
        <w:ind w:right="1819"/>
        <w:spacing w:after="0" w:line="346" w:lineRule="auto"/>
        <w:rPr>
          <w:sz w:val="20"/>
          <w:szCs w:val="20"/>
          <w:color w:val="auto"/>
        </w:rPr>
      </w:pPr>
      <w:r>
        <w:rPr>
          <w:rFonts w:ascii="Courier New" w:cs="Courier New" w:eastAsia="Courier New" w:hAnsi="Courier New"/>
          <w:sz w:val="18"/>
          <w:szCs w:val="18"/>
          <w:color w:val="auto"/>
        </w:rPr>
        <w:t>(including attorneys' fees) actually and reasonably incurred in connection with such action.</w:t>
      </w:r>
    </w:p>
    <w:p>
      <w:pPr>
        <w:spacing w:after="0" w:line="200" w:lineRule="exact"/>
        <w:rPr>
          <w:sz w:val="20"/>
          <w:szCs w:val="20"/>
          <w:color w:val="auto"/>
        </w:rPr>
      </w:pPr>
    </w:p>
    <w:p>
      <w:pPr>
        <w:spacing w:after="0" w:line="225" w:lineRule="exact"/>
        <w:rPr>
          <w:sz w:val="20"/>
          <w:szCs w:val="20"/>
          <w:color w:val="auto"/>
        </w:rPr>
      </w:pPr>
    </w:p>
    <w:p>
      <w:pPr>
        <w:ind w:right="1819" w:firstLine="421"/>
        <w:spacing w:after="0" w:line="293" w:lineRule="auto"/>
        <w:rPr>
          <w:sz w:val="20"/>
          <w:szCs w:val="20"/>
          <w:color w:val="auto"/>
        </w:rPr>
      </w:pPr>
      <w:r>
        <w:rPr>
          <w:rFonts w:ascii="Courier New" w:cs="Courier New" w:eastAsia="Courier New" w:hAnsi="Courier New"/>
          <w:sz w:val="16"/>
          <w:szCs w:val="16"/>
          <w:color w:val="auto"/>
        </w:rPr>
        <w:t>If unsuccessful in defense of a third-party civil suit or a criminal suit, or if such a suit is settled, such a person shall be indemnified under such law against both (1) expenses (including attorneys' fees) and (2) judgments, fines and amounts paid in settlement if such person acted in good faith and in a manner such person reasonably believed to be in, or not opposed to, the best interests of Honeywell, and with respect to any criminal action, had no reasonable cause to believe such person's conduct was unlawful.</w:t>
      </w:r>
    </w:p>
    <w:p>
      <w:pPr>
        <w:spacing w:after="0" w:line="200" w:lineRule="exact"/>
        <w:rPr>
          <w:sz w:val="20"/>
          <w:szCs w:val="20"/>
          <w:color w:val="auto"/>
        </w:rPr>
      </w:pPr>
    </w:p>
    <w:p>
      <w:pPr>
        <w:spacing w:after="0" w:line="276" w:lineRule="exact"/>
        <w:rPr>
          <w:sz w:val="20"/>
          <w:szCs w:val="20"/>
          <w:color w:val="auto"/>
        </w:rPr>
      </w:pPr>
    </w:p>
    <w:p>
      <w:pPr>
        <w:ind w:right="1699" w:firstLine="421"/>
        <w:spacing w:after="0" w:line="260" w:lineRule="auto"/>
        <w:rPr>
          <w:sz w:val="20"/>
          <w:szCs w:val="20"/>
          <w:color w:val="auto"/>
        </w:rPr>
      </w:pPr>
      <w:r>
        <w:rPr>
          <w:rFonts w:ascii="Courier New" w:cs="Courier New" w:eastAsia="Courier New" w:hAnsi="Courier New"/>
          <w:sz w:val="18"/>
          <w:szCs w:val="18"/>
          <w:color w:val="auto"/>
        </w:rPr>
        <w:t>If unsuccessful in defense of a suit brought by or in the right of Honeywell, or if such suit is settled, such a person shall be indemnified under such law only against expenses (including attorneys' fees) actually and reasonably incurred in the defense or settlement of such suit if such person acted in good faith and in a manner such person reasonably believed to be in, or not opposed to, the best interests of</w:t>
      </w:r>
    </w:p>
    <w:p>
      <w:pPr>
        <w:spacing w:after="0" w:line="29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139"/>
          </w:cols>
          <w:pgMar w:left="320" w:top="110" w:right="1440" w:bottom="1440" w:gutter="0" w:footer="0" w:header="0"/>
        </w:sectPr>
      </w:pPr>
    </w:p>
    <w:bookmarkStart w:id="30" w:name="page31"/>
    <w:bookmarkEnd w:id="30"/>
    <w:p>
      <w:pPr>
        <w:jc w:val="both"/>
        <w:ind w:right="1819"/>
        <w:spacing w:after="0" w:line="274" w:lineRule="auto"/>
        <w:rPr>
          <w:sz w:val="20"/>
          <w:szCs w:val="20"/>
          <w:color w:val="auto"/>
        </w:rPr>
      </w:pPr>
      <w:r>
        <w:rPr>
          <w:rFonts w:ascii="Courier New" w:cs="Courier New" w:eastAsia="Courier New" w:hAnsi="Courier New"/>
          <w:sz w:val="18"/>
          <w:szCs w:val="18"/>
          <w:color w:val="auto"/>
        </w:rPr>
        <w:t>Honeywell except that if such a person is adjudged to be liable in such suit to Honeywell, such person cannot be made whole even for expenses unless the court determines that such person is fairly and reasonably entitled to indemnity for such expenses.</w:t>
      </w:r>
    </w:p>
    <w:p>
      <w:pPr>
        <w:spacing w:after="0" w:line="200" w:lineRule="exact"/>
        <w:rPr>
          <w:sz w:val="20"/>
          <w:szCs w:val="20"/>
          <w:color w:val="auto"/>
        </w:rPr>
      </w:pPr>
    </w:p>
    <w:p>
      <w:pPr>
        <w:spacing w:after="0" w:line="286" w:lineRule="exact"/>
        <w:rPr>
          <w:sz w:val="20"/>
          <w:szCs w:val="20"/>
          <w:color w:val="auto"/>
        </w:rPr>
      </w:pPr>
    </w:p>
    <w:p>
      <w:pPr>
        <w:ind w:right="1819" w:firstLine="421"/>
        <w:spacing w:after="0" w:line="292" w:lineRule="auto"/>
        <w:rPr>
          <w:sz w:val="20"/>
          <w:szCs w:val="20"/>
          <w:color w:val="auto"/>
        </w:rPr>
      </w:pPr>
      <w:r>
        <w:rPr>
          <w:rFonts w:ascii="Courier New" w:cs="Courier New" w:eastAsia="Courier New" w:hAnsi="Courier New"/>
          <w:sz w:val="18"/>
          <w:szCs w:val="18"/>
          <w:color w:val="auto"/>
        </w:rPr>
        <w:t>In addition, Honeywell maintains directors' and officers' reimbursement and liability insurance pursuant to standard form policies. The risks covered by such policies include certain liabilities under the securities laws.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1480" w:right="2239" w:hanging="1368"/>
        <w:spacing w:after="0" w:line="250" w:lineRule="auto"/>
        <w:tabs>
          <w:tab w:leader="none" w:pos="14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 Honeywell's Restated Certificate of Incorporation (incorporated by reference to Exhibit 3(i) to our Form 8-K filed December 3, 1999).</w:t>
      </w:r>
    </w:p>
    <w:p>
      <w:pPr>
        <w:spacing w:after="0" w:line="2" w:lineRule="exact"/>
        <w:rPr>
          <w:sz w:val="20"/>
          <w:szCs w:val="20"/>
          <w:color w:val="auto"/>
        </w:rPr>
      </w:pPr>
    </w:p>
    <w:p>
      <w:pPr>
        <w:jc w:val="both"/>
        <w:ind w:left="1480" w:right="3279" w:hanging="1368"/>
        <w:spacing w:after="0" w:line="238" w:lineRule="auto"/>
        <w:tabs>
          <w:tab w:leader="none" w:pos="14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 Honeywell's By-laws, as amended (incorporated by reference to Exhibit 3(ii) to our Form 8-K filed December 3, 1999).</w:t>
      </w:r>
    </w:p>
    <w:p>
      <w:pPr>
        <w:spacing w:after="0" w:line="1" w:lineRule="exact"/>
        <w:rPr>
          <w:sz w:val="20"/>
          <w:szCs w:val="20"/>
          <w:color w:val="auto"/>
        </w:rPr>
      </w:pPr>
    </w:p>
    <w:p>
      <w:pPr>
        <w:ind w:left="1800" w:right="2339" w:hanging="1371"/>
        <w:spacing w:after="0" w:line="238" w:lineRule="auto"/>
        <w:tabs>
          <w:tab w:leader="none" w:pos="148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Opinion of J. Edward Smith, Esq., with respect to the legality of the securities being registered hereby (filed herewith).</w:t>
      </w: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 Consent of PricewaterhouseCoopers LLP (filed herewith).</w:t>
      </w: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 Consent of Deloitte &amp; Touche LLP (filed herewith).</w:t>
      </w:r>
    </w:p>
    <w:p>
      <w:pPr>
        <w:ind w:left="1480" w:right="2239" w:hanging="1473"/>
        <w:spacing w:after="0" w:line="238" w:lineRule="auto"/>
        <w:tabs>
          <w:tab w:leader="none" w:pos="146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8"/>
          <w:szCs w:val="18"/>
          <w:color w:val="auto"/>
        </w:rPr>
        <w:t>-- The consent of J. Edward Smith, Esq. is contained in his opinion filed as Exhibit 5 to this registration statement.</w:t>
      </w:r>
    </w:p>
    <w:p>
      <w:pPr>
        <w:spacing w:after="0" w:line="1" w:lineRule="exact"/>
        <w:rPr>
          <w:sz w:val="20"/>
          <w:szCs w:val="20"/>
          <w:color w:val="auto"/>
        </w:rPr>
      </w:pP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 Powers of Attorney (filed herewith).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20" w:right="1819" w:firstLine="430"/>
        <w:spacing w:after="0" w:line="346" w:lineRule="auto"/>
        <w:tabs>
          <w:tab w:leader="none" w:pos="126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0" w:lineRule="exact"/>
        <w:rPr>
          <w:rFonts w:ascii="Courier New" w:cs="Courier New" w:eastAsia="Courier New" w:hAnsi="Courier New"/>
          <w:sz w:val="18"/>
          <w:szCs w:val="18"/>
          <w:color w:val="auto"/>
        </w:rPr>
      </w:pPr>
    </w:p>
    <w:p>
      <w:pPr>
        <w:spacing w:after="0" w:line="224" w:lineRule="exact"/>
        <w:rPr>
          <w:rFonts w:ascii="Courier New" w:cs="Courier New" w:eastAsia="Courier New" w:hAnsi="Courier New"/>
          <w:sz w:val="18"/>
          <w:szCs w:val="18"/>
          <w:color w:val="auto"/>
        </w:rPr>
      </w:pPr>
    </w:p>
    <w:p>
      <w:pPr>
        <w:ind w:left="740" w:right="2119" w:firstLine="426"/>
        <w:spacing w:after="0" w:line="346" w:lineRule="auto"/>
        <w:tabs>
          <w:tab w:leader="none" w:pos="1582"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0" w:lineRule="exact"/>
        <w:rPr>
          <w:rFonts w:ascii="Courier New" w:cs="Courier New" w:eastAsia="Courier New" w:hAnsi="Courier New"/>
          <w:sz w:val="18"/>
          <w:szCs w:val="18"/>
          <w:color w:val="auto"/>
        </w:rPr>
      </w:pPr>
    </w:p>
    <w:p>
      <w:pPr>
        <w:spacing w:after="0" w:line="224" w:lineRule="exact"/>
        <w:rPr>
          <w:rFonts w:ascii="Courier New" w:cs="Courier New" w:eastAsia="Courier New" w:hAnsi="Courier New"/>
          <w:sz w:val="18"/>
          <w:szCs w:val="18"/>
          <w:color w:val="auto"/>
        </w:rPr>
      </w:pPr>
    </w:p>
    <w:p>
      <w:pPr>
        <w:ind w:left="740" w:right="1699" w:firstLine="426"/>
        <w:spacing w:after="0" w:line="265" w:lineRule="auto"/>
        <w:tabs>
          <w:tab w:leader="none" w:pos="1688"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00" w:lineRule="exact"/>
        <w:rPr>
          <w:rFonts w:ascii="Courier New" w:cs="Courier New" w:eastAsia="Courier New" w:hAnsi="Courier New"/>
          <w:sz w:val="18"/>
          <w:szCs w:val="18"/>
          <w:color w:val="auto"/>
        </w:rPr>
      </w:pPr>
    </w:p>
    <w:p>
      <w:pPr>
        <w:spacing w:after="0" w:line="294" w:lineRule="exact"/>
        <w:rPr>
          <w:rFonts w:ascii="Courier New" w:cs="Courier New" w:eastAsia="Courier New" w:hAnsi="Courier New"/>
          <w:sz w:val="18"/>
          <w:szCs w:val="18"/>
          <w:color w:val="auto"/>
        </w:rPr>
      </w:pPr>
    </w:p>
    <w:p>
      <w:pPr>
        <w:ind w:left="740" w:right="1699" w:firstLine="426"/>
        <w:spacing w:after="0" w:line="344" w:lineRule="auto"/>
        <w:tabs>
          <w:tab w:leader="none" w:pos="1793"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36" w:lineRule="exact"/>
        <w:rPr>
          <w:sz w:val="20"/>
          <w:szCs w:val="20"/>
          <w:color w:val="auto"/>
        </w:rPr>
      </w:pPr>
    </w:p>
    <w:p>
      <w:pPr>
        <w:ind w:left="420" w:right="1699" w:firstLine="421"/>
        <w:spacing w:after="0" w:line="306"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ectPr>
          <w:pgSz w:w="11900" w:h="16838" w:orient="portrait"/>
          <w:cols w:equalWidth="0" w:num="1">
            <w:col w:w="10139"/>
          </w:cols>
          <w:pgMar w:left="320" w:top="893" w:right="1440" w:bottom="0" w:gutter="0" w:footer="0" w:header="0"/>
        </w:sectPr>
      </w:pPr>
    </w:p>
    <w:bookmarkStart w:id="31" w:name="page32"/>
    <w:bookmarkEnd w:id="31"/>
    <w:p>
      <w:pPr>
        <w:ind w:left="-9" w:right="1699" w:firstLine="430"/>
        <w:spacing w:after="0" w:line="265" w:lineRule="auto"/>
        <w:tabs>
          <w:tab w:leader="none" w:pos="83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Courier New" w:cs="Courier New" w:eastAsia="Courier New" w:hAnsi="Courier New"/>
          <w:sz w:val="18"/>
          <w:szCs w:val="18"/>
          <w:color w:val="auto"/>
        </w:rPr>
      </w:pPr>
    </w:p>
    <w:p>
      <w:pPr>
        <w:spacing w:after="0" w:line="294" w:lineRule="exact"/>
        <w:rPr>
          <w:rFonts w:ascii="Courier New" w:cs="Courier New" w:eastAsia="Courier New" w:hAnsi="Courier New"/>
          <w:sz w:val="18"/>
          <w:szCs w:val="18"/>
          <w:color w:val="auto"/>
        </w:rPr>
      </w:pPr>
    </w:p>
    <w:p>
      <w:pPr>
        <w:ind w:left="-9" w:right="1919" w:firstLine="430"/>
        <w:spacing w:after="0" w:line="292" w:lineRule="auto"/>
        <w:tabs>
          <w:tab w:leader="none" w:pos="83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0" w:lineRule="exact"/>
        <w:rPr>
          <w:rFonts w:ascii="Courier New" w:cs="Courier New" w:eastAsia="Courier New" w:hAnsi="Courier New"/>
          <w:sz w:val="18"/>
          <w:szCs w:val="18"/>
          <w:color w:val="auto"/>
        </w:rPr>
      </w:pPr>
    </w:p>
    <w:p>
      <w:pPr>
        <w:spacing w:after="0" w:line="270" w:lineRule="exact"/>
        <w:rPr>
          <w:rFonts w:ascii="Courier New" w:cs="Courier New" w:eastAsia="Courier New" w:hAnsi="Courier New"/>
          <w:sz w:val="18"/>
          <w:szCs w:val="18"/>
          <w:color w:val="auto"/>
        </w:rPr>
      </w:pPr>
    </w:p>
    <w:p>
      <w:pPr>
        <w:ind w:left="-429" w:right="1819" w:firstLine="429"/>
        <w:spacing w:after="0" w:line="293" w:lineRule="auto"/>
        <w:tabs>
          <w:tab w:leader="none" w:pos="41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74" w:lineRule="exact"/>
        <w:rPr>
          <w:sz w:val="20"/>
          <w:szCs w:val="20"/>
          <w:color w:val="auto"/>
        </w:rPr>
      </w:pPr>
    </w:p>
    <w:p>
      <w:pPr>
        <w:ind w:left="3571"/>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9710"/>
          </w:cols>
          <w:pgMar w:left="749" w:top="515" w:right="1440" w:bottom="1440" w:gutter="0" w:footer="0" w:header="0"/>
        </w:sectPr>
      </w:pPr>
    </w:p>
    <w:bookmarkStart w:id="32" w:name="page33"/>
    <w:bookmarkEnd w:id="32"/>
    <w:p>
      <w:pPr>
        <w:jc w:val="center"/>
        <w:ind w:right="169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699" w:firstLine="421"/>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amended registration statement to be signed on its behalf by the undersigned, thereunto duly authorized, in the Township of Morris, State of New Jersey, on the 29th day of February, 2000.</w:t>
      </w:r>
    </w:p>
    <w:p>
      <w:pPr>
        <w:spacing w:after="0" w:line="200" w:lineRule="exact"/>
        <w:rPr>
          <w:sz w:val="20"/>
          <w:szCs w:val="20"/>
          <w:color w:val="auto"/>
        </w:rPr>
      </w:pPr>
    </w:p>
    <w:p>
      <w:pPr>
        <w:spacing w:after="0" w:line="29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HONEYWELL INTERNATIONAL INC.</w:t>
      </w:r>
    </w:p>
    <w:p>
      <w:pPr>
        <w:sectPr>
          <w:pgSz w:w="11900" w:h="16838" w:orient="portrait"/>
          <w:cols w:equalWidth="0" w:num="1">
            <w:col w:w="10139"/>
          </w:cols>
          <w:pgMar w:left="320" w:top="893" w:right="1440" w:bottom="0" w:gutter="0" w:footer="0" w:header="0"/>
        </w:sectPr>
      </w:pP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F. WALLMAN</w:t>
      </w:r>
    </w:p>
    <w:p>
      <w:pPr>
        <w:spacing w:after="0" w:line="114" w:lineRule="exact"/>
        <w:rPr>
          <w:sz w:val="20"/>
          <w:szCs w:val="20"/>
          <w:color w:val="auto"/>
        </w:rPr>
      </w:pPr>
    </w:p>
    <w:p>
      <w:pPr>
        <w:sectPr>
          <w:pgSz w:w="11900" w:h="16838" w:orient="portrait"/>
          <w:cols w:equalWidth="0" w:num="2">
            <w:col w:w="4760" w:space="720"/>
            <w:col w:w="4659"/>
          </w:cols>
          <w:pgMar w:left="320" w:top="893" w:right="1440" w:bottom="0" w:gutter="0" w:footer="0" w:header="0"/>
          <w:type w:val="continuous"/>
        </w:sectPr>
      </w:pPr>
    </w:p>
    <w:p>
      <w:pPr>
        <w:ind w:left="4960"/>
        <w:spacing w:after="0"/>
        <w:rPr>
          <w:sz w:val="20"/>
          <w:szCs w:val="20"/>
          <w:color w:val="auto"/>
        </w:rPr>
      </w:pPr>
      <w:r>
        <w:rPr>
          <w:rFonts w:ascii="Courier New" w:cs="Courier New" w:eastAsia="Courier New" w:hAnsi="Courier New"/>
          <w:sz w:val="18"/>
          <w:szCs w:val="18"/>
          <w:color w:val="auto"/>
        </w:rPr>
        <w:t>.................................</w:t>
      </w:r>
    </w:p>
    <w:p>
      <w:pPr>
        <w:spacing w:after="0" w:line="109"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RICHARD F. WALLMAN</w:t>
      </w:r>
    </w:p>
    <w:p>
      <w:pPr>
        <w:spacing w:after="0" w:line="2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SENIOR VICE PRESIDENT AND</w:t>
      </w:r>
    </w:p>
    <w:p>
      <w:pPr>
        <w:ind w:left="538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374" w:lineRule="exact"/>
        <w:rPr>
          <w:sz w:val="20"/>
          <w:szCs w:val="20"/>
          <w:color w:val="auto"/>
        </w:rPr>
      </w:pPr>
    </w:p>
    <w:p>
      <w:pPr>
        <w:ind w:right="2119" w:firstLine="421"/>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amended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880" w:type="dxa"/>
            <w:vAlign w:val="bottom"/>
          </w:tcPr>
          <w:p>
            <w:pPr>
              <w:spacing w:after="0"/>
              <w:rPr>
                <w:sz w:val="17"/>
                <w:szCs w:val="17"/>
                <w:color w:val="auto"/>
              </w:rPr>
            </w:pPr>
          </w:p>
        </w:tc>
        <w:tc>
          <w:tcPr>
            <w:tcW w:w="2540" w:type="dxa"/>
            <w:vAlign w:val="bottom"/>
          </w:tcPr>
          <w:p>
            <w:pPr>
              <w:jc w:val="center"/>
              <w:ind w:right="2032"/>
              <w:spacing w:after="0"/>
              <w:rPr>
                <w:sz w:val="20"/>
                <w:szCs w:val="20"/>
                <w:color w:val="auto"/>
              </w:rPr>
            </w:pPr>
            <w:r>
              <w:rPr>
                <w:rFonts w:ascii="Courier New" w:cs="Courier New" w:eastAsia="Courier New" w:hAnsi="Courier New"/>
                <w:sz w:val="18"/>
                <w:szCs w:val="18"/>
                <w:color w:val="auto"/>
                <w:w w:val="97"/>
              </w:rPr>
              <w:t>NAME</w:t>
            </w:r>
          </w:p>
        </w:tc>
        <w:tc>
          <w:tcPr>
            <w:tcW w:w="4360" w:type="dxa"/>
            <w:vAlign w:val="bottom"/>
          </w:tcPr>
          <w:p>
            <w:pPr>
              <w:ind w:left="1680"/>
              <w:spacing w:after="0"/>
              <w:rPr>
                <w:sz w:val="20"/>
                <w:szCs w:val="20"/>
                <w:color w:val="auto"/>
              </w:rPr>
            </w:pPr>
            <w:r>
              <w:rPr>
                <w:rFonts w:ascii="Courier New" w:cs="Courier New" w:eastAsia="Courier New" w:hAnsi="Courier New"/>
                <w:sz w:val="18"/>
                <w:szCs w:val="18"/>
                <w:color w:val="auto"/>
              </w:rPr>
              <w:t>TITLE</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w w:val="92"/>
              </w:rPr>
              <w:t>DATE</w:t>
            </w:r>
          </w:p>
        </w:tc>
      </w:tr>
      <w:tr>
        <w:trPr>
          <w:trHeight w:val="296"/>
        </w:trPr>
        <w:tc>
          <w:tcPr>
            <w:tcW w:w="1880" w:type="dxa"/>
            <w:vAlign w:val="bottom"/>
          </w:tcPr>
          <w:p>
            <w:pPr>
              <w:spacing w:after="0"/>
              <w:rPr>
                <w:sz w:val="24"/>
                <w:szCs w:val="24"/>
                <w:color w:val="auto"/>
              </w:rPr>
            </w:pPr>
          </w:p>
        </w:tc>
        <w:tc>
          <w:tcPr>
            <w:tcW w:w="2540" w:type="dxa"/>
            <w:vAlign w:val="bottom"/>
          </w:tcPr>
          <w:p>
            <w:pPr>
              <w:jc w:val="center"/>
              <w:ind w:right="2032"/>
              <w:spacing w:after="0"/>
              <w:rPr>
                <w:sz w:val="20"/>
                <w:szCs w:val="20"/>
                <w:color w:val="auto"/>
              </w:rPr>
            </w:pPr>
            <w:r>
              <w:rPr>
                <w:rFonts w:ascii="Courier New" w:cs="Courier New" w:eastAsia="Courier New" w:hAnsi="Courier New"/>
                <w:sz w:val="18"/>
                <w:szCs w:val="18"/>
                <w:color w:val="auto"/>
                <w:w w:val="97"/>
              </w:rPr>
              <w:t>----</w:t>
            </w:r>
          </w:p>
        </w:tc>
        <w:tc>
          <w:tcPr>
            <w:tcW w:w="4360" w:type="dxa"/>
            <w:vAlign w:val="bottom"/>
          </w:tcPr>
          <w:p>
            <w:pPr>
              <w:ind w:left="16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w w:val="92"/>
              </w:rPr>
              <w:t>----</w:t>
            </w: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 and Chairman of the Board</w:t>
            </w:r>
          </w:p>
        </w:tc>
        <w:tc>
          <w:tcPr>
            <w:tcW w:w="900" w:type="dxa"/>
            <w:vAlign w:val="bottom"/>
          </w:tcPr>
          <w:p>
            <w:pPr>
              <w:spacing w:after="0"/>
              <w:rPr>
                <w:sz w:val="24"/>
                <w:szCs w:val="24"/>
                <w:color w:val="auto"/>
              </w:rPr>
            </w:pPr>
          </w:p>
        </w:tc>
      </w:tr>
      <w:tr>
        <w:trPr>
          <w:trHeight w:val="203"/>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(LAWRENCE</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A. BOSSIDY)</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 and Chief Executive Officer</w:t>
            </w:r>
          </w:p>
        </w:tc>
        <w:tc>
          <w:tcPr>
            <w:tcW w:w="900" w:type="dxa"/>
            <w:vAlign w:val="bottom"/>
          </w:tcPr>
          <w:p>
            <w:pPr>
              <w:spacing w:after="0"/>
              <w:rPr>
                <w:sz w:val="24"/>
                <w:szCs w:val="24"/>
                <w:color w:val="auto"/>
              </w:rPr>
            </w:pPr>
          </w:p>
        </w:tc>
      </w:tr>
      <w:tr>
        <w:trPr>
          <w:trHeight w:val="203"/>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4420" w:type="dxa"/>
            <w:vAlign w:val="bottom"/>
            <w:gridSpan w:val="2"/>
          </w:tcPr>
          <w:p>
            <w:pPr>
              <w:jc w:val="center"/>
              <w:ind w:right="232"/>
              <w:spacing w:after="0"/>
              <w:rPr>
                <w:sz w:val="20"/>
                <w:szCs w:val="20"/>
                <w:color w:val="auto"/>
              </w:rPr>
            </w:pPr>
            <w:r>
              <w:rPr>
                <w:rFonts w:ascii="Courier New" w:cs="Courier New" w:eastAsia="Courier New" w:hAnsi="Courier New"/>
                <w:sz w:val="18"/>
                <w:szCs w:val="18"/>
                <w:color w:val="auto"/>
                <w:w w:val="97"/>
              </w:rPr>
              <w:t>(MICHAEL R. BONSIGNORE)</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900" w:type="dxa"/>
            <w:vAlign w:val="bottom"/>
          </w:tcPr>
          <w:p>
            <w:pPr>
              <w:spacing w:after="0"/>
              <w:rPr>
                <w:sz w:val="24"/>
                <w:szCs w:val="24"/>
                <w:color w:val="auto"/>
              </w:rPr>
            </w:pPr>
          </w:p>
        </w:tc>
      </w:tr>
      <w:tr>
        <w:trPr>
          <w:trHeight w:val="203"/>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4420" w:type="dxa"/>
            <w:vAlign w:val="bottom"/>
            <w:gridSpan w:val="2"/>
          </w:tcPr>
          <w:p>
            <w:pPr>
              <w:jc w:val="center"/>
              <w:ind w:right="132"/>
              <w:spacing w:after="0"/>
              <w:rPr>
                <w:sz w:val="20"/>
                <w:szCs w:val="20"/>
                <w:color w:val="auto"/>
              </w:rPr>
            </w:pPr>
            <w:r>
              <w:rPr>
                <w:rFonts w:ascii="Courier New" w:cs="Courier New" w:eastAsia="Courier New" w:hAnsi="Courier New"/>
                <w:sz w:val="18"/>
                <w:szCs w:val="18"/>
                <w:color w:val="auto"/>
                <w:w w:val="96"/>
              </w:rPr>
              <w:t>(HANS W. BECHERER)</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900" w:type="dxa"/>
            <w:vAlign w:val="bottom"/>
          </w:tcPr>
          <w:p>
            <w:pPr>
              <w:spacing w:after="0"/>
              <w:rPr>
                <w:sz w:val="24"/>
                <w:szCs w:val="24"/>
                <w:color w:val="auto"/>
              </w:rPr>
            </w:pPr>
          </w:p>
        </w:tc>
      </w:tr>
      <w:tr>
        <w:trPr>
          <w:trHeight w:val="203"/>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4420" w:type="dxa"/>
            <w:vAlign w:val="bottom"/>
            <w:gridSpan w:val="2"/>
          </w:tcPr>
          <w:p>
            <w:pPr>
              <w:jc w:val="center"/>
              <w:ind w:right="252"/>
              <w:spacing w:after="0"/>
              <w:rPr>
                <w:sz w:val="20"/>
                <w:szCs w:val="20"/>
                <w:color w:val="auto"/>
              </w:rPr>
            </w:pPr>
            <w:r>
              <w:rPr>
                <w:rFonts w:ascii="Courier New" w:cs="Courier New" w:eastAsia="Courier New" w:hAnsi="Courier New"/>
                <w:sz w:val="18"/>
                <w:szCs w:val="18"/>
                <w:color w:val="auto"/>
                <w:w w:val="97"/>
              </w:rPr>
              <w:t>(GORDON M. BETHUNE)</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900" w:type="dxa"/>
            <w:vAlign w:val="bottom"/>
          </w:tcPr>
          <w:p>
            <w:pPr>
              <w:spacing w:after="0"/>
              <w:rPr>
                <w:sz w:val="24"/>
                <w:szCs w:val="24"/>
                <w:color w:val="auto"/>
              </w:rPr>
            </w:pPr>
          </w:p>
        </w:tc>
      </w:tr>
      <w:tr>
        <w:trPr>
          <w:trHeight w:val="203"/>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4420" w:type="dxa"/>
            <w:vAlign w:val="bottom"/>
            <w:gridSpan w:val="2"/>
          </w:tcPr>
          <w:p>
            <w:pPr>
              <w:jc w:val="center"/>
              <w:ind w:right="132"/>
              <w:spacing w:after="0"/>
              <w:rPr>
                <w:sz w:val="20"/>
                <w:szCs w:val="20"/>
                <w:color w:val="auto"/>
              </w:rPr>
            </w:pPr>
            <w:r>
              <w:rPr>
                <w:rFonts w:ascii="Courier New" w:cs="Courier New" w:eastAsia="Courier New" w:hAnsi="Courier New"/>
                <w:sz w:val="18"/>
                <w:szCs w:val="18"/>
                <w:color w:val="auto"/>
                <w:w w:val="98"/>
              </w:rPr>
              <w:t>(MARSHALL N. CARTER)</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900" w:type="dxa"/>
            <w:vAlign w:val="bottom"/>
          </w:tcPr>
          <w:p>
            <w:pPr>
              <w:spacing w:after="0"/>
              <w:rPr>
                <w:sz w:val="24"/>
                <w:szCs w:val="24"/>
                <w:color w:val="auto"/>
              </w:rPr>
            </w:pPr>
          </w:p>
        </w:tc>
      </w:tr>
      <w:tr>
        <w:trPr>
          <w:trHeight w:val="203"/>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4420" w:type="dxa"/>
            <w:vAlign w:val="bottom"/>
            <w:gridSpan w:val="2"/>
          </w:tcPr>
          <w:p>
            <w:pPr>
              <w:jc w:val="center"/>
              <w:ind w:right="252"/>
              <w:spacing w:after="0"/>
              <w:rPr>
                <w:sz w:val="20"/>
                <w:szCs w:val="20"/>
                <w:color w:val="auto"/>
              </w:rPr>
            </w:pPr>
            <w:r>
              <w:rPr>
                <w:rFonts w:ascii="Courier New" w:cs="Courier New" w:eastAsia="Courier New" w:hAnsi="Courier New"/>
                <w:sz w:val="18"/>
                <w:szCs w:val="18"/>
                <w:color w:val="auto"/>
                <w:w w:val="97"/>
              </w:rPr>
              <w:t>(JAIME CHICO PARDO)</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900" w:type="dxa"/>
            <w:vAlign w:val="bottom"/>
          </w:tcPr>
          <w:p>
            <w:pPr>
              <w:spacing w:after="0"/>
              <w:rPr>
                <w:sz w:val="24"/>
                <w:szCs w:val="24"/>
                <w:color w:val="auto"/>
              </w:rPr>
            </w:pPr>
          </w:p>
        </w:tc>
      </w:tr>
      <w:tr>
        <w:trPr>
          <w:trHeight w:val="203"/>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4420" w:type="dxa"/>
            <w:vAlign w:val="bottom"/>
            <w:gridSpan w:val="2"/>
          </w:tcPr>
          <w:p>
            <w:pPr>
              <w:jc w:val="center"/>
              <w:ind w:right="132"/>
              <w:spacing w:after="0"/>
              <w:rPr>
                <w:sz w:val="20"/>
                <w:szCs w:val="20"/>
                <w:color w:val="auto"/>
              </w:rPr>
            </w:pPr>
            <w:r>
              <w:rPr>
                <w:rFonts w:ascii="Courier New" w:cs="Courier New" w:eastAsia="Courier New" w:hAnsi="Courier New"/>
                <w:sz w:val="18"/>
                <w:szCs w:val="18"/>
                <w:color w:val="auto"/>
                <w:w w:val="97"/>
              </w:rPr>
              <w:t>(ANN M. FUDGE)</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900" w:type="dxa"/>
            <w:vAlign w:val="bottom"/>
          </w:tcPr>
          <w:p>
            <w:pPr>
              <w:spacing w:after="0"/>
              <w:rPr>
                <w:sz w:val="24"/>
                <w:szCs w:val="24"/>
                <w:color w:val="auto"/>
              </w:rPr>
            </w:pPr>
          </w:p>
        </w:tc>
      </w:tr>
      <w:tr>
        <w:trPr>
          <w:trHeight w:val="203"/>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4420" w:type="dxa"/>
            <w:vAlign w:val="bottom"/>
            <w:gridSpan w:val="2"/>
          </w:tcPr>
          <w:p>
            <w:pPr>
              <w:jc w:val="center"/>
              <w:ind w:right="232"/>
              <w:spacing w:after="0"/>
              <w:rPr>
                <w:sz w:val="20"/>
                <w:szCs w:val="20"/>
                <w:color w:val="auto"/>
              </w:rPr>
            </w:pPr>
            <w:r>
              <w:rPr>
                <w:rFonts w:ascii="Courier New" w:cs="Courier New" w:eastAsia="Courier New" w:hAnsi="Courier New"/>
                <w:sz w:val="18"/>
                <w:szCs w:val="18"/>
                <w:color w:val="auto"/>
                <w:w w:val="96"/>
              </w:rPr>
              <w:t>(JAMES J. HOWARD)</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900" w:type="dxa"/>
            <w:vAlign w:val="bottom"/>
          </w:tcPr>
          <w:p>
            <w:pPr>
              <w:spacing w:after="0"/>
              <w:rPr>
                <w:sz w:val="24"/>
                <w:szCs w:val="24"/>
                <w:color w:val="auto"/>
              </w:rPr>
            </w:pPr>
          </w:p>
        </w:tc>
      </w:tr>
      <w:tr>
        <w:trPr>
          <w:trHeight w:val="203"/>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4420" w:type="dxa"/>
            <w:vAlign w:val="bottom"/>
            <w:gridSpan w:val="2"/>
          </w:tcPr>
          <w:p>
            <w:pPr>
              <w:jc w:val="center"/>
              <w:ind w:right="132"/>
              <w:spacing w:after="0"/>
              <w:rPr>
                <w:sz w:val="20"/>
                <w:szCs w:val="20"/>
                <w:color w:val="auto"/>
              </w:rPr>
            </w:pPr>
            <w:r>
              <w:rPr>
                <w:rFonts w:ascii="Courier New" w:cs="Courier New" w:eastAsia="Courier New" w:hAnsi="Courier New"/>
                <w:sz w:val="18"/>
                <w:szCs w:val="18"/>
                <w:color w:val="auto"/>
                <w:w w:val="97"/>
              </w:rPr>
              <w:t>(BRUCE KARATZ)</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900" w:type="dxa"/>
            <w:vAlign w:val="bottom"/>
          </w:tcPr>
          <w:p>
            <w:pPr>
              <w:spacing w:after="0"/>
              <w:rPr>
                <w:sz w:val="24"/>
                <w:szCs w:val="24"/>
                <w:color w:val="auto"/>
              </w:rPr>
            </w:pPr>
          </w:p>
        </w:tc>
      </w:tr>
      <w:tr>
        <w:trPr>
          <w:trHeight w:val="202"/>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4420" w:type="dxa"/>
            <w:vAlign w:val="bottom"/>
            <w:gridSpan w:val="2"/>
          </w:tcPr>
          <w:p>
            <w:pPr>
              <w:jc w:val="center"/>
              <w:ind w:right="252"/>
              <w:spacing w:after="0"/>
              <w:rPr>
                <w:sz w:val="20"/>
                <w:szCs w:val="20"/>
                <w:color w:val="auto"/>
              </w:rPr>
            </w:pPr>
            <w:r>
              <w:rPr>
                <w:rFonts w:ascii="Courier New" w:cs="Courier New" w:eastAsia="Courier New" w:hAnsi="Courier New"/>
                <w:sz w:val="18"/>
                <w:szCs w:val="18"/>
                <w:color w:val="auto"/>
                <w:w w:val="97"/>
              </w:rPr>
              <w:t>(ROBERT P. LUCIANO)</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1880" w:type="dxa"/>
            <w:vAlign w:val="bottom"/>
          </w:tcPr>
          <w:p>
            <w:pPr>
              <w:spacing w:after="0"/>
              <w:rPr>
                <w:sz w:val="24"/>
                <w:szCs w:val="24"/>
                <w:color w:val="auto"/>
              </w:rPr>
            </w:pPr>
          </w:p>
        </w:tc>
        <w:tc>
          <w:tcPr>
            <w:tcW w:w="2540" w:type="dxa"/>
            <w:vAlign w:val="bottom"/>
          </w:tcPr>
          <w:p>
            <w:pPr>
              <w:jc w:val="center"/>
              <w:ind w:right="2112"/>
              <w:spacing w:after="0"/>
              <w:rPr>
                <w:sz w:val="20"/>
                <w:szCs w:val="20"/>
                <w:color w:val="auto"/>
              </w:rPr>
            </w:pPr>
            <w:r>
              <w:rPr>
                <w:rFonts w:ascii="Courier New" w:cs="Courier New" w:eastAsia="Courier New" w:hAnsi="Courier New"/>
                <w:sz w:val="18"/>
                <w:szCs w:val="18"/>
                <w:color w:val="auto"/>
                <w:w w:val="92"/>
              </w:rPr>
              <w:t>*</w:t>
            </w:r>
          </w:p>
        </w:tc>
        <w:tc>
          <w:tcPr>
            <w:tcW w:w="43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900" w:type="dxa"/>
            <w:vAlign w:val="bottom"/>
          </w:tcPr>
          <w:p>
            <w:pPr>
              <w:spacing w:after="0"/>
              <w:rPr>
                <w:sz w:val="24"/>
                <w:szCs w:val="24"/>
                <w:color w:val="auto"/>
              </w:rPr>
            </w:pPr>
          </w:p>
        </w:tc>
      </w:tr>
      <w:tr>
        <w:trPr>
          <w:trHeight w:val="203"/>
        </w:trPr>
        <w:tc>
          <w:tcPr>
            <w:tcW w:w="4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4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6"/>
        </w:trPr>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(RUSSELL</w:t>
            </w:r>
          </w:p>
        </w:tc>
        <w:tc>
          <w:tcPr>
            <w:tcW w:w="2540" w:type="dxa"/>
            <w:vAlign w:val="bottom"/>
          </w:tcPr>
          <w:p>
            <w:pPr>
              <w:ind w:left="120"/>
              <w:spacing w:after="0"/>
              <w:rPr>
                <w:sz w:val="20"/>
                <w:szCs w:val="20"/>
                <w:color w:val="auto"/>
              </w:rPr>
            </w:pPr>
            <w:r>
              <w:rPr>
                <w:rFonts w:ascii="Courier New" w:cs="Courier New" w:eastAsia="Courier New" w:hAnsi="Courier New"/>
                <w:sz w:val="18"/>
                <w:szCs w:val="18"/>
                <w:color w:val="auto"/>
              </w:rPr>
              <w:t>E. PALMER)</w:t>
            </w:r>
          </w:p>
        </w:tc>
        <w:tc>
          <w:tcPr>
            <w:tcW w:w="4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139"/>
          </w:cols>
          <w:pgMar w:left="320" w:top="893" w:right="1440" w:bottom="0" w:gutter="0" w:footer="0" w:header="0"/>
          <w:type w:val="continuous"/>
        </w:sectPr>
      </w:pPr>
    </w:p>
    <w:bookmarkStart w:id="33" w:name="page34"/>
    <w:bookmarkEnd w:id="33"/>
    <w:p>
      <w:pPr>
        <w:ind w:left="288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019"/>
          </w:cols>
          <w:pgMar w:left="1440" w:top="312" w:right="1440" w:bottom="1440" w:gutter="0" w:footer="0" w:header="0"/>
        </w:sectPr>
      </w:pPr>
    </w:p>
    <w:bookmarkStart w:id="34" w:name="page35"/>
    <w:bookmarkEnd w:id="3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3380" w:type="dxa"/>
            <w:vAlign w:val="bottom"/>
          </w:tcPr>
          <w:p>
            <w:pPr>
              <w:jc w:val="center"/>
              <w:ind w:right="1192"/>
              <w:spacing w:after="0"/>
              <w:rPr>
                <w:sz w:val="20"/>
                <w:szCs w:val="20"/>
                <w:color w:val="auto"/>
              </w:rPr>
            </w:pPr>
            <w:r>
              <w:rPr>
                <w:rFonts w:ascii="Courier New" w:cs="Courier New" w:eastAsia="Courier New" w:hAnsi="Courier New"/>
                <w:sz w:val="18"/>
                <w:szCs w:val="18"/>
                <w:color w:val="auto"/>
                <w:w w:val="97"/>
              </w:rPr>
              <w:t>NAME</w:t>
            </w:r>
          </w:p>
        </w:tc>
        <w:tc>
          <w:tcPr>
            <w:tcW w:w="3780" w:type="dxa"/>
            <w:vAlign w:val="bottom"/>
          </w:tcPr>
          <w:p>
            <w:pPr>
              <w:ind w:left="1680"/>
              <w:spacing w:after="0"/>
              <w:rPr>
                <w:sz w:val="20"/>
                <w:szCs w:val="20"/>
                <w:color w:val="auto"/>
              </w:rPr>
            </w:pPr>
            <w:r>
              <w:rPr>
                <w:rFonts w:ascii="Courier New" w:cs="Courier New" w:eastAsia="Courier New" w:hAnsi="Courier New"/>
                <w:sz w:val="18"/>
                <w:szCs w:val="18"/>
                <w:color w:val="auto"/>
              </w:rPr>
              <w:t>TITLE</w:t>
            </w:r>
          </w:p>
        </w:tc>
        <w:tc>
          <w:tcPr>
            <w:tcW w:w="2120" w:type="dxa"/>
            <w:vAlign w:val="bottom"/>
          </w:tcPr>
          <w:p>
            <w:pPr>
              <w:ind w:left="1060"/>
              <w:spacing w:after="0"/>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3380" w:type="dxa"/>
            <w:vAlign w:val="bottom"/>
          </w:tcPr>
          <w:p>
            <w:pPr>
              <w:jc w:val="center"/>
              <w:ind w:right="1192"/>
              <w:spacing w:after="0"/>
              <w:rPr>
                <w:sz w:val="20"/>
                <w:szCs w:val="20"/>
                <w:color w:val="auto"/>
              </w:rPr>
            </w:pPr>
            <w:r>
              <w:rPr>
                <w:rFonts w:ascii="Courier New" w:cs="Courier New" w:eastAsia="Courier New" w:hAnsi="Courier New"/>
                <w:sz w:val="18"/>
                <w:szCs w:val="18"/>
                <w:color w:val="auto"/>
                <w:w w:val="97"/>
              </w:rPr>
              <w:t>----</w:t>
            </w:r>
          </w:p>
        </w:tc>
        <w:tc>
          <w:tcPr>
            <w:tcW w:w="3780" w:type="dxa"/>
            <w:vAlign w:val="bottom"/>
          </w:tcPr>
          <w:p>
            <w:pPr>
              <w:ind w:left="1680"/>
              <w:spacing w:after="0"/>
              <w:rPr>
                <w:sz w:val="20"/>
                <w:szCs w:val="20"/>
                <w:color w:val="auto"/>
              </w:rPr>
            </w:pPr>
            <w:r>
              <w:rPr>
                <w:rFonts w:ascii="Courier New" w:cs="Courier New" w:eastAsia="Courier New" w:hAnsi="Courier New"/>
                <w:sz w:val="18"/>
                <w:szCs w:val="18"/>
                <w:color w:val="auto"/>
              </w:rPr>
              <w:t>-----</w:t>
            </w:r>
          </w:p>
        </w:tc>
        <w:tc>
          <w:tcPr>
            <w:tcW w:w="212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338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2"/>
              </w:rPr>
              <w:t>*</w:t>
            </w:r>
          </w:p>
        </w:tc>
        <w:tc>
          <w:tcPr>
            <w:tcW w:w="37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3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3380" w:type="dxa"/>
            <w:vAlign w:val="bottom"/>
          </w:tcPr>
          <w:p>
            <w:pPr>
              <w:jc w:val="center"/>
              <w:ind w:right="1172"/>
              <w:spacing w:after="0"/>
              <w:rPr>
                <w:sz w:val="20"/>
                <w:szCs w:val="20"/>
                <w:color w:val="auto"/>
              </w:rPr>
            </w:pPr>
            <w:r>
              <w:rPr>
                <w:rFonts w:ascii="Courier New" w:cs="Courier New" w:eastAsia="Courier New" w:hAnsi="Courier New"/>
                <w:sz w:val="18"/>
                <w:szCs w:val="18"/>
                <w:color w:val="auto"/>
                <w:w w:val="98"/>
              </w:rPr>
              <w:t>(IVAN G. SEIDENBERG)</w:t>
            </w:r>
          </w:p>
        </w:tc>
        <w:tc>
          <w:tcPr>
            <w:tcW w:w="3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338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2"/>
              </w:rPr>
              <w:t>*</w:t>
            </w:r>
          </w:p>
        </w:tc>
        <w:tc>
          <w:tcPr>
            <w:tcW w:w="37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3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3380" w:type="dxa"/>
            <w:vAlign w:val="bottom"/>
          </w:tcPr>
          <w:p>
            <w:pPr>
              <w:jc w:val="center"/>
              <w:ind w:right="1172"/>
              <w:spacing w:after="0"/>
              <w:rPr>
                <w:sz w:val="20"/>
                <w:szCs w:val="20"/>
                <w:color w:val="auto"/>
              </w:rPr>
            </w:pPr>
            <w:r>
              <w:rPr>
                <w:rFonts w:ascii="Courier New" w:cs="Courier New" w:eastAsia="Courier New" w:hAnsi="Courier New"/>
                <w:sz w:val="18"/>
                <w:szCs w:val="18"/>
                <w:color w:val="auto"/>
                <w:w w:val="96"/>
              </w:rPr>
              <w:t>(ANDREW C. SIGLER)</w:t>
            </w:r>
          </w:p>
        </w:tc>
        <w:tc>
          <w:tcPr>
            <w:tcW w:w="3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338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2"/>
              </w:rPr>
              <w:t>*</w:t>
            </w:r>
          </w:p>
        </w:tc>
        <w:tc>
          <w:tcPr>
            <w:tcW w:w="37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3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3380" w:type="dxa"/>
            <w:vAlign w:val="bottom"/>
          </w:tcPr>
          <w:p>
            <w:pPr>
              <w:jc w:val="center"/>
              <w:ind w:right="1172"/>
              <w:spacing w:after="0"/>
              <w:rPr>
                <w:sz w:val="20"/>
                <w:szCs w:val="20"/>
                <w:color w:val="auto"/>
              </w:rPr>
            </w:pPr>
            <w:r>
              <w:rPr>
                <w:rFonts w:ascii="Courier New" w:cs="Courier New" w:eastAsia="Courier New" w:hAnsi="Courier New"/>
                <w:sz w:val="18"/>
                <w:szCs w:val="18"/>
                <w:color w:val="auto"/>
                <w:w w:val="96"/>
              </w:rPr>
              <w:t>(JOHN R. STAFFORD)</w:t>
            </w:r>
          </w:p>
        </w:tc>
        <w:tc>
          <w:tcPr>
            <w:tcW w:w="3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338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2"/>
              </w:rPr>
              <w:t>*</w:t>
            </w:r>
          </w:p>
        </w:tc>
        <w:tc>
          <w:tcPr>
            <w:tcW w:w="378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3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3380" w:type="dxa"/>
            <w:vAlign w:val="bottom"/>
          </w:tcPr>
          <w:p>
            <w:pPr>
              <w:jc w:val="center"/>
              <w:ind w:right="1292"/>
              <w:spacing w:after="0"/>
              <w:rPr>
                <w:sz w:val="20"/>
                <w:szCs w:val="20"/>
                <w:color w:val="auto"/>
              </w:rPr>
            </w:pPr>
            <w:r>
              <w:rPr>
                <w:rFonts w:ascii="Courier New" w:cs="Courier New" w:eastAsia="Courier New" w:hAnsi="Courier New"/>
                <w:sz w:val="18"/>
                <w:szCs w:val="18"/>
                <w:color w:val="auto"/>
                <w:w w:val="97"/>
              </w:rPr>
              <w:t>(MICHAEL W. WRIGHT)</w:t>
            </w:r>
          </w:p>
        </w:tc>
        <w:tc>
          <w:tcPr>
            <w:tcW w:w="3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20" w:type="dxa"/>
            <w:vAlign w:val="bottom"/>
            <w:gridSpan w:val="2"/>
          </w:tcPr>
          <w:p>
            <w:pPr>
              <w:jc w:val="center"/>
              <w:ind w:right="132"/>
              <w:spacing w:after="0"/>
              <w:rPr>
                <w:sz w:val="20"/>
                <w:szCs w:val="20"/>
                <w:color w:val="auto"/>
              </w:rPr>
            </w:pPr>
            <w:r>
              <w:rPr>
                <w:rFonts w:ascii="Courier New" w:cs="Courier New" w:eastAsia="Courier New" w:hAnsi="Courier New"/>
                <w:sz w:val="18"/>
                <w:szCs w:val="18"/>
                <w:color w:val="auto"/>
                <w:w w:val="97"/>
              </w:rPr>
              <w:t>/s/ RICHARD F. WALLMAN</w:t>
            </w:r>
          </w:p>
        </w:tc>
        <w:tc>
          <w:tcPr>
            <w:tcW w:w="378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 and Chief</w:t>
            </w:r>
          </w:p>
        </w:tc>
        <w:tc>
          <w:tcPr>
            <w:tcW w:w="2120" w:type="dxa"/>
            <w:vAlign w:val="bottom"/>
          </w:tcPr>
          <w:p>
            <w:pPr>
              <w:ind w:left="320"/>
              <w:spacing w:after="0"/>
              <w:rPr>
                <w:sz w:val="20"/>
                <w:szCs w:val="20"/>
                <w:color w:val="auto"/>
              </w:rPr>
            </w:pPr>
            <w:r>
              <w:rPr>
                <w:rFonts w:ascii="Courier New" w:cs="Courier New" w:eastAsia="Courier New" w:hAnsi="Courier New"/>
                <w:sz w:val="18"/>
                <w:szCs w:val="18"/>
                <w:color w:val="auto"/>
                <w:w w:val="96"/>
              </w:rPr>
              <w:t>February 29, 2000</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20"/>
                <w:szCs w:val="20"/>
                <w:color w:val="auto"/>
              </w:rPr>
            </w:pPr>
            <w:r>
              <w:rPr>
                <w:rFonts w:ascii="Courier New" w:cs="Courier New" w:eastAsia="Courier New" w:hAnsi="Courier New"/>
                <w:sz w:val="5"/>
                <w:szCs w:val="5"/>
                <w:color w:val="auto"/>
                <w:w w:val="82"/>
              </w:rPr>
              <w:t>.........................................</w:t>
            </w:r>
          </w:p>
        </w:tc>
        <w:tc>
          <w:tcPr>
            <w:tcW w:w="3380" w:type="dxa"/>
            <w:vAlign w:val="bottom"/>
            <w:vMerge w:val="restart"/>
          </w:tcPr>
          <w:p>
            <w:pPr>
              <w:jc w:val="center"/>
              <w:ind w:right="1172"/>
              <w:spacing w:after="0"/>
              <w:rPr>
                <w:sz w:val="20"/>
                <w:szCs w:val="20"/>
                <w:color w:val="auto"/>
              </w:rPr>
            </w:pPr>
            <w:r>
              <w:rPr>
                <w:rFonts w:ascii="Courier New" w:cs="Courier New" w:eastAsia="Courier New" w:hAnsi="Courier New"/>
                <w:sz w:val="18"/>
                <w:szCs w:val="18"/>
                <w:color w:val="auto"/>
                <w:w w:val="98"/>
              </w:rPr>
              <w:t>(RICHARD F. WALLMAN)</w:t>
            </w:r>
          </w:p>
        </w:tc>
        <w:tc>
          <w:tcPr>
            <w:tcW w:w="3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Financial Officer (Principal</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3780" w:type="dxa"/>
            <w:vAlign w:val="bottom"/>
          </w:tcPr>
          <w:p>
            <w:pPr>
              <w:ind w:left="320"/>
              <w:spacing w:after="0"/>
              <w:rPr>
                <w:sz w:val="20"/>
                <w:szCs w:val="20"/>
                <w:color w:val="auto"/>
              </w:rPr>
            </w:pPr>
            <w:r>
              <w:rPr>
                <w:rFonts w:ascii="Courier New" w:cs="Courier New" w:eastAsia="Courier New" w:hAnsi="Courier New"/>
                <w:sz w:val="18"/>
                <w:szCs w:val="18"/>
                <w:color w:val="auto"/>
              </w:rPr>
              <w:t>Financial Officer)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20" w:type="dxa"/>
            <w:vAlign w:val="bottom"/>
            <w:gridSpan w:val="2"/>
          </w:tcPr>
          <w:p>
            <w:pPr>
              <w:jc w:val="center"/>
              <w:ind w:right="132"/>
              <w:spacing w:after="0"/>
              <w:rPr>
                <w:sz w:val="20"/>
                <w:szCs w:val="20"/>
                <w:color w:val="auto"/>
              </w:rPr>
            </w:pPr>
            <w:r>
              <w:rPr>
                <w:rFonts w:ascii="Courier New" w:cs="Courier New" w:eastAsia="Courier New" w:hAnsi="Courier New"/>
                <w:sz w:val="18"/>
                <w:szCs w:val="18"/>
                <w:color w:val="auto"/>
                <w:w w:val="96"/>
              </w:rPr>
              <w:t>/s/ RICHARD J. DIEMER, JR.</w:t>
            </w:r>
          </w:p>
        </w:tc>
        <w:tc>
          <w:tcPr>
            <w:tcW w:w="378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and Controller</w:t>
            </w:r>
          </w:p>
        </w:tc>
        <w:tc>
          <w:tcPr>
            <w:tcW w:w="2120" w:type="dxa"/>
            <w:vAlign w:val="bottom"/>
          </w:tcPr>
          <w:p>
            <w:pPr>
              <w:ind w:left="320"/>
              <w:spacing w:after="0"/>
              <w:rPr>
                <w:sz w:val="20"/>
                <w:szCs w:val="20"/>
                <w:color w:val="auto"/>
              </w:rPr>
            </w:pPr>
            <w:r>
              <w:rPr>
                <w:rFonts w:ascii="Courier New" w:cs="Courier New" w:eastAsia="Courier New" w:hAnsi="Courier New"/>
                <w:sz w:val="18"/>
                <w:szCs w:val="18"/>
                <w:color w:val="auto"/>
                <w:w w:val="96"/>
              </w:rPr>
              <w:t>February 29, 2000</w:t>
            </w:r>
          </w:p>
        </w:tc>
        <w:tc>
          <w:tcPr>
            <w:tcW w:w="0" w:type="dxa"/>
            <w:vAlign w:val="bottom"/>
          </w:tcPr>
          <w:p>
            <w:pPr>
              <w:spacing w:after="0"/>
              <w:rPr>
                <w:sz w:val="1"/>
                <w:szCs w:val="1"/>
                <w:color w:val="auto"/>
              </w:rPr>
            </w:pPr>
          </w:p>
        </w:tc>
      </w:tr>
      <w:tr>
        <w:trPr>
          <w:trHeight w:val="296"/>
        </w:trPr>
        <w:tc>
          <w:tcPr>
            <w:tcW w:w="44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(RICHARDJ.DIEMER,JR.)</w:t>
            </w:r>
          </w:p>
        </w:tc>
        <w:tc>
          <w:tcPr>
            <w:tcW w:w="3780" w:type="dxa"/>
            <w:vAlign w:val="bottom"/>
          </w:tcPr>
          <w:p>
            <w:pPr>
              <w:ind w:left="320"/>
              <w:spacing w:after="0"/>
              <w:rPr>
                <w:sz w:val="20"/>
                <w:szCs w:val="20"/>
                <w:color w:val="auto"/>
              </w:rPr>
            </w:pPr>
            <w:r>
              <w:rPr>
                <w:rFonts w:ascii="Courier New" w:cs="Courier New" w:eastAsia="Courier New" w:hAnsi="Courier New"/>
                <w:sz w:val="18"/>
                <w:szCs w:val="18"/>
                <w:color w:val="auto"/>
              </w:rPr>
              <w:t>(Principal Accounting Officer)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gridSpan w:val="2"/>
            <w:vMerge w:val="continue"/>
          </w:tcPr>
          <w:p>
            <w:pPr>
              <w:spacing w:after="0"/>
              <w:rPr>
                <w:sz w:val="19"/>
                <w:szCs w:val="19"/>
                <w:color w:val="auto"/>
              </w:rPr>
            </w:pPr>
          </w:p>
        </w:tc>
        <w:tc>
          <w:tcPr>
            <w:tcW w:w="37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040" w:type="dxa"/>
            <w:vAlign w:val="bottom"/>
          </w:tcPr>
          <w:p>
            <w:pPr>
              <w:ind w:left="520"/>
              <w:spacing w:after="0"/>
              <w:rPr>
                <w:sz w:val="20"/>
                <w:szCs w:val="20"/>
                <w:color w:val="auto"/>
              </w:rPr>
            </w:pPr>
            <w:r>
              <w:rPr>
                <w:rFonts w:ascii="Courier New" w:cs="Courier New" w:eastAsia="Courier New" w:hAnsi="Courier New"/>
                <w:sz w:val="18"/>
                <w:szCs w:val="18"/>
                <w:color w:val="auto"/>
                <w:w w:val="92"/>
              </w:rPr>
              <w:t>* By:</w:t>
            </w:r>
          </w:p>
        </w:tc>
        <w:tc>
          <w:tcPr>
            <w:tcW w:w="3380" w:type="dxa"/>
            <w:vAlign w:val="bottom"/>
          </w:tcPr>
          <w:p>
            <w:pPr>
              <w:ind w:left="320"/>
              <w:spacing w:after="0"/>
              <w:rPr>
                <w:sz w:val="20"/>
                <w:szCs w:val="20"/>
                <w:color w:val="auto"/>
              </w:rPr>
            </w:pPr>
            <w:r>
              <w:rPr>
                <w:rFonts w:ascii="Courier New" w:cs="Courier New" w:eastAsia="Courier New" w:hAnsi="Courier New"/>
                <w:sz w:val="18"/>
                <w:szCs w:val="18"/>
                <w:color w:val="auto"/>
              </w:rPr>
              <w:t>/s/ PETER M. KREINDLER</w:t>
            </w:r>
          </w:p>
        </w:tc>
        <w:tc>
          <w:tcPr>
            <w:tcW w:w="3780" w:type="dxa"/>
            <w:vAlign w:val="bottom"/>
          </w:tcPr>
          <w:p>
            <w:pPr>
              <w:spacing w:after="0"/>
              <w:rPr>
                <w:sz w:val="24"/>
                <w:szCs w:val="24"/>
                <w:color w:val="auto"/>
              </w:rPr>
            </w:pPr>
          </w:p>
        </w:tc>
        <w:tc>
          <w:tcPr>
            <w:tcW w:w="2120" w:type="dxa"/>
            <w:vAlign w:val="bottom"/>
          </w:tcPr>
          <w:p>
            <w:pPr>
              <w:ind w:left="320"/>
              <w:spacing w:after="0"/>
              <w:rPr>
                <w:sz w:val="20"/>
                <w:szCs w:val="20"/>
                <w:color w:val="auto"/>
              </w:rPr>
            </w:pPr>
            <w:r>
              <w:rPr>
                <w:rFonts w:ascii="Courier New" w:cs="Courier New" w:eastAsia="Courier New" w:hAnsi="Courier New"/>
                <w:sz w:val="18"/>
                <w:szCs w:val="18"/>
                <w:color w:val="auto"/>
                <w:w w:val="96"/>
              </w:rPr>
              <w:t>February 29, 2000</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3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338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8"/>
              </w:rPr>
              <w:t>(PETER M. KREINDLER,</w:t>
            </w:r>
          </w:p>
        </w:tc>
        <w:tc>
          <w:tcPr>
            <w:tcW w:w="3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40" w:type="dxa"/>
            <w:vAlign w:val="bottom"/>
          </w:tcPr>
          <w:p>
            <w:pPr>
              <w:spacing w:after="0"/>
              <w:rPr>
                <w:sz w:val="24"/>
                <w:szCs w:val="24"/>
                <w:color w:val="auto"/>
              </w:rPr>
            </w:pPr>
          </w:p>
        </w:tc>
        <w:tc>
          <w:tcPr>
            <w:tcW w:w="338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6"/>
              </w:rPr>
              <w:t>ATTORNEY-IN-FACT)</w:t>
            </w:r>
          </w:p>
        </w:tc>
        <w:tc>
          <w:tcPr>
            <w:tcW w:w="3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88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320"/>
          </w:cols>
          <w:pgMar w:left="440" w:top="1440" w:right="1139" w:bottom="1440" w:gutter="0" w:footer="0" w:header="0"/>
        </w:sectPr>
      </w:pPr>
    </w:p>
    <w:bookmarkStart w:id="35" w:name="page36"/>
    <w:bookmarkEnd w:id="35"/>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139"/>
          </w:cols>
          <w:pgMar w:left="320" w:top="8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3280" w:space="720"/>
            <w:col w:w="6139"/>
          </w:cols>
          <w:pgMar w:left="320" w:top="893" w:right="1440" w:bottom="1440" w:gutter="0" w:footer="0" w:header="0"/>
          <w:type w:val="continuous"/>
        </w:sectPr>
      </w:pPr>
    </w:p>
    <w:p>
      <w:pPr>
        <w:ind w:left="1480" w:hanging="1051"/>
        <w:spacing w:after="0"/>
        <w:tabs>
          <w:tab w:leader="none" w:pos="1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Omitted (inapplicable).</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 Omitted (inapplicable).</w:t>
      </w:r>
    </w:p>
    <w:p>
      <w:pPr>
        <w:ind w:left="1480" w:right="3179" w:hanging="1369"/>
        <w:spacing w:after="0" w:line="26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r>
        <w:rPr>
          <w:rFonts w:ascii="Courier New" w:cs="Courier New" w:eastAsia="Courier New" w:hAnsi="Courier New"/>
          <w:sz w:val="16"/>
          <w:szCs w:val="16"/>
          <w:color w:val="auto"/>
        </w:rPr>
        <w:t>-- Honeywell's Restated Certificate of Incorporation (incorporated by reference to Exhibit 3(i) to our Form 8-K filed December 3, 1999).</w:t>
      </w:r>
    </w:p>
    <w:p>
      <w:pPr>
        <w:ind w:left="1480" w:right="3279" w:hanging="136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Honeywell's By-laws, as amended (incorporated by reference to Exhibit 3(ii) to our Form 8-K filed December 3, 1999).</w:t>
      </w:r>
    </w:p>
    <w:p>
      <w:pPr>
        <w:ind w:left="1480" w:right="2339" w:hanging="136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Opinion of J. Edward Smith, Esq., with respect to the legality of the securities being registered hereby (filed herewith).</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 Omitted (inapplicable).</w:t>
      </w:r>
    </w:p>
    <w:p>
      <w:pPr>
        <w:ind w:left="1480" w:hanging="1156"/>
        <w:spacing w:after="0" w:line="238"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Omitted (inapplicable).</w:t>
      </w:r>
    </w:p>
    <w:p>
      <w:pPr>
        <w:ind w:left="1480" w:hanging="1156"/>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Omitted (inapplicable).</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r>
        <w:rPr>
          <w:rFonts w:ascii="Courier New" w:cs="Courier New" w:eastAsia="Courier New" w:hAnsi="Courier New"/>
          <w:sz w:val="16"/>
          <w:szCs w:val="16"/>
          <w:color w:val="auto"/>
        </w:rPr>
        <w:t>-- Consent of PricewaterhouseCoopers LLP (filed herewith).</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23.2</w:t>
      </w:r>
      <w:r>
        <w:rPr>
          <w:rFonts w:ascii="Courier New" w:cs="Courier New" w:eastAsia="Courier New" w:hAnsi="Courier New"/>
          <w:sz w:val="16"/>
          <w:szCs w:val="16"/>
          <w:color w:val="auto"/>
        </w:rPr>
        <w:t>-- Consent of Deloitte &amp; Touche LLP (filed herewith).</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23.3</w:t>
      </w:r>
      <w:r>
        <w:rPr>
          <w:rFonts w:ascii="Courier New" w:cs="Courier New" w:eastAsia="Courier New" w:hAnsi="Courier New"/>
          <w:sz w:val="16"/>
          <w:szCs w:val="16"/>
          <w:color w:val="auto"/>
        </w:rPr>
        <w:t>-- The consent of J. Edward Smith, Esq. is contained in his</w:t>
      </w:r>
    </w:p>
    <w:p>
      <w:pPr>
        <w:jc w:val="right"/>
        <w:ind w:right="2239"/>
        <w:spacing w:after="0" w:line="238" w:lineRule="auto"/>
        <w:rPr>
          <w:sz w:val="20"/>
          <w:szCs w:val="20"/>
          <w:color w:val="auto"/>
        </w:rPr>
      </w:pPr>
      <w:r>
        <w:rPr>
          <w:rFonts w:ascii="Courier New" w:cs="Courier New" w:eastAsia="Courier New" w:hAnsi="Courier New"/>
          <w:sz w:val="18"/>
          <w:szCs w:val="18"/>
          <w:color w:val="auto"/>
        </w:rPr>
        <w:t>opinion filed as Exhibit 5 to this registration statement.</w:t>
      </w:r>
    </w:p>
    <w:p>
      <w:pPr>
        <w:ind w:left="1480" w:hanging="1156"/>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Powers of Attorney (filed herewith).</w:t>
      </w:r>
    </w:p>
    <w:p>
      <w:pPr>
        <w:ind w:left="1480" w:hanging="1156"/>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Omitted (inapplicable).</w:t>
      </w:r>
    </w:p>
    <w:p>
      <w:pPr>
        <w:ind w:left="1480" w:hanging="1156"/>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Omitted (inapplicable).</w:t>
      </w:r>
    </w:p>
    <w:p>
      <w:pPr>
        <w:ind w:left="1480" w:hanging="1156"/>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Omitted (inapplicable).</w:t>
      </w:r>
    </w:p>
    <w:p>
      <w:pPr>
        <w:ind w:left="1480" w:hanging="1156"/>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Omitted (inapplicable).</w:t>
      </w: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8"/>
          <w:szCs w:val="18"/>
          <w:color w:val="auto"/>
        </w:rPr>
        <w:t>-- Omitted (inapplicable).</w:t>
      </w:r>
    </w:p>
    <w:p>
      <w:pPr>
        <w:sectPr>
          <w:pgSz w:w="11900" w:h="16838" w:orient="portrait"/>
          <w:cols w:equalWidth="0" w:num="1">
            <w:col w:w="10139"/>
          </w:cols>
          <w:pgMar w:left="320" w:top="893" w:right="1440" w:bottom="1440" w:gutter="0" w:footer="0" w:header="0"/>
          <w:type w:val="continuous"/>
        </w:sectPr>
      </w:pPr>
    </w:p>
    <w:bookmarkStart w:id="36" w:name="page37"/>
    <w:bookmarkEnd w:id="36"/>
    <w:p>
      <w:pPr>
        <w:jc w:val="right"/>
        <w:ind w:right="169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Honeywell</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Law Department</w:t>
      </w:r>
    </w:p>
    <w:p>
      <w:pPr>
        <w:ind w:left="3580"/>
        <w:spacing w:after="0" w:line="238" w:lineRule="auto"/>
        <w:rPr>
          <w:sz w:val="20"/>
          <w:szCs w:val="20"/>
          <w:color w:val="auto"/>
        </w:rPr>
      </w:pPr>
      <w:r>
        <w:rPr>
          <w:rFonts w:ascii="Courier New" w:cs="Courier New" w:eastAsia="Courier New" w:hAnsi="Courier New"/>
          <w:sz w:val="18"/>
          <w:szCs w:val="18"/>
          <w:color w:val="auto"/>
        </w:rPr>
        <w:t>P.O. Box 2245</w:t>
      </w:r>
    </w:p>
    <w:p>
      <w:pPr>
        <w:ind w:left="2960"/>
        <w:spacing w:after="0"/>
        <w:rPr>
          <w:sz w:val="20"/>
          <w:szCs w:val="20"/>
          <w:color w:val="auto"/>
        </w:rPr>
      </w:pPr>
      <w:r>
        <w:rPr>
          <w:rFonts w:ascii="Courier New" w:cs="Courier New" w:eastAsia="Courier New" w:hAnsi="Courier New"/>
          <w:sz w:val="18"/>
          <w:szCs w:val="18"/>
          <w:color w:val="auto"/>
        </w:rPr>
        <w:t>Morristown, NJ 07962-2245</w:t>
      </w:r>
    </w:p>
    <w:p>
      <w:pPr>
        <w:spacing w:after="0" w:line="169"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8"/>
          <w:szCs w:val="18"/>
          <w:color w:val="auto"/>
        </w:rPr>
        <w:t>February 29,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Honeywell International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 Columbia Road</w:t>
      </w:r>
    </w:p>
    <w:p>
      <w:pPr>
        <w:spacing w:after="0"/>
        <w:rPr>
          <w:sz w:val="20"/>
          <w:szCs w:val="20"/>
          <w:color w:val="auto"/>
        </w:rPr>
      </w:pPr>
      <w:r>
        <w:rPr>
          <w:rFonts w:ascii="Courier New" w:cs="Courier New" w:eastAsia="Courier New" w:hAnsi="Courier New"/>
          <w:sz w:val="18"/>
          <w:szCs w:val="18"/>
          <w:color w:val="auto"/>
        </w:rPr>
        <w:t>Morristown, NJ 07962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819" w:firstLine="948"/>
        <w:spacing w:after="0" w:line="283" w:lineRule="auto"/>
        <w:rPr>
          <w:sz w:val="20"/>
          <w:szCs w:val="20"/>
          <w:color w:val="auto"/>
        </w:rPr>
      </w:pPr>
      <w:r>
        <w:rPr>
          <w:rFonts w:ascii="Courier New" w:cs="Courier New" w:eastAsia="Courier New" w:hAnsi="Courier New"/>
          <w:sz w:val="16"/>
          <w:szCs w:val="16"/>
          <w:color w:val="auto"/>
        </w:rPr>
        <w:t>As Assistant General Counsel, Corporate and Finance, of Honeywell International Inc., a Delaware corporation (the "Company"), I have examined the restated certificate of incorporation and bylaws of the Company as well as such other documents and proceedings as I have considered necessary for the purposes of this opinion. I have also examined and am familiar with post-effective amendment no. 1 to the Company's registration statement on Form S-3 (Reg. No. 33-55425) (the "Amended Registration Statement") as filed with the Securities and Exchange Commission under the Securities Act of 1933, as amended, relating to shares of the Company's Common Stock, par value $1.00 per share (the "Common Shares"), which may be issued pursuant to the Honeywell International Inc. Dividend Reinvestment and Share Purchase Plan (the "Plan").</w:t>
      </w:r>
    </w:p>
    <w:p>
      <w:pPr>
        <w:spacing w:after="0" w:line="79" w:lineRule="exact"/>
        <w:rPr>
          <w:sz w:val="20"/>
          <w:szCs w:val="20"/>
          <w:color w:val="auto"/>
        </w:rPr>
      </w:pPr>
    </w:p>
    <w:p>
      <w:pPr>
        <w:ind w:right="1919" w:firstLine="948"/>
        <w:spacing w:after="0" w:line="274" w:lineRule="auto"/>
        <w:rPr>
          <w:sz w:val="20"/>
          <w:szCs w:val="20"/>
          <w:color w:val="auto"/>
        </w:rPr>
      </w:pPr>
      <w:r>
        <w:rPr>
          <w:rFonts w:ascii="Courier New" w:cs="Courier New" w:eastAsia="Courier New" w:hAnsi="Courier New"/>
          <w:sz w:val="18"/>
          <w:szCs w:val="18"/>
          <w:color w:val="auto"/>
        </w:rPr>
        <w:t>Based upon the foregoing, and having regard to legal considerations which I deem relevant, I am of the opinion that the Common Shares, when issued pursuant to the terms of the Plan, shall be validly issued, fully paid and non-assessable.</w:t>
      </w:r>
    </w:p>
    <w:p>
      <w:pPr>
        <w:spacing w:after="0" w:line="81" w:lineRule="exact"/>
        <w:rPr>
          <w:sz w:val="20"/>
          <w:szCs w:val="20"/>
          <w:color w:val="auto"/>
        </w:rPr>
      </w:pPr>
    </w:p>
    <w:p>
      <w:pPr>
        <w:ind w:right="1699" w:firstLine="1053"/>
        <w:spacing w:after="0" w:line="265" w:lineRule="auto"/>
        <w:rPr>
          <w:sz w:val="20"/>
          <w:szCs w:val="20"/>
          <w:color w:val="auto"/>
        </w:rPr>
      </w:pPr>
      <w:r>
        <w:rPr>
          <w:rFonts w:ascii="Courier New" w:cs="Courier New" w:eastAsia="Courier New" w:hAnsi="Courier New"/>
          <w:sz w:val="18"/>
          <w:szCs w:val="18"/>
          <w:color w:val="auto"/>
        </w:rPr>
        <w:t>I hereby consent to the inclusion of this opinion letter as an exhibit to the Amended Registration Statement and the reference to me under the caption "Legal Opinion". In giving such consent, I do not thereby admit that I am in the category of persons whose consent is required under Section 7 of the Securities Act.</w:t>
      </w:r>
    </w:p>
    <w:p>
      <w:pPr>
        <w:spacing w:after="0" w:line="8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J. Edward Smith</w:t>
      </w:r>
    </w:p>
    <w:p>
      <w:pPr>
        <w:spacing w:after="0" w:line="2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 Edward Smith</w:t>
      </w:r>
    </w:p>
    <w:p>
      <w:pPr>
        <w:ind w:left="4960"/>
        <w:spacing w:after="0" w:line="238" w:lineRule="auto"/>
        <w:rPr>
          <w:sz w:val="20"/>
          <w:szCs w:val="20"/>
          <w:color w:val="auto"/>
        </w:rPr>
      </w:pPr>
      <w:r>
        <w:rPr>
          <w:rFonts w:ascii="Courier New" w:cs="Courier New" w:eastAsia="Courier New" w:hAnsi="Courier New"/>
          <w:sz w:val="18"/>
          <w:szCs w:val="18"/>
          <w:color w:val="auto"/>
        </w:rPr>
        <w:t>Assistant General Counsel</w:t>
      </w:r>
    </w:p>
    <w:p>
      <w:pPr>
        <w:ind w:left="4960"/>
        <w:spacing w:after="0"/>
        <w:rPr>
          <w:sz w:val="20"/>
          <w:szCs w:val="20"/>
          <w:color w:val="auto"/>
        </w:rPr>
      </w:pPr>
      <w:r>
        <w:rPr>
          <w:rFonts w:ascii="Courier New" w:cs="Courier New" w:eastAsia="Courier New" w:hAnsi="Courier New"/>
          <w:sz w:val="18"/>
          <w:szCs w:val="18"/>
          <w:color w:val="auto"/>
        </w:rPr>
        <w:t>Corporate and Finance</w:t>
      </w:r>
    </w:p>
    <w:p>
      <w:pPr>
        <w:sectPr>
          <w:pgSz w:w="11900" w:h="16838" w:orient="portrait"/>
          <w:cols w:equalWidth="0" w:num="1">
            <w:col w:w="10139"/>
          </w:cols>
          <w:pgMar w:left="320" w:top="1122" w:right="1440" w:bottom="1440" w:gutter="0" w:footer="0" w:header="0"/>
        </w:sectPr>
      </w:pPr>
    </w:p>
    <w:bookmarkStart w:id="37" w:name="page38"/>
    <w:bookmarkEnd w:id="37"/>
    <w:p>
      <w:pPr>
        <w:jc w:val="right"/>
        <w:ind w:right="169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1" w:lineRule="exact"/>
        <w:rPr>
          <w:sz w:val="20"/>
          <w:szCs w:val="20"/>
          <w:color w:val="auto"/>
        </w:rPr>
      </w:pPr>
    </w:p>
    <w:p>
      <w:pPr>
        <w:ind w:right="1819"/>
        <w:spacing w:after="0" w:line="253"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S-3 of our report dated January 27, 2000, except as to the subsequent event described in Note 25 which is as of February 4, 2000, relating to the financial statements, which appears in the 1999 Annual Report to Shareowners of Honeywell International Inc. (the "Company"), which is incorporated by reference in the Company's Annual Report on Form 10-K for the year ended December 31, 1999. We also consent to the reference to us under the heading "Experts" in such Registration Statement.</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Florham Park, New Jersey</w:t>
      </w:r>
    </w:p>
    <w:p>
      <w:pPr>
        <w:spacing w:after="0"/>
        <w:rPr>
          <w:sz w:val="20"/>
          <w:szCs w:val="20"/>
          <w:color w:val="auto"/>
        </w:rPr>
      </w:pPr>
      <w:r>
        <w:rPr>
          <w:rFonts w:ascii="Courier New" w:cs="Courier New" w:eastAsia="Courier New" w:hAnsi="Courier New"/>
          <w:sz w:val="18"/>
          <w:szCs w:val="18"/>
          <w:color w:val="auto"/>
        </w:rPr>
        <w:t>February 29, 2000</w:t>
      </w:r>
    </w:p>
    <w:p>
      <w:pPr>
        <w:sectPr>
          <w:pgSz w:w="11900" w:h="16838" w:orient="portrait"/>
          <w:cols w:equalWidth="0" w:num="1">
            <w:col w:w="10139"/>
          </w:cols>
          <w:pgMar w:left="320" w:top="717" w:right="1440" w:bottom="1440" w:gutter="0" w:footer="0" w:header="0"/>
        </w:sectPr>
      </w:pPr>
    </w:p>
    <w:bookmarkStart w:id="38" w:name="page39"/>
    <w:bookmarkEnd w:id="38"/>
    <w:p>
      <w:pPr>
        <w:jc w:val="right"/>
        <w:ind w:right="169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ind w:right="1699"/>
        <w:spacing w:after="0" w:line="260" w:lineRule="auto"/>
        <w:rPr>
          <w:sz w:val="20"/>
          <w:szCs w:val="20"/>
          <w:color w:val="auto"/>
        </w:rPr>
      </w:pPr>
      <w:r>
        <w:rPr>
          <w:rFonts w:ascii="Courier New" w:cs="Courier New" w:eastAsia="Courier New" w:hAnsi="Courier New"/>
          <w:sz w:val="18"/>
          <w:szCs w:val="18"/>
          <w:color w:val="auto"/>
        </w:rPr>
        <w:t>We consent to the incorporation by reference in this Post-Effective Amendment No. 1 to Registration Statement No. 33-55425 of Honeywell International Inc. on Form S-3 of our report dated February 10, 1999 appearing in the Annual Report on Form 10-K of Honeywell International Inc. for the year ended December 31, 1999, and to the reference to us under the heading "Experts" in the Prospectus, which is part of such Registration Statement.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Parsipanny, New Jersey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29, 2000</w:t>
      </w:r>
    </w:p>
    <w:p>
      <w:pPr>
        <w:sectPr>
          <w:pgSz w:w="11900" w:h="16838" w:orient="portrait"/>
          <w:cols w:equalWidth="0" w:num="1">
            <w:col w:w="10139"/>
          </w:cols>
          <w:pgMar w:left="320" w:top="920" w:right="1440" w:bottom="1440" w:gutter="0" w:footer="0" w:header="0"/>
        </w:sectPr>
      </w:pPr>
    </w:p>
    <w:bookmarkStart w:id="39" w:name="page40"/>
    <w:bookmarkEnd w:id="39"/>
    <w:p>
      <w:pPr>
        <w:jc w:val="right"/>
        <w:ind w:right="1699"/>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firstLine="526"/>
        <w:spacing w:after="0" w:line="289" w:lineRule="auto"/>
        <w:rPr>
          <w:sz w:val="20"/>
          <w:szCs w:val="20"/>
          <w:color w:val="auto"/>
        </w:rPr>
      </w:pPr>
      <w:r>
        <w:rPr>
          <w:rFonts w:ascii="Courier New" w:cs="Courier New" w:eastAsia="Courier New" w:hAnsi="Courier New"/>
          <w:sz w:val="16"/>
          <w:szCs w:val="16"/>
          <w:color w:val="auto"/>
        </w:rPr>
        <w:t>I, Lawrence A. Bossidy, a director of Honeywell International Inc., a Delaware corporation (the "Company"), hereby appoint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76" w:lineRule="exact"/>
        <w:rPr>
          <w:sz w:val="20"/>
          <w:szCs w:val="20"/>
          <w:color w:val="auto"/>
        </w:rPr>
      </w:pPr>
    </w:p>
    <w:p>
      <w:pPr>
        <w:ind w:right="1699" w:firstLine="1061"/>
        <w:spacing w:after="0" w:line="245" w:lineRule="auto"/>
        <w:tabs>
          <w:tab w:leader="none" w:pos="147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Lawrence A. Bossidy</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Lawrence A. Bossidy</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717" w:right="1440" w:bottom="1440" w:gutter="0" w:footer="0" w:header="0"/>
        </w:sectPr>
      </w:pPr>
    </w:p>
    <w:bookmarkStart w:id="40" w:name="page41"/>
    <w:bookmarkEnd w:id="40"/>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699" w:firstLine="526"/>
        <w:spacing w:after="0" w:line="289" w:lineRule="auto"/>
        <w:rPr>
          <w:sz w:val="20"/>
          <w:szCs w:val="20"/>
          <w:color w:val="auto"/>
        </w:rPr>
      </w:pPr>
      <w:r>
        <w:rPr>
          <w:rFonts w:ascii="Courier New" w:cs="Courier New" w:eastAsia="Courier New" w:hAnsi="Courier New"/>
          <w:sz w:val="16"/>
          <w:szCs w:val="16"/>
          <w:color w:val="auto"/>
        </w:rPr>
        <w:t>I, Michael R. Bonsignore, a director of Honeywell International Inc., a Delaware corporation (the "Company"), hereby appoint Lawrence A. Bossidy,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76" w:lineRule="exact"/>
        <w:rPr>
          <w:sz w:val="20"/>
          <w:szCs w:val="20"/>
          <w:color w:val="auto"/>
        </w:rPr>
      </w:pPr>
    </w:p>
    <w:p>
      <w:pPr>
        <w:ind w:right="1699" w:firstLine="1061"/>
        <w:spacing w:after="0" w:line="245" w:lineRule="auto"/>
        <w:tabs>
          <w:tab w:leader="none" w:pos="147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Michael R. Bonsignore</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Michael R. Bonsignore</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41" w:name="page42"/>
    <w:bookmarkEnd w:id="4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Hans W. Becherer,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Hans W. Becherer</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Hans W. Becherer</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42" w:name="page43"/>
    <w:bookmarkEnd w:id="42"/>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Gordon M. Bethune,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Gordon M. Bethune</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Gordon M. Bethune</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43" w:name="page44"/>
    <w:bookmarkEnd w:id="43"/>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Marshall N. Carter,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Marshall N. Carter</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Marshall N. Carter</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44" w:name="page45"/>
    <w:bookmarkEnd w:id="44"/>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Jamie Chico Pardo,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Jaime Chico Pardo</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Jaime Chico Pardo</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45" w:name="page46"/>
    <w:bookmarkEnd w:id="45"/>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Ann M. Fudge,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Ann M. Fudge</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jc w:val="center"/>
        <w:ind w:right="-200"/>
        <w:spacing w:after="0"/>
        <w:rPr>
          <w:sz w:val="20"/>
          <w:szCs w:val="20"/>
          <w:color w:val="auto"/>
        </w:rPr>
      </w:pPr>
      <w:r>
        <w:rPr>
          <w:rFonts w:ascii="Courier New" w:cs="Courier New" w:eastAsia="Courier New" w:hAnsi="Courier New"/>
          <w:sz w:val="18"/>
          <w:szCs w:val="18"/>
          <w:color w:val="auto"/>
        </w:rPr>
        <w:t>Ann M. Fudge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3, 1999</w:t>
      </w:r>
    </w:p>
    <w:p>
      <w:pPr>
        <w:sectPr>
          <w:pgSz w:w="11900" w:h="16838" w:orient="portrait"/>
          <w:cols w:equalWidth="0" w:num="1">
            <w:col w:w="10139"/>
          </w:cols>
          <w:pgMar w:left="320" w:top="893" w:right="1440" w:bottom="1440" w:gutter="0" w:footer="0" w:header="0"/>
        </w:sectPr>
      </w:pPr>
    </w:p>
    <w:bookmarkStart w:id="46" w:name="page47"/>
    <w:bookmarkEnd w:id="46"/>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James J. Howard,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James J. Howard</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James J. Howard</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47" w:name="page48"/>
    <w:bookmarkEnd w:id="47"/>
    <w:p>
      <w:pPr>
        <w:jc w:val="center"/>
        <w:ind w:right="15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Bruce Karatz,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Bruce Karatz</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jc w:val="center"/>
        <w:ind w:right="-200"/>
        <w:spacing w:after="0"/>
        <w:rPr>
          <w:sz w:val="20"/>
          <w:szCs w:val="20"/>
          <w:color w:val="auto"/>
        </w:rPr>
      </w:pPr>
      <w:r>
        <w:rPr>
          <w:rFonts w:ascii="Courier New" w:cs="Courier New" w:eastAsia="Courier New" w:hAnsi="Courier New"/>
          <w:sz w:val="18"/>
          <w:szCs w:val="18"/>
          <w:color w:val="auto"/>
        </w:rPr>
        <w:t>Bruce Karatz</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48" w:name="page49"/>
    <w:bookmarkEnd w:id="48"/>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Robert P. Luciano,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Robert P. Luciano</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Robert P. Luciano</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49" w:name="page50"/>
    <w:bookmarkEnd w:id="49"/>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Russell E. Palmer,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Russell E. Palmer</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Russell E. Palmer</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50" w:name="page51"/>
    <w:bookmarkEnd w:id="50"/>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Ivan G. Seidenberg,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Ivan G. Seidenberg</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Ivan G. Seidenberg</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51" w:name="page52"/>
    <w:bookmarkEnd w:id="5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Andrew C. Sigler,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Andrew C. Sigler</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Andrew C. Sigler</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52" w:name="page53"/>
    <w:bookmarkEnd w:id="52"/>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John R. Stafford,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John R. Stafford</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John R. Stafford</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p>
      <w:pPr>
        <w:sectPr>
          <w:pgSz w:w="11900" w:h="16838" w:orient="portrait"/>
          <w:cols w:equalWidth="0" w:num="1">
            <w:col w:w="10139"/>
          </w:cols>
          <w:pgMar w:left="320" w:top="893" w:right="1440" w:bottom="1440" w:gutter="0" w:footer="0" w:header="0"/>
        </w:sectPr>
      </w:pPr>
    </w:p>
    <w:bookmarkStart w:id="53" w:name="page54"/>
    <w:bookmarkEnd w:id="53"/>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699" w:firstLine="526"/>
        <w:spacing w:after="0" w:line="251" w:lineRule="auto"/>
        <w:rPr>
          <w:sz w:val="20"/>
          <w:szCs w:val="20"/>
          <w:color w:val="auto"/>
        </w:rPr>
      </w:pPr>
      <w:r>
        <w:rPr>
          <w:rFonts w:ascii="Courier New" w:cs="Courier New" w:eastAsia="Courier New" w:hAnsi="Courier New"/>
          <w:sz w:val="18"/>
          <w:szCs w:val="18"/>
          <w:color w:val="auto"/>
        </w:rPr>
        <w:t>I, Michael W. Wright, a director of Honeywell International Inc., a Delaware corporation (the "Company"), hereby appoint Lawrence A. Bossidy, Michael R. Bonsignore, Peter M. Kreindler, Richard F. Wallman, Kathleen M. Gibson, Richard J. Diemer, Jr. and James V. Gelly, each with power to act without the other and with power of substitution and resubstitution, as my attorney-in-fact to sign on my behalf in my capacity as a director of the Company one or more registration statements under the Securities Act of 1933, or any amendment or post-effective amendment to any registration statement heretofore or hereafter filed by the Company:</w:t>
      </w:r>
    </w:p>
    <w:p>
      <w:pPr>
        <w:spacing w:after="0" w:line="106" w:lineRule="exact"/>
        <w:rPr>
          <w:sz w:val="20"/>
          <w:szCs w:val="20"/>
          <w:color w:val="auto"/>
        </w:rPr>
      </w:pPr>
    </w:p>
    <w:p>
      <w:pPr>
        <w:ind w:right="1699" w:firstLine="1061"/>
        <w:spacing w:after="0" w:line="245" w:lineRule="auto"/>
        <w:tabs>
          <w:tab w:leader="none" w:pos="147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AlliedSignal Savings Plan, the AlliedSignal Thrift Plan, the AlliedSignal Truck and Brake Systems Company Savings Plan, the AlliedSignal Ltd. UK Share Purchase Plan, the AlliedSignal Ireland Employees Share Ownership Program, the Employee Stock Purchase Plan of the Company, the Stock Plan for Non-Employee Directors of the Company, the 1993 Stock Plan for Employees of the Company and its Affiliates, the 1985 Stock Plan for Employees of the Company and its Subsidiaries, the 1997 Honeywell Stock and Incentive Plan, the 1993 Honeywell Stock and Incentive Plan, the 1988 Honeywell Stock and Incentive Plan, the Honeywell Employee Stock and Incentive Plan, the Honeywell Savings and Stock Ownership Plan, the Honeywell Investment Plus Plan, the Honeywell Retirement Savings Plan and the Honeywell Retirement Investment Plan, and any plan which is a successor to such plans or is a validly authorized plan pursuant to which securities of the Corporation are issued to employees, and</w:t>
      </w:r>
    </w:p>
    <w:p>
      <w:pPr>
        <w:spacing w:after="0" w:line="106" w:lineRule="exact"/>
        <w:rPr>
          <w:rFonts w:ascii="Courier New" w:cs="Courier New" w:eastAsia="Courier New" w:hAnsi="Courier New"/>
          <w:sz w:val="18"/>
          <w:szCs w:val="18"/>
          <w:color w:val="auto"/>
        </w:rPr>
      </w:pPr>
    </w:p>
    <w:p>
      <w:pPr>
        <w:ind w:right="2239" w:firstLine="1061"/>
        <w:spacing w:after="0" w:line="274" w:lineRule="auto"/>
        <w:tabs>
          <w:tab w:leader="none" w:pos="147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81" w:lineRule="exact"/>
        <w:rPr>
          <w:sz w:val="20"/>
          <w:szCs w:val="20"/>
          <w:color w:val="auto"/>
        </w:rPr>
      </w:pPr>
    </w:p>
    <w:p>
      <w:pPr>
        <w:ind w:right="2019" w:firstLine="526"/>
        <w:spacing w:after="0" w:line="346" w:lineRule="auto"/>
        <w:rPr>
          <w:sz w:val="20"/>
          <w:szCs w:val="20"/>
          <w:color w:val="auto"/>
        </w:rPr>
      </w:pPr>
      <w:r>
        <w:rPr>
          <w:rFonts w:ascii="Courier New" w:cs="Courier New" w:eastAsia="Courier New" w:hAnsi="Courier New"/>
          <w:sz w:val="18"/>
          <w:szCs w:val="18"/>
          <w:color w:val="auto"/>
        </w:rPr>
        <w:t>I hereby grant to each such attorney full power and authority to perform every act necessary to be done as fully as I might do in person.</w:t>
      </w:r>
    </w:p>
    <w:p>
      <w:pPr>
        <w:spacing w:after="0" w:line="20" w:lineRule="exact"/>
        <w:rPr>
          <w:sz w:val="20"/>
          <w:szCs w:val="20"/>
          <w:color w:val="auto"/>
        </w:rPr>
      </w:pPr>
    </w:p>
    <w:p>
      <w:pPr>
        <w:ind w:right="1819" w:firstLine="526"/>
        <w:spacing w:after="0" w:line="346" w:lineRule="auto"/>
        <w:rPr>
          <w:sz w:val="20"/>
          <w:szCs w:val="20"/>
          <w:color w:val="auto"/>
        </w:rPr>
      </w:pPr>
      <w:r>
        <w:rPr>
          <w:rFonts w:ascii="Courier New" w:cs="Courier New" w:eastAsia="Courier New" w:hAnsi="Courier New"/>
          <w:sz w:val="18"/>
          <w:szCs w:val="18"/>
          <w:color w:val="auto"/>
        </w:rPr>
        <w:t>I hereby revoke any or all prior appointments of attorneys-in-fact to sign the above-described documents.</w:t>
      </w: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Michael W. Wright</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Michael W. Wright</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3, 1999</w:t>
      </w:r>
    </w:p>
    <w:sectPr>
      <w:pgSz w:w="11900" w:h="16838" w:orient="portrait"/>
      <w:cols w:equalWidth="0" w:num="1">
        <w:col w:w="10139"/>
      </w:cols>
      <w:pgMar w:left="32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3"/>
    </w:lvl>
  </w:abstractNum>
  <w:abstractNum w:abstractNumId="2">
    <w:nsid w:val="3F2DBA31"/>
    <w:multiLevelType w:val="hybridMultilevel"/>
    <w:lvl w:ilvl="0">
      <w:lvlJc w:val="left"/>
      <w:lvlText w:val="%1."/>
      <w:numFmt w:val="decimal"/>
      <w:start w:val="15"/>
    </w:lvl>
  </w:abstractNum>
  <w:abstractNum w:abstractNumId="3">
    <w:nsid w:val="7C83E458"/>
    <w:multiLevelType w:val="hybridMultilevel"/>
    <w:lvl w:ilvl="0">
      <w:lvlJc w:val="left"/>
      <w:lvlText w:val="%1."/>
      <w:numFmt w:val="decimal"/>
      <w:start w:val="21"/>
    </w:lvl>
  </w:abstractNum>
  <w:abstractNum w:abstractNumId="4">
    <w:nsid w:val="257130A3"/>
    <w:multiLevelType w:val="hybridMultilevel"/>
    <w:lvl w:ilvl="0">
      <w:lvlJc w:val="left"/>
      <w:lvlText w:val="%1."/>
      <w:numFmt w:val="decimal"/>
      <w:start w:val="24"/>
    </w:lvl>
  </w:abstractNum>
  <w:abstractNum w:abstractNumId="5">
    <w:nsid w:val="62BBD95A"/>
    <w:multiLevelType w:val="hybridMultilevel"/>
    <w:lvl w:ilvl="0">
      <w:lvlJc w:val="left"/>
      <w:lvlText w:val="%1."/>
      <w:numFmt w:val="decimal"/>
      <w:start w:val="25"/>
    </w:lvl>
  </w:abstractNum>
  <w:abstractNum w:abstractNumId="6">
    <w:nsid w:val="436C6125"/>
    <w:multiLevelType w:val="hybridMultilevel"/>
    <w:lvl w:ilvl="0">
      <w:lvlJc w:val="left"/>
      <w:lvlText w:val="%1."/>
      <w:numFmt w:val="decimal"/>
      <w:start w:val="26"/>
    </w:lvl>
  </w:abstractNum>
  <w:abstractNum w:abstractNumId="7">
    <w:nsid w:val="628C895D"/>
    <w:multiLevelType w:val="hybridMultilevel"/>
    <w:lvl w:ilvl="0">
      <w:lvlJc w:val="left"/>
      <w:lvlText w:val="%1."/>
      <w:numFmt w:val="decimal"/>
      <w:start w:val="27"/>
    </w:lvl>
  </w:abstractNum>
  <w:abstractNum w:abstractNumId="8">
    <w:nsid w:val="333AB105"/>
    <w:multiLevelType w:val="hybridMultilevel"/>
    <w:lvl w:ilvl="0">
      <w:lvlJc w:val="left"/>
      <w:lvlText w:val="%1."/>
      <w:numFmt w:val="decimal"/>
      <w:start w:val="28"/>
    </w:lvl>
  </w:abstractNum>
  <w:abstractNum w:abstractNumId="9">
    <w:nsid w:val="721DA317"/>
    <w:multiLevelType w:val="hybridMultilevel"/>
    <w:lvl w:ilvl="0">
      <w:lvlJc w:val="left"/>
      <w:lvlText w:val="%1."/>
      <w:numFmt w:val="decimal"/>
      <w:start w:val="3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5"/>
      <w:numFmt w:val="bullet"/>
      <w:start w:val="1"/>
    </w:lvl>
  </w:abstractNum>
  <w:abstractNum w:abstractNumId="12">
    <w:nsid w:val="6763845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75A2A8D4"/>
    <w:multiLevelType w:val="hybridMultilevel"/>
    <w:lvl w:ilvl="0">
      <w:lvlJc w:val="left"/>
      <w:lvlText w:val="%1"/>
      <w:numFmt w:val="lowerLetter"/>
      <w:start w:val="1"/>
    </w:lvl>
    <w:lvl w:ilvl="1">
      <w:lvlJc w:val="left"/>
      <w:lvlText w:val="(%2)"/>
      <w:numFmt w:val="decimal"/>
      <w:start w:val="2"/>
    </w:lvl>
  </w:abstractNum>
  <w:abstractNum w:abstractNumId="14">
    <w:nsid w:val="8EDBDAB"/>
    <w:multiLevelType w:val="hybridMultilevel"/>
    <w:lvl w:ilvl="0">
      <w:lvlJc w:val="left"/>
      <w:lvlText w:val="(%1)"/>
      <w:numFmt w:val="lowerLetter"/>
      <w:start w:val="2"/>
    </w:lvl>
    <w:lvl w:ilvl="1">
      <w:lvlJc w:val="left"/>
      <w:lvlText w:val="%2"/>
      <w:numFmt w:val="decimal"/>
      <w:start w:val="1"/>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1"/>
      <w:numFmt w:val="decimal"/>
      <w:start w:val="12"/>
    </w:lvl>
  </w:abstractNum>
  <w:abstractNum w:abstractNumId="17">
    <w:nsid w:val="B03E0C6"/>
    <w:multiLevelType w:val="hybridMultilevel"/>
    <w:lvl w:ilvl="0">
      <w:lvlJc w:val="left"/>
      <w:lvlText w:val="%1"/>
      <w:numFmt w:val="decimal"/>
      <w:start w:val="15"/>
    </w:lvl>
  </w:abstractNum>
  <w:abstractNum w:abstractNumId="18">
    <w:nsid w:val="189A769B"/>
    <w:multiLevelType w:val="hybridMultilevel"/>
    <w:lvl w:ilvl="0">
      <w:lvlJc w:val="left"/>
      <w:lvlText w:val="%1"/>
      <w:numFmt w:val="decimal"/>
      <w:start w:val="24"/>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2020-10-07T01:23:45Z</dcterms:created>
  <dcterms:modified xsi:type="dcterms:W3CDTF">2020-10-07T01:23:45Z</dcterms:modified>
</cp:coreProperties>
</file>