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c49216_form11-k.htm"/>
      <w:bookmarkStart w:id="1" w:name="ksc49216_form11k"/>
      <w:bookmarkStart w:id="2" w:name="c49216_form11-k.htm"/>
      <w:bookmarkStart w:id="3" w:name="ksc49216_form11k"/>
      <w:bookmarkEnd w:id="2"/>
      <w:bookmarkEnd w:id="3"/>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28"/>
              </w:rPr>
            </w:pPr>
            <w:r>
              <w:rPr>
                <w:rFonts w:ascii="ARIAL" w:hAnsi="ARIAL"/>
                <w:sz w:val="28"/>
              </w:rPr>
              <w:t>UNITED STATES</w:t>
            </w:r>
          </w:p>
        </w:tc>
      </w:tr>
      <w:tr>
        <w:trPr/>
        <w:tc>
          <w:tcPr>
            <w:tcW w:w="10205" w:type="dxa"/>
            <w:tcBorders/>
            <w:shd w:fill="auto" w:val="clear"/>
          </w:tcPr>
          <w:p>
            <w:pPr>
              <w:pStyle w:val="TableContents"/>
              <w:spacing w:before="0" w:after="283"/>
              <w:jc w:val="center"/>
              <w:rPr>
                <w:rFonts w:ascii="ARIAL" w:hAnsi="ARIAL"/>
                <w:sz w:val="28"/>
              </w:rPr>
            </w:pPr>
            <w:r>
              <w:rPr>
                <w:rFonts w:ascii="ARIAL" w:hAnsi="ARIAL"/>
                <w:sz w:val="28"/>
              </w:rPr>
              <w:t>SECURITIES AND EXCHANGE COMMISSION</w:t>
            </w:r>
          </w:p>
        </w:tc>
      </w:tr>
      <w:tr>
        <w:trPr/>
        <w:tc>
          <w:tcPr>
            <w:tcW w:w="10205" w:type="dxa"/>
            <w:tcBorders/>
            <w:shd w:fill="auto" w:val="clear"/>
          </w:tcPr>
          <w:p>
            <w:pPr>
              <w:pStyle w:val="TableContents"/>
              <w:spacing w:before="0" w:after="283"/>
              <w:jc w:val="center"/>
              <w:rPr>
                <w:rFonts w:ascii="ARIAL" w:hAnsi="ARIAL"/>
                <w:sz w:val="24"/>
              </w:rPr>
            </w:pPr>
            <w:r>
              <w:rPr>
                <w:rFonts w:ascii="ARIAL" w:hAnsi="ARIAL"/>
                <w:sz w:val="24"/>
              </w:rPr>
              <w:t>WASHINGTON, D.C. 20549</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36"/>
              </w:rPr>
            </w:pPr>
            <w:r>
              <w:rPr>
                <w:rFonts w:ascii="ARIAL" w:hAnsi="ARIAL"/>
                <w:sz w:val="36"/>
              </w:rPr>
              <w:t>Form 11-K</w:t>
            </w:r>
          </w:p>
        </w:tc>
      </w:tr>
    </w:tbl>
    <w:p>
      <w:pPr>
        <w:pStyle w:val="HorizontalLine"/>
        <w:pBdr>
          <w:bottom w:val="single" w:sz="6" w:space="0" w:color="80808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WINGDINGS" w:hAnsi="WINGDINGS"/>
                <w:sz w:val="24"/>
              </w:rPr>
            </w:pPr>
            <w:r>
              <w:rPr>
                <w:rFonts w:ascii="WINGDINGS" w:hAnsi="WINGDINGS"/>
                <w:sz w:val="24"/>
              </w:rPr>
              <w:t>x     </w:t>
            </w:r>
            <w:r>
              <w:rPr>
                <w:rFonts w:ascii="ARIAL" w:hAnsi="ARIAL"/>
                <w:sz w:val="24"/>
              </w:rPr>
              <w:t>ANNUAL REPORT PURSUANT TO SECTION 15(d)</w:t>
            </w:r>
          </w:p>
        </w:tc>
      </w:tr>
      <w:tr>
        <w:trPr/>
        <w:tc>
          <w:tcPr>
            <w:tcW w:w="10205" w:type="dxa"/>
            <w:tcBorders/>
            <w:shd w:fill="auto" w:val="clear"/>
          </w:tcPr>
          <w:p>
            <w:pPr>
              <w:pStyle w:val="TableContents"/>
              <w:spacing w:before="0" w:after="283"/>
              <w:jc w:val="center"/>
              <w:rPr/>
            </w:pPr>
            <w:r>
              <w:rPr/>
              <w:t>        </w:t>
            </w:r>
            <w:r>
              <w:rPr>
                <w:rFonts w:ascii="ARIAL" w:hAnsi="ARIAL"/>
                <w:sz w:val="24"/>
              </w:rPr>
              <w:t>OF THE SECURITIES EXCHANGE ACT OF 1934</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For the fiscal year ended December 31, 2006</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OR</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WINGDINGS" w:hAnsi="WINGDINGS"/>
                <w:sz w:val="24"/>
              </w:rPr>
            </w:pPr>
            <w:r>
              <w:rPr>
                <w:rFonts w:ascii="WINGDINGS" w:hAnsi="WINGDINGS"/>
                <w:sz w:val="24"/>
              </w:rPr>
              <w:t>o     </w:t>
            </w:r>
            <w:r>
              <w:rPr>
                <w:rFonts w:ascii="ARIAL" w:hAnsi="ARIAL"/>
                <w:sz w:val="24"/>
              </w:rPr>
              <w:t>TRANSITION REPORT PURSUANT TO SECTION 15(d)</w:t>
            </w:r>
          </w:p>
        </w:tc>
      </w:tr>
      <w:tr>
        <w:trPr/>
        <w:tc>
          <w:tcPr>
            <w:tcW w:w="10205" w:type="dxa"/>
            <w:tcBorders/>
            <w:shd w:fill="auto" w:val="clear"/>
          </w:tcPr>
          <w:p>
            <w:pPr>
              <w:pStyle w:val="TableContents"/>
              <w:spacing w:before="0" w:after="283"/>
              <w:jc w:val="center"/>
              <w:rPr/>
            </w:pPr>
            <w:r>
              <w:rPr/>
              <w:t>       </w:t>
            </w:r>
            <w:r>
              <w:rPr>
                <w:rFonts w:ascii="ARIAL" w:hAnsi="ARIAL"/>
                <w:sz w:val="24"/>
              </w:rPr>
              <w:t>OF THE SECURITIES EXCHANGE ACT OF 1934</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For the transition period from _______________ to _______________</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Commission file number 1-8974</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HorizontalLine"/>
              <w:pBdr>
                <w:bottom w:val="single" w:sz="6" w:space="0" w:color="808080"/>
              </w:pBdr>
              <w:spacing w:before="0" w:after="283"/>
              <w:rPr/>
            </w:pPr>
            <w:r>
              <w:rPr/>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36"/>
              </w:rPr>
            </w:pPr>
            <w:r>
              <w:rPr>
                <w:rFonts w:ascii="ARIAL" w:hAnsi="ARIAL"/>
                <w:sz w:val="36"/>
              </w:rPr>
              <w:t>Honeywell Savings and Ownership Plan</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(Full Title of Plan)</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HorizontalLine"/>
              <w:pBdr>
                <w:bottom w:val="single" w:sz="6" w:space="0" w:color="808080"/>
              </w:pBdr>
              <w:spacing w:before="0" w:after="283"/>
              <w:rPr/>
            </w:pPr>
            <w:r>
              <w:rPr/>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Honeywell International Inc.</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101 Columbia Road</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Morris Township, NJ 07962</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(Name of Issuer of Securities Held Pursuant to the Plan and</w:t>
            </w:r>
          </w:p>
        </w:tc>
      </w:tr>
      <w:tr>
        <w:trPr/>
        <w:tc>
          <w:tcPr>
            <w:tcW w:w="10205" w:type="dxa"/>
            <w:tcBorders/>
            <w:shd w:fill="auto" w:val="clear"/>
          </w:tcPr>
          <w:p>
            <w:pPr>
              <w:pStyle w:val="TableContents"/>
              <w:spacing w:before="0" w:after="283"/>
              <w:jc w:val="center"/>
              <w:rPr>
                <w:rFonts w:ascii="ARIAL" w:hAnsi="ARIAL"/>
                <w:sz w:val="20"/>
              </w:rPr>
            </w:pPr>
            <w:r>
              <w:rPr>
                <w:rFonts w:ascii="ARIAL" w:hAnsi="ARIAL"/>
                <w:sz w:val="20"/>
              </w:rPr>
              <w:t>the Address of its Principal Executive Office)</w:t>
            </w:r>
          </w:p>
        </w:tc>
      </w:tr>
    </w:tbl>
    <w:p>
      <w:pPr>
        <w:pStyle w:val="TextBody"/>
        <w:spacing w:before="0" w:after="0"/>
        <w:rPr/>
      </w:pPr>
      <w:r>
        <w:rPr/>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rPr>
          <w:rFonts w:ascii="ARIAL" w:hAnsi="ARIAL"/>
          <w:b/>
          <w:sz w:val="28"/>
        </w:rPr>
      </w:pPr>
      <w:r>
        <w:rPr>
          <w:rFonts w:ascii="ARIAL" w:hAnsi="ARIAL"/>
          <w:b/>
          <w:sz w:val="28"/>
        </w:rPr>
        <w:t>Honeywell Savings and Ownership Plan</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Index</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8970"/>
        <w:gridCol w:w="1235"/>
      </w:tblGrid>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b/>
                <w:sz w:val="14"/>
              </w:rPr>
            </w:pPr>
            <w:r>
              <w:rPr>
                <w:b/>
                <w:sz w:val="14"/>
              </w:rPr>
              <w:t>Page(s)</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hyperlink w:anchor="A001">
              <w:r>
                <w:rPr>
                  <w:rStyle w:val="InternetLink"/>
                  <w:b/>
                  <w:sz w:val="20"/>
                </w:rPr>
                <w:t>Report of Independent Registered Public Accounting Firm</w:t>
              </w:r>
            </w:hyperlink>
          </w:p>
        </w:tc>
        <w:tc>
          <w:tcPr>
            <w:tcW w:w="1235" w:type="dxa"/>
            <w:tcBorders/>
            <w:shd w:fill="auto" w:val="clear"/>
          </w:tcPr>
          <w:p>
            <w:pPr>
              <w:pStyle w:val="TableContents"/>
              <w:spacing w:before="0" w:after="283"/>
              <w:jc w:val="center"/>
              <w:rPr>
                <w:sz w:val="20"/>
              </w:rPr>
            </w:pPr>
            <w:r>
              <w:rPr>
                <w:sz w:val="20"/>
              </w:rPr>
              <w:t>2</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b/>
                <w:sz w:val="20"/>
              </w:rPr>
            </w:pPr>
            <w:r>
              <w:rPr>
                <w:b/>
                <w:sz w:val="20"/>
              </w:rPr>
              <w:t>Financial Statements</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hyperlink w:anchor="A002">
              <w:r>
                <w:rPr>
                  <w:rStyle w:val="InternetLink"/>
                  <w:sz w:val="20"/>
                </w:rPr>
                <w:t>Statements of Net Assets Available for Benefits at December 31, 2006 and 2005</w:t>
              </w:r>
            </w:hyperlink>
          </w:p>
        </w:tc>
        <w:tc>
          <w:tcPr>
            <w:tcW w:w="1235" w:type="dxa"/>
            <w:tcBorders/>
            <w:shd w:fill="auto" w:val="clear"/>
          </w:tcPr>
          <w:p>
            <w:pPr>
              <w:pStyle w:val="TableContents"/>
              <w:spacing w:before="0" w:after="283"/>
              <w:jc w:val="center"/>
              <w:rPr>
                <w:sz w:val="20"/>
              </w:rPr>
            </w:pPr>
            <w:r>
              <w:rPr>
                <w:sz w:val="20"/>
              </w:rPr>
              <w:t>3</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hyperlink w:anchor="A003">
              <w:r>
                <w:rPr>
                  <w:rStyle w:val="InternetLink"/>
                  <w:sz w:val="20"/>
                </w:rPr>
                <w:t>Statement of Changes in Net Assets Available for Benefits for the year ended December 31, 2006</w:t>
              </w:r>
            </w:hyperlink>
          </w:p>
        </w:tc>
        <w:tc>
          <w:tcPr>
            <w:tcW w:w="1235" w:type="dxa"/>
            <w:tcBorders/>
            <w:shd w:fill="auto" w:val="clear"/>
          </w:tcPr>
          <w:p>
            <w:pPr>
              <w:pStyle w:val="TableContents"/>
              <w:spacing w:before="0" w:after="283"/>
              <w:jc w:val="center"/>
              <w:rPr>
                <w:sz w:val="20"/>
              </w:rPr>
            </w:pPr>
            <w:r>
              <w:rPr>
                <w:sz w:val="20"/>
              </w:rPr>
              <w:t>4</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hyperlink w:anchor="A004">
              <w:r>
                <w:rPr>
                  <w:rStyle w:val="InternetLink"/>
                  <w:sz w:val="20"/>
                </w:rPr>
                <w:t>Notes to Financial Statements</w:t>
              </w:r>
            </w:hyperlink>
          </w:p>
        </w:tc>
        <w:tc>
          <w:tcPr>
            <w:tcW w:w="1235" w:type="dxa"/>
            <w:tcBorders/>
            <w:shd w:fill="auto" w:val="clear"/>
          </w:tcPr>
          <w:p>
            <w:pPr>
              <w:pStyle w:val="TableContents"/>
              <w:spacing w:before="0" w:after="283"/>
              <w:jc w:val="center"/>
              <w:rPr>
                <w:sz w:val="20"/>
              </w:rPr>
            </w:pPr>
            <w:r>
              <w:rPr>
                <w:sz w:val="20"/>
              </w:rPr>
              <w:t>5-13</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b/>
                <w:sz w:val="20"/>
              </w:rPr>
            </w:pPr>
            <w:r>
              <w:rPr>
                <w:b/>
                <w:sz w:val="20"/>
              </w:rPr>
              <w:t>Supplemental Schedule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hyperlink w:anchor="A005">
              <w:r>
                <w:rPr>
                  <w:rStyle w:val="InternetLink"/>
                  <w:sz w:val="20"/>
                </w:rPr>
                <w:t>Schedule H, Line 4(i) - Schedule of Assets (Held at End of Year)</w:t>
              </w:r>
            </w:hyperlink>
          </w:p>
        </w:tc>
        <w:tc>
          <w:tcPr>
            <w:tcW w:w="1235" w:type="dxa"/>
            <w:tcBorders/>
            <w:shd w:fill="auto" w:val="clear"/>
          </w:tcPr>
          <w:p>
            <w:pPr>
              <w:pStyle w:val="TableContents"/>
              <w:spacing w:before="0" w:after="283"/>
              <w:jc w:val="center"/>
              <w:rPr>
                <w:sz w:val="20"/>
              </w:rPr>
            </w:pPr>
            <w:r>
              <w:rPr>
                <w:sz w:val="20"/>
              </w:rPr>
              <w:t>14</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hyperlink w:anchor="A006">
              <w:r>
                <w:rPr>
                  <w:rStyle w:val="InternetLink"/>
                  <w:b/>
                  <w:sz w:val="20"/>
                </w:rPr>
                <w:t>Signatures</w:t>
              </w:r>
            </w:hyperlink>
          </w:p>
        </w:tc>
        <w:tc>
          <w:tcPr>
            <w:tcW w:w="1235" w:type="dxa"/>
            <w:tcBorders/>
            <w:shd w:fill="auto" w:val="clear"/>
          </w:tcPr>
          <w:p>
            <w:pPr>
              <w:pStyle w:val="TableContents"/>
              <w:spacing w:before="0" w:after="283"/>
              <w:jc w:val="center"/>
              <w:rPr>
                <w:sz w:val="20"/>
              </w:rPr>
            </w:pPr>
            <w:r>
              <w:rPr>
                <w:sz w:val="20"/>
              </w:rPr>
              <w:t>15</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b/>
                <w:sz w:val="20"/>
              </w:rPr>
            </w:pPr>
            <w:r>
              <w:rPr>
                <w:b/>
                <w:sz w:val="20"/>
              </w:rPr>
              <w:t>Exhibit</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r>
              <w:rPr/>
              <w:t> </w:t>
            </w:r>
          </w:p>
        </w:tc>
        <w:tc>
          <w:tcPr>
            <w:tcW w:w="1235" w:type="dxa"/>
            <w:tcBorders/>
            <w:shd w:fill="auto" w:val="clear"/>
          </w:tcPr>
          <w:p>
            <w:pPr>
              <w:pStyle w:val="TableContents"/>
              <w:spacing w:before="0" w:after="283"/>
              <w:jc w:val="center"/>
              <w:rPr/>
            </w:pPr>
            <w:r>
              <w:rPr/>
              <w:t> </w:t>
            </w:r>
          </w:p>
        </w:tc>
      </w:tr>
      <w:tr>
        <w:trPr/>
        <w:tc>
          <w:tcPr>
            <w:tcW w:w="8970" w:type="dxa"/>
            <w:tcBorders/>
            <w:shd w:fill="auto" w:val="clear"/>
          </w:tcPr>
          <w:p>
            <w:pPr>
              <w:pStyle w:val="TableContents"/>
              <w:spacing w:before="0" w:after="283"/>
              <w:rPr/>
            </w:pPr>
            <w:hyperlink w:anchor="A007">
              <w:r>
                <w:rPr>
                  <w:rStyle w:val="InternetLink"/>
                  <w:sz w:val="20"/>
                </w:rPr>
                <w:t>Exhibit I  Consent of Independent Registered Public Accounting Firm</w:t>
              </w:r>
            </w:hyperlink>
          </w:p>
        </w:tc>
        <w:tc>
          <w:tcPr>
            <w:tcW w:w="1235" w:type="dxa"/>
            <w:tcBorders/>
            <w:shd w:fill="auto" w:val="clear"/>
          </w:tcPr>
          <w:p>
            <w:pPr>
              <w:pStyle w:val="TableContents"/>
              <w:spacing w:before="0" w:after="283"/>
              <w:jc w:val="center"/>
              <w:rPr>
                <w:sz w:val="20"/>
              </w:rPr>
            </w:pPr>
            <w:r>
              <w:rPr>
                <w:sz w:val="20"/>
              </w:rPr>
              <w:t>16</w:t>
            </w:r>
          </w:p>
        </w:tc>
      </w:tr>
    </w:tbl>
    <w:p>
      <w:pPr>
        <w:pStyle w:val="TextBody"/>
        <w:rPr>
          <w:sz w:val="20"/>
        </w:rPr>
      </w:pPr>
      <w:r>
        <w:rPr>
          <w:sz w:val="20"/>
        </w:rPr>
        <w:t>* Other schedules required by Section 2520.103-10 of the Department of Labor Rules and Regulations for Reporting and Disclosure under the Employee Retirement Income Security Act of 1974 have been omitted as the conditions under which they are required are not present.</w:t>
      </w:r>
    </w:p>
    <w:p>
      <w:pPr>
        <w:pStyle w:val="TextBody"/>
        <w:jc w:val="center"/>
        <w:rPr>
          <w:sz w:val="20"/>
        </w:rPr>
      </w:pPr>
      <w:r>
        <w:rPr>
          <w:sz w:val="20"/>
        </w:rPr>
        <w:t>1</w:t>
      </w:r>
    </w:p>
    <w:p>
      <w:pPr>
        <w:pStyle w:val="HorizontalLine"/>
        <w:pBdr>
          <w:bottom w:val="single" w:sz="24" w:space="0" w:color="808080"/>
        </w:pBdr>
        <w:rPr/>
      </w:pPr>
      <w:r>
        <w:rPr/>
      </w:r>
      <w:r>
        <w:br w:type="page"/>
      </w:r>
    </w:p>
    <w:p>
      <w:pPr>
        <w:pStyle w:val="TextBody"/>
        <w:jc w:val="center"/>
        <w:rPr>
          <w:b/>
          <w:sz w:val="20"/>
        </w:rPr>
      </w:pPr>
      <w:bookmarkStart w:id="4" w:name="A001"/>
      <w:bookmarkEnd w:id="4"/>
      <w:r>
        <w:rPr>
          <w:b/>
          <w:sz w:val="20"/>
        </w:rPr>
        <w:t>Report of Independent Registered Public Accounting Firm</w:t>
      </w:r>
    </w:p>
    <w:p>
      <w:pPr>
        <w:pStyle w:val="TextBody"/>
        <w:rPr>
          <w:sz w:val="20"/>
        </w:rPr>
      </w:pPr>
      <w:r>
        <w:rPr>
          <w:sz w:val="20"/>
        </w:rPr>
        <w:t>To the Participants and Administrator of</w:t>
        <w:br/>
        <w:t>Honeywell Savings and Ownership Plan</w:t>
      </w:r>
    </w:p>
    <w:p>
      <w:pPr>
        <w:pStyle w:val="TextBody"/>
        <w:rPr>
          <w:sz w:val="20"/>
        </w:rPr>
      </w:pPr>
      <w:r>
        <w:rPr>
          <w:sz w:val="20"/>
        </w:rPr>
        <w:t>In our opinion, the accompanying statements of net assets available for benefits and the related statement of changes in net assets available for benefits present fairly, in all material respects, the net assets available for benefits of Honeywell Savings and Ownership Plan, (the Plan) at December 31, 2006 and 2005, and the changes in net assets available for benefits for the year ended December 31, 2006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pStyle w:val="TextBody"/>
        <w:rPr>
          <w:sz w:val="20"/>
        </w:rPr>
      </w:pPr>
      <w:r>
        <w:rPr>
          <w:sz w:val="20"/>
        </w:rPr>
        <w:t>Our audits were conducted for the purpose of forming an opinion on the basic financial statements taken as a whole. The supplemental schedule of assets (held at end of year)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sz w:val="20"/>
              </w:rPr>
            </w:pPr>
            <w:r>
              <w:rPr>
                <w:sz w:val="20"/>
              </w:rPr>
              <w:t>/s/ PricewaterhouseCoopers LLP</w:t>
            </w:r>
          </w:p>
        </w:tc>
      </w:tr>
      <w:tr>
        <w:trPr/>
        <w:tc>
          <w:tcPr>
            <w:tcW w:w="10205" w:type="dxa"/>
            <w:tcBorders/>
            <w:shd w:fill="auto" w:val="clear"/>
          </w:tcPr>
          <w:p>
            <w:pPr>
              <w:pStyle w:val="HorizontalLine"/>
              <w:pBdr>
                <w:bottom w:val="single" w:sz="6" w:space="0" w:color="808080"/>
              </w:pBdr>
              <w:spacing w:before="0" w:after="283"/>
              <w:rPr/>
            </w:pPr>
            <w:r>
              <w:rPr/>
            </w:r>
          </w:p>
        </w:tc>
      </w:tr>
      <w:tr>
        <w:trPr/>
        <w:tc>
          <w:tcPr>
            <w:tcW w:w="10205" w:type="dxa"/>
            <w:tcBorders/>
            <w:shd w:fill="auto" w:val="clear"/>
          </w:tcPr>
          <w:p>
            <w:pPr>
              <w:pStyle w:val="TableContents"/>
              <w:spacing w:before="0" w:after="283"/>
              <w:rPr>
                <w:sz w:val="20"/>
              </w:rPr>
            </w:pPr>
            <w:r>
              <w:rPr>
                <w:sz w:val="20"/>
              </w:rPr>
              <w:t>Florham Park, New Jersey</w:t>
            </w:r>
          </w:p>
        </w:tc>
      </w:tr>
      <w:tr>
        <w:trPr/>
        <w:tc>
          <w:tcPr>
            <w:tcW w:w="10205" w:type="dxa"/>
            <w:tcBorders/>
            <w:shd w:fill="auto" w:val="clear"/>
          </w:tcPr>
          <w:p>
            <w:pPr>
              <w:pStyle w:val="TableContents"/>
              <w:spacing w:before="0" w:after="283"/>
              <w:rPr>
                <w:sz w:val="20"/>
              </w:rPr>
            </w:pPr>
            <w:r>
              <w:rPr>
                <w:sz w:val="20"/>
              </w:rPr>
              <w:t>June 20, 2007</w:t>
            </w:r>
          </w:p>
        </w:tc>
      </w:tr>
    </w:tbl>
    <w:p>
      <w:pPr>
        <w:pStyle w:val="TextBody"/>
        <w:jc w:val="center"/>
        <w:rPr>
          <w:sz w:val="20"/>
        </w:rPr>
      </w:pPr>
      <w:r>
        <w:rPr>
          <w:sz w:val="20"/>
        </w:rPr>
        <w:t>2</w:t>
      </w:r>
    </w:p>
    <w:p>
      <w:pPr>
        <w:pStyle w:val="HorizontalLine"/>
        <w:pBdr>
          <w:bottom w:val="single" w:sz="24" w:space="0" w:color="808080"/>
        </w:pBdr>
        <w:rPr/>
      </w:pPr>
      <w:r>
        <w:rPr/>
      </w:r>
      <w:r>
        <w:br w:type="page"/>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pageBreakBefore/>
              <w:spacing w:before="0" w:after="283"/>
              <w:rPr/>
            </w:pPr>
            <w:r>
              <w:rPr/>
              <w:t> </w:t>
            </w:r>
          </w:p>
        </w:tc>
      </w:tr>
      <w:tr>
        <w:trPr/>
        <w:tc>
          <w:tcPr>
            <w:tcW w:w="10205" w:type="dxa"/>
            <w:tcBorders/>
            <w:shd w:fill="auto" w:val="clear"/>
          </w:tcPr>
          <w:p>
            <w:pPr>
              <w:pStyle w:val="TableContents"/>
              <w:spacing w:before="0" w:after="283"/>
              <w:rPr>
                <w:rFonts w:ascii="ARIAL" w:hAnsi="ARIAL"/>
                <w:b/>
                <w:sz w:val="28"/>
              </w:rPr>
            </w:pPr>
            <w:r>
              <w:rPr>
                <w:rFonts w:ascii="ARIAL" w:hAnsi="ARIAL"/>
                <w:b/>
                <w:sz w:val="28"/>
              </w:rPr>
              <w:t xml:space="preserve">Honeywell Savings and Ownership Plan </w:t>
            </w:r>
            <w:bookmarkStart w:id="5" w:name="A002"/>
            <w:bookmarkEnd w:id="5"/>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Statements of Net Assets Available for Benefits</w:t>
            </w:r>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at December 31, 2006 and 2005</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7227"/>
        <w:gridCol w:w="305"/>
        <w:gridCol w:w="128"/>
        <w:gridCol w:w="997"/>
        <w:gridCol w:w="305"/>
        <w:gridCol w:w="128"/>
        <w:gridCol w:w="997"/>
        <w:gridCol w:w="118"/>
      </w:tblGrid>
      <w:tr>
        <w:trPr/>
        <w:tc>
          <w:tcPr>
            <w:tcW w:w="7227" w:type="dxa"/>
            <w:tcBorders/>
            <w:shd w:fill="auto" w:val="clear"/>
            <w:vAlign w:val="bottom"/>
          </w:tcPr>
          <w:p>
            <w:pPr>
              <w:pStyle w:val="TableContents"/>
              <w:spacing w:before="0" w:after="283"/>
              <w:ind w:left="173" w:right="0" w:hanging="173"/>
              <w:rPr/>
            </w:pPr>
            <w:r>
              <w:rPr/>
              <w:t> </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 </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 </w:t>
            </w:r>
          </w:p>
        </w:tc>
        <w:tc>
          <w:tcPr>
            <w:tcW w:w="118" w:type="dxa"/>
            <w:tcBorders/>
            <w:shd w:fill="auto"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center"/>
              <w:rPr/>
            </w:pPr>
            <w:r>
              <w:rPr/>
              <w:t> </w:t>
            </w:r>
          </w:p>
        </w:tc>
        <w:tc>
          <w:tcPr>
            <w:tcW w:w="1125" w:type="dxa"/>
            <w:gridSpan w:val="2"/>
            <w:tcBorders/>
            <w:shd w:fill="auto" w:val="clear"/>
            <w:vAlign w:val="bottom"/>
          </w:tcPr>
          <w:p>
            <w:pPr>
              <w:pStyle w:val="TableContents"/>
              <w:spacing w:before="0" w:after="283"/>
              <w:jc w:val="center"/>
              <w:rPr>
                <w:b/>
                <w:sz w:val="14"/>
              </w:rPr>
            </w:pPr>
            <w:r>
              <w:rPr>
                <w:b/>
                <w:sz w:val="14"/>
              </w:rPr>
              <w:t>2006</w:t>
            </w:r>
          </w:p>
        </w:tc>
        <w:tc>
          <w:tcPr>
            <w:tcW w:w="305" w:type="dxa"/>
            <w:tcBorders/>
            <w:shd w:fill="auto" w:val="clear"/>
            <w:vAlign w:val="bottom"/>
          </w:tcPr>
          <w:p>
            <w:pPr>
              <w:pStyle w:val="TableContents"/>
              <w:spacing w:before="0" w:after="283"/>
              <w:jc w:val="center"/>
              <w:rPr/>
            </w:pPr>
            <w:r>
              <w:rPr/>
              <w:t> </w:t>
            </w:r>
          </w:p>
        </w:tc>
        <w:tc>
          <w:tcPr>
            <w:tcW w:w="1125" w:type="dxa"/>
            <w:gridSpan w:val="2"/>
            <w:tcBorders/>
            <w:shd w:fill="auto" w:val="clear"/>
            <w:vAlign w:val="bottom"/>
          </w:tcPr>
          <w:p>
            <w:pPr>
              <w:pStyle w:val="TableContents"/>
              <w:spacing w:before="0" w:after="283"/>
              <w:jc w:val="center"/>
              <w:rPr>
                <w:b/>
                <w:sz w:val="14"/>
              </w:rPr>
            </w:pPr>
            <w:r>
              <w:rPr>
                <w:b/>
                <w:sz w:val="14"/>
              </w:rPr>
              <w:t>2005</w:t>
            </w:r>
          </w:p>
        </w:tc>
        <w:tc>
          <w:tcPr>
            <w:tcW w:w="118" w:type="dxa"/>
            <w:tcBorders/>
            <w:shd w:fill="auto" w:val="clear"/>
            <w:vAlign w:val="bottom"/>
          </w:tcPr>
          <w:p>
            <w:pPr>
              <w:pStyle w:val="TableContents"/>
              <w:spacing w:before="0" w:after="283"/>
              <w:jc w:val="center"/>
              <w:rPr/>
            </w:pPr>
            <w:r>
              <w:rPr/>
              <w:t> </w:t>
            </w:r>
          </w:p>
        </w:tc>
      </w:tr>
      <w:tr>
        <w:trPr/>
        <w:tc>
          <w:tcPr>
            <w:tcW w:w="722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center"/>
              <w:rPr/>
            </w:pPr>
            <w:r>
              <w:rPr/>
              <w:t> </w:t>
            </w:r>
          </w:p>
        </w:tc>
        <w:tc>
          <w:tcPr>
            <w:tcW w:w="1125" w:type="dxa"/>
            <w:gridSpan w:val="2"/>
            <w:tcBorders/>
            <w:shd w:fill="auto" w:val="clear"/>
            <w:vAlign w:val="bottom"/>
          </w:tcPr>
          <w:p>
            <w:pPr>
              <w:pStyle w:val="HorizontalLine"/>
              <w:pBdr>
                <w:bottom w:val="single" w:sz="6" w:space="0" w:color="000000"/>
              </w:pBdr>
              <w:spacing w:before="0" w:after="283"/>
              <w:rPr/>
            </w:pPr>
            <w:r>
              <w:rPr/>
            </w:r>
          </w:p>
        </w:tc>
        <w:tc>
          <w:tcPr>
            <w:tcW w:w="305" w:type="dxa"/>
            <w:tcBorders/>
            <w:shd w:fill="auto" w:val="clear"/>
            <w:vAlign w:val="bottom"/>
          </w:tcPr>
          <w:p>
            <w:pPr>
              <w:pStyle w:val="TableContents"/>
              <w:spacing w:before="0" w:after="283"/>
              <w:jc w:val="center"/>
              <w:rPr/>
            </w:pPr>
            <w:r>
              <w:rPr/>
              <w:t> </w:t>
            </w:r>
          </w:p>
        </w:tc>
        <w:tc>
          <w:tcPr>
            <w:tcW w:w="1125" w:type="dxa"/>
            <w:gridSpan w:val="2"/>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jc w:val="center"/>
              <w:rPr/>
            </w:pPr>
            <w:r>
              <w:rPr/>
              <w:t> </w:t>
            </w:r>
          </w:p>
        </w:tc>
      </w:tr>
      <w:tr>
        <w:trPr/>
        <w:tc>
          <w:tcPr>
            <w:tcW w:w="7227" w:type="dxa"/>
            <w:tcBorders/>
            <w:shd w:fill="auto" w:val="clear"/>
            <w:vAlign w:val="bottom"/>
          </w:tcPr>
          <w:p>
            <w:pPr>
              <w:pStyle w:val="TableContents"/>
              <w:spacing w:before="0" w:after="283"/>
              <w:ind w:left="173" w:right="0" w:hanging="173"/>
              <w:rPr/>
            </w:pPr>
            <w:r>
              <w:rPr/>
              <w:t> </w:t>
            </w:r>
          </w:p>
        </w:tc>
        <w:tc>
          <w:tcPr>
            <w:tcW w:w="305" w:type="dxa"/>
            <w:tcBorders/>
            <w:shd w:fill="auto" w:val="clear"/>
            <w:vAlign w:val="bottom"/>
          </w:tcPr>
          <w:p>
            <w:pPr>
              <w:pStyle w:val="TableContents"/>
              <w:spacing w:before="0" w:after="283"/>
              <w:rPr/>
            </w:pPr>
            <w:r>
              <w:rPr/>
              <w:t> </w:t>
            </w:r>
          </w:p>
        </w:tc>
        <w:tc>
          <w:tcPr>
            <w:tcW w:w="2555" w:type="dxa"/>
            <w:gridSpan w:val="5"/>
            <w:tcBorders/>
            <w:shd w:fill="auto" w:val="clear"/>
            <w:vAlign w:val="bottom"/>
          </w:tcPr>
          <w:p>
            <w:pPr>
              <w:pStyle w:val="TableContents"/>
              <w:spacing w:before="0" w:after="283"/>
              <w:jc w:val="center"/>
              <w:rPr>
                <w:sz w:val="14"/>
              </w:rPr>
            </w:pPr>
            <w:r>
              <w:rPr>
                <w:b/>
                <w:i/>
                <w:sz w:val="14"/>
              </w:rPr>
              <w:t>(dollars in millions)</w:t>
            </w:r>
            <w:r>
              <w:rPr>
                <w:sz w:val="14"/>
              </w:rPr>
              <w:t xml:space="preserve"> </w:t>
            </w:r>
          </w:p>
        </w:tc>
        <w:tc>
          <w:tcPr>
            <w:tcW w:w="118" w:type="dxa"/>
            <w:tcBorders/>
            <w:shd w:fill="auto" w:val="clear"/>
            <w:vAlign w:val="bottom"/>
          </w:tcPr>
          <w:p>
            <w:pPr>
              <w:pStyle w:val="TableContents"/>
              <w:spacing w:before="0" w:after="283"/>
              <w:rPr/>
            </w:pPr>
            <w:r>
              <w:rPr/>
              <w:t> </w:t>
            </w:r>
          </w:p>
        </w:tc>
      </w:tr>
      <w:tr>
        <w:trPr/>
        <w:tc>
          <w:tcPr>
            <w:tcW w:w="7227" w:type="dxa"/>
            <w:tcBorders/>
            <w:shd w:fill="E6E6E6" w:val="clear"/>
            <w:vAlign w:val="bottom"/>
          </w:tcPr>
          <w:p>
            <w:pPr>
              <w:pStyle w:val="TableContents"/>
              <w:spacing w:before="0" w:after="283"/>
              <w:ind w:left="173" w:right="0" w:hanging="173"/>
              <w:rPr>
                <w:sz w:val="20"/>
              </w:rPr>
            </w:pPr>
            <w:r>
              <w:rPr>
                <w:sz w:val="20"/>
              </w:rPr>
              <w:t xml:space="preserve">Plan interest in Honeywell Savings and Ownership Plan Master Trust, at fair value </w:t>
            </w:r>
          </w:p>
        </w:tc>
        <w:tc>
          <w:tcPr>
            <w:tcW w:w="305"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sz w:val="20"/>
              </w:rPr>
            </w:pPr>
            <w:r>
              <w:rPr>
                <w:sz w:val="20"/>
              </w:rPr>
              <w:t>$</w:t>
            </w:r>
          </w:p>
        </w:tc>
        <w:tc>
          <w:tcPr>
            <w:tcW w:w="997" w:type="dxa"/>
            <w:tcBorders/>
            <w:shd w:fill="E6E6E6" w:val="clear"/>
            <w:vAlign w:val="bottom"/>
          </w:tcPr>
          <w:p>
            <w:pPr>
              <w:pStyle w:val="TableContents"/>
              <w:spacing w:before="0" w:after="283"/>
              <w:jc w:val="right"/>
              <w:rPr>
                <w:sz w:val="20"/>
              </w:rPr>
            </w:pPr>
            <w:r>
              <w:rPr>
                <w:sz w:val="20"/>
              </w:rPr>
              <w:t>8,123</w:t>
            </w:r>
          </w:p>
        </w:tc>
        <w:tc>
          <w:tcPr>
            <w:tcW w:w="305"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sz w:val="20"/>
              </w:rPr>
            </w:pPr>
            <w:r>
              <w:rPr>
                <w:sz w:val="20"/>
              </w:rPr>
              <w:t>$</w:t>
            </w:r>
          </w:p>
        </w:tc>
        <w:tc>
          <w:tcPr>
            <w:tcW w:w="997" w:type="dxa"/>
            <w:tcBorders/>
            <w:shd w:fill="E6E6E6" w:val="clear"/>
            <w:vAlign w:val="bottom"/>
          </w:tcPr>
          <w:p>
            <w:pPr>
              <w:pStyle w:val="TableContents"/>
              <w:spacing w:before="0" w:after="283"/>
              <w:jc w:val="right"/>
              <w:rPr>
                <w:sz w:val="20"/>
              </w:rPr>
            </w:pPr>
            <w:r>
              <w:rPr>
                <w:sz w:val="20"/>
              </w:rPr>
              <w:t xml:space="preserve">7,219 </w:t>
            </w:r>
          </w:p>
        </w:tc>
        <w:tc>
          <w:tcPr>
            <w:tcW w:w="118" w:type="dxa"/>
            <w:tcBorders/>
            <w:shd w:fill="E6E6E6"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ind w:left="173" w:right="0" w:hanging="173"/>
              <w:rPr>
                <w:sz w:val="20"/>
              </w:rPr>
            </w:pPr>
            <w:r>
              <w:rPr>
                <w:sz w:val="20"/>
              </w:rPr>
              <w:t xml:space="preserve">Participant loans, at fair value </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sz w:val="20"/>
              </w:rPr>
            </w:pPr>
            <w:r>
              <w:rPr>
                <w:sz w:val="20"/>
              </w:rPr>
              <w:t>144</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sz w:val="20"/>
              </w:rPr>
            </w:pPr>
            <w:r>
              <w:rPr>
                <w:sz w:val="20"/>
              </w:rPr>
              <w:t xml:space="preserve">147 </w:t>
            </w:r>
          </w:p>
        </w:tc>
        <w:tc>
          <w:tcPr>
            <w:tcW w:w="118" w:type="dxa"/>
            <w:tcBorders/>
            <w:shd w:fill="auto"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ind w:left="173" w:right="0" w:hanging="173"/>
              <w:rPr/>
            </w:pPr>
            <w:r>
              <w:rPr/>
              <w:t> </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808080"/>
              </w:pBdr>
              <w:spacing w:before="0" w:after="283"/>
              <w:rPr/>
            </w:pPr>
            <w:r>
              <w:rPr/>
            </w:r>
          </w:p>
        </w:tc>
        <w:tc>
          <w:tcPr>
            <w:tcW w:w="997" w:type="dxa"/>
            <w:tcBorders/>
            <w:shd w:fill="auto" w:val="clear"/>
            <w:vAlign w:val="bottom"/>
          </w:tcPr>
          <w:p>
            <w:pPr>
              <w:pStyle w:val="HorizontalLine"/>
              <w:pBdr>
                <w:bottom w:val="single" w:sz="6" w:space="0" w:color="808080"/>
              </w:pBdr>
              <w:spacing w:before="0" w:after="283"/>
              <w:rPr/>
            </w:pPr>
            <w:r>
              <w:rPr/>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808080"/>
              </w:pBdr>
              <w:spacing w:before="0" w:after="283"/>
              <w:rPr/>
            </w:pPr>
            <w:r>
              <w:rPr/>
            </w:r>
          </w:p>
        </w:tc>
        <w:tc>
          <w:tcPr>
            <w:tcW w:w="997" w:type="dxa"/>
            <w:tcBorders/>
            <w:shd w:fill="auto" w:val="clear"/>
            <w:vAlign w:val="bottom"/>
          </w:tcPr>
          <w:p>
            <w:pPr>
              <w:pStyle w:val="HorizontalLine"/>
              <w:pBdr>
                <w:bottom w:val="single" w:sz="6" w:space="0" w:color="80808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7227" w:type="dxa"/>
            <w:tcBorders/>
            <w:shd w:fill="E6E6E6" w:val="clear"/>
            <w:vAlign w:val="bottom"/>
          </w:tcPr>
          <w:p>
            <w:pPr>
              <w:pStyle w:val="TableContents"/>
              <w:spacing w:before="0" w:after="283"/>
              <w:ind w:left="173" w:right="0" w:hanging="173"/>
              <w:rPr>
                <w:sz w:val="20"/>
              </w:rPr>
            </w:pPr>
            <w:r>
              <w:rPr>
                <w:sz w:val="20"/>
              </w:rPr>
              <w:t xml:space="preserve">Net assets available for benefits at fair value </w:t>
            </w:r>
          </w:p>
        </w:tc>
        <w:tc>
          <w:tcPr>
            <w:tcW w:w="305"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pPr>
            <w:r>
              <w:rPr/>
              <w:t> </w:t>
            </w:r>
          </w:p>
        </w:tc>
        <w:tc>
          <w:tcPr>
            <w:tcW w:w="997" w:type="dxa"/>
            <w:tcBorders/>
            <w:shd w:fill="E6E6E6" w:val="clear"/>
            <w:vAlign w:val="bottom"/>
          </w:tcPr>
          <w:p>
            <w:pPr>
              <w:pStyle w:val="TableContents"/>
              <w:spacing w:before="0" w:after="283"/>
              <w:jc w:val="right"/>
              <w:rPr>
                <w:sz w:val="20"/>
              </w:rPr>
            </w:pPr>
            <w:r>
              <w:rPr>
                <w:sz w:val="20"/>
              </w:rPr>
              <w:t>8,267</w:t>
            </w:r>
          </w:p>
        </w:tc>
        <w:tc>
          <w:tcPr>
            <w:tcW w:w="305"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pPr>
            <w:r>
              <w:rPr/>
              <w:t> </w:t>
            </w:r>
          </w:p>
        </w:tc>
        <w:tc>
          <w:tcPr>
            <w:tcW w:w="997" w:type="dxa"/>
            <w:tcBorders/>
            <w:shd w:fill="E6E6E6" w:val="clear"/>
            <w:vAlign w:val="bottom"/>
          </w:tcPr>
          <w:p>
            <w:pPr>
              <w:pStyle w:val="TableContents"/>
              <w:spacing w:before="0" w:after="283"/>
              <w:jc w:val="right"/>
              <w:rPr>
                <w:sz w:val="20"/>
              </w:rPr>
            </w:pPr>
            <w:r>
              <w:rPr>
                <w:sz w:val="20"/>
              </w:rPr>
              <w:t xml:space="preserve">7,366 </w:t>
            </w:r>
          </w:p>
        </w:tc>
        <w:tc>
          <w:tcPr>
            <w:tcW w:w="118" w:type="dxa"/>
            <w:tcBorders/>
            <w:shd w:fill="E6E6E6"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ind w:left="173" w:right="0" w:hanging="173"/>
              <w:rPr/>
            </w:pPr>
            <w:r>
              <w:rPr/>
              <w:t> </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808080"/>
              </w:pBdr>
              <w:spacing w:before="0" w:after="283"/>
              <w:rPr/>
            </w:pPr>
            <w:r>
              <w:rPr/>
            </w:r>
          </w:p>
        </w:tc>
        <w:tc>
          <w:tcPr>
            <w:tcW w:w="997" w:type="dxa"/>
            <w:tcBorders/>
            <w:shd w:fill="auto" w:val="clear"/>
            <w:vAlign w:val="bottom"/>
          </w:tcPr>
          <w:p>
            <w:pPr>
              <w:pStyle w:val="HorizontalLine"/>
              <w:pBdr>
                <w:bottom w:val="single" w:sz="6" w:space="0" w:color="808080"/>
              </w:pBdr>
              <w:spacing w:before="0" w:after="283"/>
              <w:rPr/>
            </w:pPr>
            <w:r>
              <w:rPr/>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808080"/>
              </w:pBdr>
              <w:spacing w:before="0" w:after="283"/>
              <w:rPr/>
            </w:pPr>
            <w:r>
              <w:rPr/>
            </w:r>
          </w:p>
        </w:tc>
        <w:tc>
          <w:tcPr>
            <w:tcW w:w="997" w:type="dxa"/>
            <w:tcBorders/>
            <w:shd w:fill="auto" w:val="clear"/>
            <w:vAlign w:val="bottom"/>
          </w:tcPr>
          <w:p>
            <w:pPr>
              <w:pStyle w:val="HorizontalLine"/>
              <w:pBdr>
                <w:bottom w:val="single" w:sz="6" w:space="0" w:color="80808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ind w:left="173" w:right="0" w:hanging="173"/>
              <w:rPr>
                <w:sz w:val="20"/>
              </w:rPr>
            </w:pPr>
            <w:r>
              <w:rPr>
                <w:sz w:val="20"/>
              </w:rPr>
              <w:t xml:space="preserve">Adjustment from fair value to contract value for fully benefit-responsive investment contracts </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right"/>
              <w:rPr/>
            </w:pPr>
            <w:r>
              <w:rPr/>
              <w:t> </w:t>
            </w:r>
          </w:p>
        </w:tc>
        <w:tc>
          <w:tcPr>
            <w:tcW w:w="997" w:type="dxa"/>
            <w:tcBorders/>
            <w:shd w:fill="auto" w:val="clear"/>
            <w:vAlign w:val="bottom"/>
          </w:tcPr>
          <w:p>
            <w:pPr>
              <w:pStyle w:val="TableContents"/>
              <w:spacing w:before="0" w:after="283"/>
              <w:jc w:val="right"/>
              <w:rPr>
                <w:sz w:val="20"/>
              </w:rPr>
            </w:pPr>
            <w:r>
              <w:rPr>
                <w:sz w:val="20"/>
              </w:rPr>
              <w:t>4</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right"/>
              <w:rPr/>
            </w:pPr>
            <w:r>
              <w:rPr/>
              <w:t> </w:t>
            </w:r>
          </w:p>
        </w:tc>
        <w:tc>
          <w:tcPr>
            <w:tcW w:w="997" w:type="dxa"/>
            <w:tcBorders/>
            <w:shd w:fill="auto" w:val="clear"/>
            <w:vAlign w:val="bottom"/>
          </w:tcPr>
          <w:p>
            <w:pPr>
              <w:pStyle w:val="TableContents"/>
              <w:spacing w:before="0" w:after="283"/>
              <w:jc w:val="right"/>
              <w:rPr>
                <w:sz w:val="20"/>
              </w:rPr>
            </w:pPr>
            <w:r>
              <w:rPr>
                <w:sz w:val="20"/>
              </w:rPr>
              <w:t>7</w:t>
            </w:r>
          </w:p>
        </w:tc>
        <w:tc>
          <w:tcPr>
            <w:tcW w:w="118" w:type="dxa"/>
            <w:tcBorders/>
            <w:shd w:fill="auto"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ind w:left="173" w:right="0" w:hanging="173"/>
              <w:rPr/>
            </w:pPr>
            <w:r>
              <w:rPr/>
              <w:t> </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808080"/>
              </w:pBdr>
              <w:spacing w:before="0" w:after="283"/>
              <w:rPr/>
            </w:pPr>
            <w:r>
              <w:rPr/>
            </w:r>
          </w:p>
        </w:tc>
        <w:tc>
          <w:tcPr>
            <w:tcW w:w="997" w:type="dxa"/>
            <w:tcBorders/>
            <w:shd w:fill="auto" w:val="clear"/>
            <w:vAlign w:val="bottom"/>
          </w:tcPr>
          <w:p>
            <w:pPr>
              <w:pStyle w:val="HorizontalLine"/>
              <w:pBdr>
                <w:bottom w:val="single" w:sz="6" w:space="0" w:color="808080"/>
              </w:pBdr>
              <w:spacing w:before="0" w:after="283"/>
              <w:rPr/>
            </w:pPr>
            <w:r>
              <w:rPr/>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808080"/>
              </w:pBdr>
              <w:spacing w:before="0" w:after="283"/>
              <w:rPr/>
            </w:pPr>
            <w:r>
              <w:rPr/>
            </w:r>
          </w:p>
        </w:tc>
        <w:tc>
          <w:tcPr>
            <w:tcW w:w="997" w:type="dxa"/>
            <w:tcBorders/>
            <w:shd w:fill="auto" w:val="clear"/>
            <w:vAlign w:val="bottom"/>
          </w:tcPr>
          <w:p>
            <w:pPr>
              <w:pStyle w:val="HorizontalLine"/>
              <w:pBdr>
                <w:bottom w:val="single" w:sz="6" w:space="0" w:color="80808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7227" w:type="dxa"/>
            <w:tcBorders/>
            <w:shd w:fill="E6E6E6" w:val="clear"/>
            <w:vAlign w:val="bottom"/>
          </w:tcPr>
          <w:p>
            <w:pPr>
              <w:pStyle w:val="TableContents"/>
              <w:spacing w:before="0" w:after="283"/>
              <w:ind w:left="173" w:right="0" w:hanging="173"/>
              <w:rPr>
                <w:sz w:val="20"/>
              </w:rPr>
            </w:pPr>
            <w:r>
              <w:rPr>
                <w:sz w:val="20"/>
              </w:rPr>
              <w:t xml:space="preserve">Net assets available for benefits </w:t>
            </w:r>
          </w:p>
        </w:tc>
        <w:tc>
          <w:tcPr>
            <w:tcW w:w="305"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sz w:val="20"/>
              </w:rPr>
            </w:pPr>
            <w:r>
              <w:rPr>
                <w:sz w:val="20"/>
              </w:rPr>
              <w:t xml:space="preserve">$ </w:t>
            </w:r>
          </w:p>
        </w:tc>
        <w:tc>
          <w:tcPr>
            <w:tcW w:w="997" w:type="dxa"/>
            <w:tcBorders/>
            <w:shd w:fill="E6E6E6" w:val="clear"/>
            <w:vAlign w:val="bottom"/>
          </w:tcPr>
          <w:p>
            <w:pPr>
              <w:pStyle w:val="TableContents"/>
              <w:spacing w:before="0" w:after="283"/>
              <w:jc w:val="right"/>
              <w:rPr>
                <w:sz w:val="20"/>
              </w:rPr>
            </w:pPr>
            <w:r>
              <w:rPr>
                <w:sz w:val="20"/>
              </w:rPr>
              <w:t>8,271</w:t>
            </w:r>
          </w:p>
        </w:tc>
        <w:tc>
          <w:tcPr>
            <w:tcW w:w="305"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sz w:val="20"/>
              </w:rPr>
            </w:pPr>
            <w:r>
              <w:rPr>
                <w:sz w:val="20"/>
              </w:rPr>
              <w:t>$</w:t>
            </w:r>
          </w:p>
        </w:tc>
        <w:tc>
          <w:tcPr>
            <w:tcW w:w="997" w:type="dxa"/>
            <w:tcBorders/>
            <w:shd w:fill="E6E6E6" w:val="clear"/>
            <w:vAlign w:val="bottom"/>
          </w:tcPr>
          <w:p>
            <w:pPr>
              <w:pStyle w:val="TableContents"/>
              <w:spacing w:before="0" w:after="283"/>
              <w:jc w:val="right"/>
              <w:rPr>
                <w:sz w:val="20"/>
              </w:rPr>
            </w:pPr>
            <w:r>
              <w:rPr>
                <w:sz w:val="20"/>
              </w:rPr>
              <w:t xml:space="preserve">7,373 </w:t>
            </w:r>
          </w:p>
        </w:tc>
        <w:tc>
          <w:tcPr>
            <w:tcW w:w="118" w:type="dxa"/>
            <w:tcBorders/>
            <w:shd w:fill="E6E6E6" w:val="clear"/>
            <w:vAlign w:val="bottom"/>
          </w:tcPr>
          <w:p>
            <w:pPr>
              <w:pStyle w:val="TableContents"/>
              <w:spacing w:before="0" w:after="283"/>
              <w:rPr/>
            </w:pPr>
            <w:r>
              <w:rPr/>
              <w:t> </w:t>
            </w:r>
          </w:p>
        </w:tc>
      </w:tr>
      <w:tr>
        <w:trPr/>
        <w:tc>
          <w:tcPr>
            <w:tcW w:w="7227" w:type="dxa"/>
            <w:tcBorders/>
            <w:shd w:fill="auto" w:val="clear"/>
            <w:vAlign w:val="bottom"/>
          </w:tcPr>
          <w:p>
            <w:pPr>
              <w:pStyle w:val="TableContents"/>
              <w:spacing w:before="0" w:after="283"/>
              <w:ind w:left="173" w:right="0" w:hanging="173"/>
              <w:rPr/>
            </w:pPr>
            <w:r>
              <w:rPr/>
              <w:t> </w:t>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808080"/>
              </w:pBdr>
              <w:spacing w:before="0" w:after="283"/>
              <w:rPr/>
            </w:pPr>
            <w:r>
              <w:rPr/>
            </w:r>
          </w:p>
        </w:tc>
        <w:tc>
          <w:tcPr>
            <w:tcW w:w="997" w:type="dxa"/>
            <w:tcBorders/>
            <w:shd w:fill="auto" w:val="clear"/>
            <w:vAlign w:val="bottom"/>
          </w:tcPr>
          <w:p>
            <w:pPr>
              <w:pStyle w:val="HorizontalLine"/>
              <w:pBdr>
                <w:bottom w:val="single" w:sz="18" w:space="0" w:color="808080"/>
              </w:pBdr>
              <w:spacing w:before="0" w:after="283"/>
              <w:rPr/>
            </w:pPr>
            <w:r>
              <w:rPr/>
            </w:r>
          </w:p>
        </w:tc>
        <w:tc>
          <w:tcPr>
            <w:tcW w:w="305"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808080"/>
              </w:pBdr>
              <w:spacing w:before="0" w:after="283"/>
              <w:rPr/>
            </w:pPr>
            <w:r>
              <w:rPr/>
            </w:r>
          </w:p>
        </w:tc>
        <w:tc>
          <w:tcPr>
            <w:tcW w:w="997" w:type="dxa"/>
            <w:tcBorders/>
            <w:shd w:fill="auto" w:val="clear"/>
            <w:vAlign w:val="bottom"/>
          </w:tcPr>
          <w:p>
            <w:pPr>
              <w:pStyle w:val="HorizontalLine"/>
              <w:pBdr>
                <w:bottom w:val="single" w:sz="18" w:space="0" w:color="808080"/>
              </w:pBdr>
              <w:spacing w:before="0" w:after="283"/>
              <w:rPr/>
            </w:pPr>
            <w:r>
              <w:rPr/>
            </w:r>
          </w:p>
        </w:tc>
        <w:tc>
          <w:tcPr>
            <w:tcW w:w="118" w:type="dxa"/>
            <w:tcBorders/>
            <w:shd w:fill="auto" w:val="clear"/>
            <w:vAlign w:val="bottom"/>
          </w:tcPr>
          <w:p>
            <w:pPr>
              <w:pStyle w:val="TableContents"/>
              <w:spacing w:before="0" w:after="283"/>
              <w:rPr/>
            </w:pPr>
            <w:r>
              <w:rPr/>
              <w:t> </w:t>
            </w:r>
          </w:p>
        </w:tc>
      </w:tr>
    </w:tbl>
    <w:p>
      <w:pPr>
        <w:pStyle w:val="TextBody"/>
        <w:jc w:val="center"/>
        <w:rPr>
          <w:sz w:val="20"/>
        </w:rPr>
      </w:pPr>
      <w:r>
        <w:rPr>
          <w:sz w:val="20"/>
        </w:rPr>
        <w:t>3</w:t>
      </w:r>
    </w:p>
    <w:p>
      <w:pPr>
        <w:pStyle w:val="TextBody"/>
        <w:jc w:val="center"/>
        <w:rPr>
          <w:sz w:val="20"/>
        </w:rPr>
      </w:pPr>
      <w:r>
        <w:rPr>
          <w:sz w:val="20"/>
        </w:rPr>
        <w:t>The accompanying notes are an integral part of these financial statements.</w:t>
      </w:r>
    </w:p>
    <w:p>
      <w:pPr>
        <w:pStyle w:val="HorizontalLine"/>
        <w:pBdr>
          <w:bottom w:val="single" w:sz="24" w:space="0" w:color="808080"/>
        </w:pBdr>
        <w:rPr/>
      </w:pPr>
      <w:r>
        <w:rPr/>
      </w:r>
      <w:r>
        <w:br w:type="page"/>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pageBreakBefore/>
              <w:spacing w:before="0" w:after="283"/>
              <w:rPr/>
            </w:pPr>
            <w:r>
              <w:rPr/>
              <w:t> </w:t>
            </w:r>
          </w:p>
        </w:tc>
      </w:tr>
      <w:tr>
        <w:trPr/>
        <w:tc>
          <w:tcPr>
            <w:tcW w:w="10205" w:type="dxa"/>
            <w:tcBorders/>
            <w:shd w:fill="auto" w:val="clear"/>
          </w:tcPr>
          <w:p>
            <w:pPr>
              <w:pStyle w:val="TableContents"/>
              <w:spacing w:before="0" w:after="283"/>
              <w:rPr>
                <w:rFonts w:ascii="ARIAL" w:hAnsi="ARIAL"/>
                <w:sz w:val="28"/>
              </w:rPr>
            </w:pPr>
            <w:r>
              <w:rPr>
                <w:rFonts w:ascii="ARIAL" w:hAnsi="ARIAL"/>
                <w:b/>
                <w:sz w:val="28"/>
              </w:rPr>
              <w:t>Honeywell Savings and Ownership Plan</w:t>
            </w:r>
            <w:bookmarkStart w:id="6" w:name="A003"/>
            <w:bookmarkEnd w:id="6"/>
            <w:r>
              <w:rPr>
                <w:rFonts w:ascii="ARIAL" w:hAnsi="ARIAL"/>
                <w:b/>
                <w:sz w:val="28"/>
              </w:rPr>
              <w:br/>
            </w:r>
            <w:r>
              <w:rPr>
                <w:rFonts w:ascii="ARIAL" w:hAnsi="ARIAL"/>
                <w:b/>
                <w:sz w:val="24"/>
              </w:rPr>
              <w:t>Statement of Changes in Net Assets Available for Benefits</w:t>
              <w:br/>
              <w:t>for the year ended December 31, 2006</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8392"/>
        <w:gridCol w:w="209"/>
        <w:gridCol w:w="130"/>
        <w:gridCol w:w="1390"/>
        <w:gridCol w:w="84"/>
      </w:tblGrid>
      <w:tr>
        <w:trPr/>
        <w:tc>
          <w:tcPr>
            <w:tcW w:w="8392"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center"/>
              <w:rPr/>
            </w:pPr>
            <w:r>
              <w:rPr/>
              <w:t> </w:t>
            </w:r>
          </w:p>
        </w:tc>
        <w:tc>
          <w:tcPr>
            <w:tcW w:w="1520" w:type="dxa"/>
            <w:gridSpan w:val="2"/>
            <w:tcBorders/>
            <w:shd w:fill="auto" w:val="clear"/>
            <w:vAlign w:val="bottom"/>
          </w:tcPr>
          <w:p>
            <w:pPr>
              <w:pStyle w:val="TableContents"/>
              <w:spacing w:before="0" w:after="283"/>
              <w:jc w:val="center"/>
              <w:rPr>
                <w:b/>
                <w:sz w:val="14"/>
              </w:rPr>
            </w:pPr>
            <w:r>
              <w:rPr>
                <w:b/>
                <w:sz w:val="14"/>
              </w:rPr>
              <w:t>2006</w:t>
            </w:r>
          </w:p>
        </w:tc>
        <w:tc>
          <w:tcPr>
            <w:tcW w:w="84" w:type="dxa"/>
            <w:tcBorders/>
            <w:shd w:fill="auto" w:val="clear"/>
            <w:vAlign w:val="bottom"/>
          </w:tcPr>
          <w:p>
            <w:pPr>
              <w:pStyle w:val="TableContents"/>
              <w:spacing w:before="0" w:after="283"/>
              <w:jc w:val="center"/>
              <w:rPr/>
            </w:pPr>
            <w:r>
              <w:rPr/>
              <w:t> </w:t>
            </w:r>
          </w:p>
        </w:tc>
      </w:tr>
      <w:tr>
        <w:trPr/>
        <w:tc>
          <w:tcPr>
            <w:tcW w:w="8392"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center"/>
              <w:rPr/>
            </w:pPr>
            <w:r>
              <w:rPr/>
              <w:t> </w:t>
            </w:r>
          </w:p>
        </w:tc>
        <w:tc>
          <w:tcPr>
            <w:tcW w:w="1520" w:type="dxa"/>
            <w:gridSpan w:val="2"/>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jc w:val="center"/>
              <w:rPr/>
            </w:pPr>
            <w:r>
              <w:rPr/>
              <w:t> </w:t>
            </w:r>
          </w:p>
        </w:tc>
      </w:tr>
      <w:tr>
        <w:trPr/>
        <w:tc>
          <w:tcPr>
            <w:tcW w:w="8392"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20" w:type="dxa"/>
            <w:gridSpan w:val="2"/>
            <w:tcBorders/>
            <w:shd w:fill="auto" w:val="clear"/>
            <w:vAlign w:val="bottom"/>
          </w:tcPr>
          <w:p>
            <w:pPr>
              <w:pStyle w:val="TableContents"/>
              <w:spacing w:before="0" w:after="283"/>
              <w:jc w:val="center"/>
              <w:rPr>
                <w:sz w:val="14"/>
              </w:rPr>
            </w:pPr>
            <w:r>
              <w:rPr>
                <w:b/>
                <w:i/>
                <w:sz w:val="14"/>
              </w:rPr>
              <w:t>(dollars in millions)</w:t>
            </w:r>
            <w:r>
              <w:rPr>
                <w:sz w:val="14"/>
              </w:rPr>
              <w:t xml:space="preserve"> </w:t>
            </w:r>
          </w:p>
        </w:tc>
        <w:tc>
          <w:tcPr>
            <w:tcW w:w="84" w:type="dxa"/>
            <w:tcBorders/>
            <w:shd w:fill="auto" w:val="clear"/>
            <w:vAlign w:val="bottom"/>
          </w:tcPr>
          <w:p>
            <w:pPr>
              <w:pStyle w:val="TableContents"/>
              <w:spacing w:before="0" w:after="283"/>
              <w:rPr/>
            </w:pPr>
            <w:r>
              <w:rPr/>
              <w:t> </w:t>
            </w:r>
          </w:p>
        </w:tc>
      </w:tr>
      <w:tr>
        <w:trPr/>
        <w:tc>
          <w:tcPr>
            <w:tcW w:w="8392" w:type="dxa"/>
            <w:tcBorders/>
            <w:shd w:fill="E6E6E6" w:val="clear"/>
            <w:vAlign w:val="bottom"/>
          </w:tcPr>
          <w:p>
            <w:pPr>
              <w:pStyle w:val="TableContents"/>
              <w:spacing w:before="0" w:after="283"/>
              <w:ind w:left="173" w:right="0" w:hanging="173"/>
              <w:rPr>
                <w:b/>
                <w:sz w:val="20"/>
              </w:rPr>
            </w:pPr>
            <w:r>
              <w:rPr>
                <w:b/>
                <w:sz w:val="20"/>
              </w:rPr>
              <w:t>Additions to net assets attributable to:</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pPr>
            <w:r>
              <w:rPr/>
              <w:t> </w:t>
            </w:r>
          </w:p>
        </w:tc>
        <w:tc>
          <w:tcPr>
            <w:tcW w:w="84" w:type="dxa"/>
            <w:tcBorders/>
            <w:shd w:fill="E6E6E6"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sz w:val="20"/>
              </w:rPr>
            </w:pPr>
            <w:r>
              <w:rPr>
                <w:sz w:val="20"/>
              </w:rPr>
              <w:t>Interest income from participant loans</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20"/>
              </w:rPr>
            </w:pPr>
            <w:r>
              <w:rPr>
                <w:sz w:val="20"/>
              </w:rPr>
              <w:t>$</w:t>
            </w:r>
          </w:p>
        </w:tc>
        <w:tc>
          <w:tcPr>
            <w:tcW w:w="1390" w:type="dxa"/>
            <w:tcBorders/>
            <w:shd w:fill="auto" w:val="clear"/>
            <w:vAlign w:val="bottom"/>
          </w:tcPr>
          <w:p>
            <w:pPr>
              <w:pStyle w:val="TableContents"/>
              <w:spacing w:before="0" w:after="283"/>
              <w:jc w:val="right"/>
              <w:rPr>
                <w:sz w:val="20"/>
              </w:rPr>
            </w:pPr>
            <w:r>
              <w:rPr>
                <w:sz w:val="20"/>
              </w:rPr>
              <w:t>10</w:t>
            </w:r>
          </w:p>
        </w:tc>
        <w:tc>
          <w:tcPr>
            <w:tcW w:w="84" w:type="dxa"/>
            <w:tcBorders/>
            <w:shd w:fill="auto" w:val="clear"/>
            <w:vAlign w:val="bottom"/>
          </w:tcPr>
          <w:p>
            <w:pPr>
              <w:pStyle w:val="TableContents"/>
              <w:spacing w:before="0" w:after="283"/>
              <w:rPr/>
            </w:pPr>
            <w:r>
              <w:rPr/>
              <w:t> </w:t>
            </w:r>
          </w:p>
        </w:tc>
      </w:tr>
      <w:tr>
        <w:trPr/>
        <w:tc>
          <w:tcPr>
            <w:tcW w:w="8392" w:type="dxa"/>
            <w:tcBorders/>
            <w:shd w:fill="E6E6E6" w:val="clear"/>
            <w:vAlign w:val="bottom"/>
          </w:tcPr>
          <w:p>
            <w:pPr>
              <w:pStyle w:val="TableContents"/>
              <w:spacing w:before="0" w:after="283"/>
              <w:ind w:left="173" w:right="0" w:hanging="173"/>
              <w:rPr>
                <w:sz w:val="20"/>
              </w:rPr>
            </w:pPr>
            <w:r>
              <w:rPr>
                <w:sz w:val="20"/>
              </w:rPr>
              <w:t>Investment income from Plan interest in Honeywell Savings and Ownership Plan Master Trust</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sz w:val="20"/>
              </w:rPr>
            </w:pPr>
            <w:r>
              <w:rPr>
                <w:sz w:val="20"/>
              </w:rPr>
              <w:t>1,154</w:t>
            </w:r>
          </w:p>
        </w:tc>
        <w:tc>
          <w:tcPr>
            <w:tcW w:w="84" w:type="dxa"/>
            <w:tcBorders/>
            <w:shd w:fill="E6E6E6"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sz w:val="20"/>
              </w:rPr>
            </w:pPr>
            <w:r>
              <w:rPr>
                <w:sz w:val="20"/>
              </w:rPr>
              <w:t>Contributions:</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rPr/>
            </w:pPr>
            <w:r>
              <w:rPr/>
              <w:t> </w:t>
            </w:r>
          </w:p>
        </w:tc>
      </w:tr>
      <w:tr>
        <w:trPr/>
        <w:tc>
          <w:tcPr>
            <w:tcW w:w="8392" w:type="dxa"/>
            <w:tcBorders/>
            <w:shd w:fill="E6E6E6" w:val="clear"/>
            <w:vAlign w:val="bottom"/>
          </w:tcPr>
          <w:p>
            <w:pPr>
              <w:pStyle w:val="TableContents"/>
              <w:spacing w:before="0" w:after="283"/>
              <w:ind w:left="346" w:right="0" w:hanging="173"/>
              <w:rPr>
                <w:sz w:val="20"/>
              </w:rPr>
            </w:pPr>
            <w:r>
              <w:rPr>
                <w:sz w:val="20"/>
              </w:rPr>
              <w:t>Participating employees</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sz w:val="20"/>
              </w:rPr>
            </w:pPr>
            <w:r>
              <w:rPr>
                <w:sz w:val="20"/>
              </w:rPr>
              <w:t>302</w:t>
            </w:r>
          </w:p>
        </w:tc>
        <w:tc>
          <w:tcPr>
            <w:tcW w:w="84" w:type="dxa"/>
            <w:tcBorders/>
            <w:shd w:fill="E6E6E6"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346" w:right="0" w:hanging="173"/>
              <w:rPr>
                <w:sz w:val="20"/>
              </w:rPr>
            </w:pPr>
            <w:r>
              <w:rPr>
                <w:sz w:val="20"/>
              </w:rPr>
              <w:t>The Company, net of forfeitures</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sz w:val="20"/>
              </w:rPr>
            </w:pPr>
            <w:r>
              <w:rPr>
                <w:sz w:val="20"/>
              </w:rPr>
              <w:t>177</w:t>
            </w:r>
          </w:p>
        </w:tc>
        <w:tc>
          <w:tcPr>
            <w:tcW w:w="84" w:type="dxa"/>
            <w:tcBorders/>
            <w:shd w:fill="auto" w:val="clear"/>
            <w:vAlign w:val="bottom"/>
          </w:tcPr>
          <w:p>
            <w:pPr>
              <w:pStyle w:val="TableContents"/>
              <w:spacing w:before="0" w:after="283"/>
              <w:rPr/>
            </w:pPr>
            <w:r>
              <w:rPr/>
              <w:t> </w:t>
            </w:r>
          </w:p>
        </w:tc>
      </w:tr>
      <w:tr>
        <w:trPr/>
        <w:tc>
          <w:tcPr>
            <w:tcW w:w="8392" w:type="dxa"/>
            <w:tcBorders/>
            <w:shd w:fill="E6E6E6" w:val="clear"/>
            <w:vAlign w:val="bottom"/>
          </w:tcPr>
          <w:p>
            <w:pPr>
              <w:pStyle w:val="TableContents"/>
              <w:spacing w:before="0" w:after="283"/>
              <w:ind w:left="346" w:right="0" w:hanging="173"/>
              <w:rPr>
                <w:sz w:val="20"/>
              </w:rPr>
            </w:pPr>
            <w:r>
              <w:rPr>
                <w:sz w:val="20"/>
              </w:rPr>
              <w:t>Roll-over contributions</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sz w:val="20"/>
              </w:rPr>
            </w:pPr>
            <w:r>
              <w:rPr>
                <w:sz w:val="20"/>
              </w:rPr>
              <w:t>10</w:t>
            </w:r>
          </w:p>
        </w:tc>
        <w:tc>
          <w:tcPr>
            <w:tcW w:w="84" w:type="dxa"/>
            <w:tcBorders/>
            <w:shd w:fill="E6E6E6"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808080"/>
              </w:pBdr>
              <w:spacing w:before="0" w:after="283"/>
              <w:rPr/>
            </w:pPr>
            <w:r>
              <w:rPr/>
            </w:r>
          </w:p>
        </w:tc>
        <w:tc>
          <w:tcPr>
            <w:tcW w:w="1390" w:type="dxa"/>
            <w:tcBorders/>
            <w:shd w:fill="auto" w:val="clear"/>
            <w:vAlign w:val="bottom"/>
          </w:tcPr>
          <w:p>
            <w:pPr>
              <w:pStyle w:val="HorizontalLine"/>
              <w:pBdr>
                <w:bottom w:val="single" w:sz="6" w:space="0" w:color="80808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518" w:right="0" w:hanging="173"/>
              <w:rPr>
                <w:sz w:val="20"/>
              </w:rPr>
            </w:pPr>
            <w:r>
              <w:rPr>
                <w:sz w:val="20"/>
              </w:rPr>
              <w:t>Total contributions</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sz w:val="20"/>
              </w:rPr>
            </w:pPr>
            <w:r>
              <w:rPr>
                <w:sz w:val="20"/>
              </w:rPr>
              <w:t>489</w:t>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808080"/>
              </w:pBdr>
              <w:spacing w:before="0" w:after="283"/>
              <w:rPr/>
            </w:pPr>
            <w:r>
              <w:rPr/>
            </w:r>
          </w:p>
        </w:tc>
        <w:tc>
          <w:tcPr>
            <w:tcW w:w="1390" w:type="dxa"/>
            <w:tcBorders/>
            <w:shd w:fill="auto" w:val="clear"/>
            <w:vAlign w:val="bottom"/>
          </w:tcPr>
          <w:p>
            <w:pPr>
              <w:pStyle w:val="HorizontalLine"/>
              <w:pBdr>
                <w:bottom w:val="single" w:sz="6" w:space="0" w:color="80808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392" w:type="dxa"/>
            <w:tcBorders/>
            <w:shd w:fill="E6E6E6" w:val="clear"/>
            <w:vAlign w:val="bottom"/>
          </w:tcPr>
          <w:p>
            <w:pPr>
              <w:pStyle w:val="TableContents"/>
              <w:spacing w:before="0" w:after="283"/>
              <w:ind w:left="173" w:right="0" w:hanging="173"/>
              <w:rPr>
                <w:sz w:val="20"/>
              </w:rPr>
            </w:pPr>
            <w:r>
              <w:rPr>
                <w:sz w:val="20"/>
              </w:rPr>
              <w:t>Plan transfers to Honeywell Savings and Ownership Plan</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sz w:val="20"/>
              </w:rPr>
            </w:pPr>
            <w:r>
              <w:rPr>
                <w:sz w:val="20"/>
              </w:rPr>
              <w:t>27</w:t>
            </w:r>
          </w:p>
        </w:tc>
        <w:tc>
          <w:tcPr>
            <w:tcW w:w="84" w:type="dxa"/>
            <w:tcBorders/>
            <w:shd w:fill="E6E6E6"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808080"/>
              </w:pBdr>
              <w:spacing w:before="0" w:after="283"/>
              <w:rPr/>
            </w:pPr>
            <w:r>
              <w:rPr/>
            </w:r>
          </w:p>
        </w:tc>
        <w:tc>
          <w:tcPr>
            <w:tcW w:w="1390" w:type="dxa"/>
            <w:tcBorders/>
            <w:shd w:fill="auto" w:val="clear"/>
            <w:vAlign w:val="bottom"/>
          </w:tcPr>
          <w:p>
            <w:pPr>
              <w:pStyle w:val="HorizontalLine"/>
              <w:pBdr>
                <w:bottom w:val="single" w:sz="6" w:space="0" w:color="80808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518" w:right="0" w:hanging="173"/>
              <w:rPr>
                <w:sz w:val="20"/>
              </w:rPr>
            </w:pPr>
            <w:r>
              <w:rPr>
                <w:sz w:val="20"/>
              </w:rPr>
              <w:t>Total additions</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sz w:val="20"/>
              </w:rPr>
            </w:pPr>
            <w:r>
              <w:rPr>
                <w:sz w:val="20"/>
              </w:rPr>
              <w:t>1,680</w:t>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808080"/>
              </w:pBdr>
              <w:spacing w:before="0" w:after="283"/>
              <w:rPr/>
            </w:pPr>
            <w:r>
              <w:rPr/>
            </w:r>
          </w:p>
        </w:tc>
        <w:tc>
          <w:tcPr>
            <w:tcW w:w="1390" w:type="dxa"/>
            <w:tcBorders/>
            <w:shd w:fill="auto" w:val="clear"/>
            <w:vAlign w:val="bottom"/>
          </w:tcPr>
          <w:p>
            <w:pPr>
              <w:pStyle w:val="HorizontalLine"/>
              <w:pBdr>
                <w:bottom w:val="single" w:sz="6" w:space="0" w:color="80808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392" w:type="dxa"/>
            <w:tcBorders/>
            <w:shd w:fill="E6E6E6" w:val="clear"/>
            <w:vAlign w:val="bottom"/>
          </w:tcPr>
          <w:p>
            <w:pPr>
              <w:pStyle w:val="TableContents"/>
              <w:spacing w:before="0" w:after="283"/>
              <w:ind w:left="173" w:right="0" w:hanging="173"/>
              <w:rPr>
                <w:b/>
                <w:sz w:val="20"/>
              </w:rPr>
            </w:pPr>
            <w:r>
              <w:rPr>
                <w:b/>
                <w:sz w:val="20"/>
              </w:rPr>
              <w:t>Deductions from net assets attributable to:</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pPr>
            <w:r>
              <w:rPr/>
              <w:t> </w:t>
            </w:r>
          </w:p>
        </w:tc>
        <w:tc>
          <w:tcPr>
            <w:tcW w:w="84" w:type="dxa"/>
            <w:tcBorders/>
            <w:shd w:fill="E6E6E6"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sz w:val="20"/>
              </w:rPr>
            </w:pPr>
            <w:r>
              <w:rPr>
                <w:sz w:val="20"/>
              </w:rPr>
              <w:t>Withdrawals and distributions</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sz w:val="20"/>
              </w:rPr>
            </w:pPr>
            <w:r>
              <w:rPr>
                <w:sz w:val="20"/>
              </w:rPr>
              <w:t>(770</w:t>
            </w:r>
          </w:p>
        </w:tc>
        <w:tc>
          <w:tcPr>
            <w:tcW w:w="84" w:type="dxa"/>
            <w:tcBorders/>
            <w:shd w:fill="auto" w:val="clear"/>
            <w:vAlign w:val="bottom"/>
          </w:tcPr>
          <w:p>
            <w:pPr>
              <w:pStyle w:val="TableContents"/>
              <w:spacing w:before="0" w:after="283"/>
              <w:rPr>
                <w:sz w:val="20"/>
              </w:rPr>
            </w:pPr>
            <w:r>
              <w:rPr>
                <w:sz w:val="20"/>
              </w:rPr>
              <w:t>)</w:t>
            </w:r>
          </w:p>
        </w:tc>
      </w:tr>
      <w:tr>
        <w:trPr/>
        <w:tc>
          <w:tcPr>
            <w:tcW w:w="8392" w:type="dxa"/>
            <w:tcBorders/>
            <w:shd w:fill="E6E6E6" w:val="clear"/>
            <w:vAlign w:val="bottom"/>
          </w:tcPr>
          <w:p>
            <w:pPr>
              <w:pStyle w:val="TableContents"/>
              <w:spacing w:before="0" w:after="283"/>
              <w:ind w:left="173" w:right="0" w:hanging="173"/>
              <w:rPr>
                <w:sz w:val="20"/>
              </w:rPr>
            </w:pPr>
            <w:r>
              <w:rPr>
                <w:sz w:val="20"/>
              </w:rPr>
              <w:t>Plan expenses</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sz w:val="20"/>
              </w:rPr>
            </w:pPr>
            <w:r>
              <w:rPr>
                <w:sz w:val="20"/>
              </w:rPr>
              <w:t>(12</w:t>
            </w:r>
          </w:p>
        </w:tc>
        <w:tc>
          <w:tcPr>
            <w:tcW w:w="84" w:type="dxa"/>
            <w:tcBorders/>
            <w:shd w:fill="E6E6E6" w:val="clear"/>
            <w:vAlign w:val="bottom"/>
          </w:tcPr>
          <w:p>
            <w:pPr>
              <w:pStyle w:val="TableContents"/>
              <w:spacing w:before="0" w:after="283"/>
              <w:rPr>
                <w:sz w:val="20"/>
              </w:rPr>
            </w:pPr>
            <w:r>
              <w:rPr>
                <w:sz w:val="20"/>
              </w:rPr>
              <w:t>)</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808080"/>
              </w:pBdr>
              <w:spacing w:before="0" w:after="283"/>
              <w:rPr/>
            </w:pPr>
            <w:r>
              <w:rPr/>
            </w:r>
          </w:p>
        </w:tc>
        <w:tc>
          <w:tcPr>
            <w:tcW w:w="1390" w:type="dxa"/>
            <w:tcBorders/>
            <w:shd w:fill="auto" w:val="clear"/>
            <w:vAlign w:val="bottom"/>
          </w:tcPr>
          <w:p>
            <w:pPr>
              <w:pStyle w:val="HorizontalLine"/>
              <w:pBdr>
                <w:bottom w:val="single" w:sz="6" w:space="0" w:color="80808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518" w:right="0" w:hanging="173"/>
              <w:rPr>
                <w:sz w:val="20"/>
              </w:rPr>
            </w:pPr>
            <w:r>
              <w:rPr>
                <w:sz w:val="20"/>
              </w:rPr>
              <w:t>Total deductions</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sz w:val="20"/>
              </w:rPr>
            </w:pPr>
            <w:r>
              <w:rPr>
                <w:sz w:val="20"/>
              </w:rPr>
              <w:t>(782</w:t>
            </w:r>
          </w:p>
        </w:tc>
        <w:tc>
          <w:tcPr>
            <w:tcW w:w="84" w:type="dxa"/>
            <w:tcBorders/>
            <w:shd w:fill="auto" w:val="clear"/>
            <w:vAlign w:val="bottom"/>
          </w:tcPr>
          <w:p>
            <w:pPr>
              <w:pStyle w:val="TableContents"/>
              <w:spacing w:before="0" w:after="283"/>
              <w:rPr>
                <w:sz w:val="20"/>
              </w:rPr>
            </w:pPr>
            <w:r>
              <w:rPr>
                <w:sz w:val="20"/>
              </w:rPr>
              <w:t>)</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808080"/>
              </w:pBdr>
              <w:spacing w:before="0" w:after="283"/>
              <w:rPr/>
            </w:pPr>
            <w:r>
              <w:rPr/>
            </w:r>
          </w:p>
        </w:tc>
        <w:tc>
          <w:tcPr>
            <w:tcW w:w="1390" w:type="dxa"/>
            <w:tcBorders/>
            <w:shd w:fill="auto" w:val="clear"/>
            <w:vAlign w:val="bottom"/>
          </w:tcPr>
          <w:p>
            <w:pPr>
              <w:pStyle w:val="HorizontalLine"/>
              <w:pBdr>
                <w:bottom w:val="single" w:sz="6" w:space="0" w:color="80808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392" w:type="dxa"/>
            <w:tcBorders/>
            <w:shd w:fill="E6E6E6" w:val="clear"/>
            <w:vAlign w:val="bottom"/>
          </w:tcPr>
          <w:p>
            <w:pPr>
              <w:pStyle w:val="TableContents"/>
              <w:spacing w:before="0" w:after="283"/>
              <w:ind w:left="173" w:right="0" w:hanging="173"/>
              <w:rPr>
                <w:sz w:val="20"/>
              </w:rPr>
            </w:pPr>
            <w:r>
              <w:rPr>
                <w:sz w:val="20"/>
              </w:rPr>
              <w:t>Increase in net assets during the year</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sz w:val="20"/>
              </w:rPr>
            </w:pPr>
            <w:r>
              <w:rPr>
                <w:sz w:val="20"/>
              </w:rPr>
              <w:t>898</w:t>
            </w:r>
          </w:p>
        </w:tc>
        <w:tc>
          <w:tcPr>
            <w:tcW w:w="84" w:type="dxa"/>
            <w:tcBorders/>
            <w:shd w:fill="E6E6E6"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sz w:val="20"/>
              </w:rPr>
            </w:pPr>
            <w:r>
              <w:rPr>
                <w:sz w:val="20"/>
              </w:rPr>
              <w:t>Net assets available for benefits:</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rPr/>
            </w:pPr>
            <w:r>
              <w:rPr/>
              <w:t> </w:t>
            </w:r>
          </w:p>
        </w:tc>
      </w:tr>
      <w:tr>
        <w:trPr/>
        <w:tc>
          <w:tcPr>
            <w:tcW w:w="8392" w:type="dxa"/>
            <w:tcBorders/>
            <w:shd w:fill="E6E6E6" w:val="clear"/>
            <w:vAlign w:val="bottom"/>
          </w:tcPr>
          <w:p>
            <w:pPr>
              <w:pStyle w:val="TableContents"/>
              <w:spacing w:before="0" w:after="283"/>
              <w:ind w:left="346" w:right="0" w:hanging="173"/>
              <w:rPr>
                <w:sz w:val="20"/>
              </w:rPr>
            </w:pPr>
            <w:r>
              <w:rPr>
                <w:sz w:val="20"/>
              </w:rPr>
              <w:t>Beginning of year</w:t>
            </w:r>
          </w:p>
        </w:tc>
        <w:tc>
          <w:tcPr>
            <w:tcW w:w="209" w:type="dxa"/>
            <w:tcBorders/>
            <w:shd w:fill="E6E6E6" w:val="clear"/>
            <w:vAlign w:val="bottom"/>
          </w:tcPr>
          <w:p>
            <w:pPr>
              <w:pStyle w:val="TableContents"/>
              <w:spacing w:before="0" w:after="283"/>
              <w:rPr/>
            </w:pPr>
            <w:r>
              <w:rPr/>
              <w:t> </w:t>
            </w:r>
          </w:p>
        </w:tc>
        <w:tc>
          <w:tcPr>
            <w:tcW w:w="130" w:type="dxa"/>
            <w:tcBorders/>
            <w:shd w:fill="E6E6E6" w:val="clear"/>
            <w:vAlign w:val="bottom"/>
          </w:tcPr>
          <w:p>
            <w:pPr>
              <w:pStyle w:val="TableContents"/>
              <w:spacing w:before="0" w:after="283"/>
              <w:rPr/>
            </w:pPr>
            <w:r>
              <w:rPr/>
              <w:t> </w:t>
            </w:r>
          </w:p>
        </w:tc>
        <w:tc>
          <w:tcPr>
            <w:tcW w:w="1390" w:type="dxa"/>
            <w:tcBorders/>
            <w:shd w:fill="E6E6E6" w:val="clear"/>
            <w:vAlign w:val="bottom"/>
          </w:tcPr>
          <w:p>
            <w:pPr>
              <w:pStyle w:val="TableContents"/>
              <w:spacing w:before="0" w:after="283"/>
              <w:jc w:val="right"/>
              <w:rPr>
                <w:sz w:val="20"/>
              </w:rPr>
            </w:pPr>
            <w:r>
              <w:rPr>
                <w:sz w:val="20"/>
              </w:rPr>
              <w:t>7,373</w:t>
            </w:r>
          </w:p>
        </w:tc>
        <w:tc>
          <w:tcPr>
            <w:tcW w:w="84" w:type="dxa"/>
            <w:tcBorders/>
            <w:shd w:fill="E6E6E6"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808080"/>
              </w:pBdr>
              <w:spacing w:before="0" w:after="283"/>
              <w:rPr/>
            </w:pPr>
            <w:r>
              <w:rPr/>
            </w:r>
          </w:p>
        </w:tc>
        <w:tc>
          <w:tcPr>
            <w:tcW w:w="1390" w:type="dxa"/>
            <w:tcBorders/>
            <w:shd w:fill="auto" w:val="clear"/>
            <w:vAlign w:val="bottom"/>
          </w:tcPr>
          <w:p>
            <w:pPr>
              <w:pStyle w:val="HorizontalLine"/>
              <w:pBdr>
                <w:bottom w:val="single" w:sz="6" w:space="0" w:color="80808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346" w:right="0" w:hanging="173"/>
              <w:rPr>
                <w:sz w:val="20"/>
              </w:rPr>
            </w:pPr>
            <w:r>
              <w:rPr>
                <w:sz w:val="20"/>
              </w:rPr>
              <w:t>End of year</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20"/>
              </w:rPr>
            </w:pPr>
            <w:r>
              <w:rPr>
                <w:sz w:val="20"/>
              </w:rPr>
              <w:t>$</w:t>
            </w:r>
          </w:p>
        </w:tc>
        <w:tc>
          <w:tcPr>
            <w:tcW w:w="1390" w:type="dxa"/>
            <w:tcBorders/>
            <w:shd w:fill="auto" w:val="clear"/>
            <w:vAlign w:val="bottom"/>
          </w:tcPr>
          <w:p>
            <w:pPr>
              <w:pStyle w:val="TableContents"/>
              <w:spacing w:before="0" w:after="283"/>
              <w:jc w:val="right"/>
              <w:rPr>
                <w:sz w:val="20"/>
              </w:rPr>
            </w:pPr>
            <w:r>
              <w:rPr>
                <w:sz w:val="20"/>
              </w:rPr>
              <w:t>8,271</w:t>
            </w:r>
          </w:p>
        </w:tc>
        <w:tc>
          <w:tcPr>
            <w:tcW w:w="84" w:type="dxa"/>
            <w:tcBorders/>
            <w:shd w:fill="auto" w:val="clear"/>
            <w:vAlign w:val="bottom"/>
          </w:tcPr>
          <w:p>
            <w:pPr>
              <w:pStyle w:val="TableContents"/>
              <w:spacing w:before="0" w:after="283"/>
              <w:rPr/>
            </w:pPr>
            <w:r>
              <w:rPr/>
              <w:t> </w:t>
            </w:r>
          </w:p>
        </w:tc>
      </w:tr>
      <w:tr>
        <w:trPr/>
        <w:tc>
          <w:tcPr>
            <w:tcW w:w="8392" w:type="dxa"/>
            <w:tcBorders/>
            <w:shd w:fill="auto" w:val="clear"/>
            <w:vAlign w:val="bottom"/>
          </w:tcPr>
          <w:p>
            <w:pPr>
              <w:pStyle w:val="TableContents"/>
              <w:spacing w:before="0" w:after="283"/>
              <w:ind w:left="173" w:right="0" w:hanging="173"/>
              <w:rPr/>
            </w:pPr>
            <w:r>
              <w:rPr/>
              <w:t> </w:t>
            </w:r>
          </w:p>
        </w:tc>
        <w:tc>
          <w:tcPr>
            <w:tcW w:w="209"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18" w:space="0" w:color="808080"/>
              </w:pBdr>
              <w:spacing w:before="0" w:after="283"/>
              <w:rPr/>
            </w:pPr>
            <w:r>
              <w:rPr/>
            </w:r>
          </w:p>
        </w:tc>
        <w:tc>
          <w:tcPr>
            <w:tcW w:w="1390" w:type="dxa"/>
            <w:tcBorders/>
            <w:shd w:fill="auto" w:val="clear"/>
            <w:vAlign w:val="bottom"/>
          </w:tcPr>
          <w:p>
            <w:pPr>
              <w:pStyle w:val="HorizontalLine"/>
              <w:pBdr>
                <w:bottom w:val="single" w:sz="18" w:space="0" w:color="808080"/>
              </w:pBdr>
              <w:spacing w:before="0" w:after="283"/>
              <w:rPr/>
            </w:pPr>
            <w:r>
              <w:rPr/>
            </w:r>
          </w:p>
        </w:tc>
        <w:tc>
          <w:tcPr>
            <w:tcW w:w="84" w:type="dxa"/>
            <w:tcBorders/>
            <w:shd w:fill="auto" w:val="clear"/>
            <w:vAlign w:val="bottom"/>
          </w:tcPr>
          <w:p>
            <w:pPr>
              <w:pStyle w:val="TableContents"/>
              <w:spacing w:before="0" w:after="283"/>
              <w:rPr/>
            </w:pPr>
            <w:r>
              <w:rPr/>
              <w:t> </w:t>
            </w:r>
          </w:p>
        </w:tc>
      </w:tr>
    </w:tbl>
    <w:p>
      <w:pPr>
        <w:pStyle w:val="TextBody"/>
        <w:jc w:val="center"/>
        <w:rPr>
          <w:sz w:val="20"/>
        </w:rPr>
      </w:pPr>
      <w:r>
        <w:rPr>
          <w:sz w:val="20"/>
        </w:rPr>
        <w:t>4</w:t>
      </w:r>
    </w:p>
    <w:p>
      <w:pPr>
        <w:pStyle w:val="TextBody"/>
        <w:jc w:val="center"/>
        <w:rPr>
          <w:sz w:val="20"/>
        </w:rPr>
      </w:pPr>
      <w:r>
        <w:rPr>
          <w:sz w:val="20"/>
        </w:rPr>
        <w:t>The accompanying notes are an integral part of these financial statements.</w:t>
      </w:r>
    </w:p>
    <w:p>
      <w:pPr>
        <w:pStyle w:val="HorizontalLine"/>
        <w:pBdr>
          <w:bottom w:val="single" w:sz="24" w:space="0" w:color="808080"/>
        </w:pBdr>
        <w:rPr/>
      </w:pPr>
      <w:r>
        <w:rPr/>
      </w:r>
      <w:r>
        <w:br w:type="page"/>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rFonts w:ascii="ARIAL" w:hAnsi="ARIAL"/>
                <w:b/>
                <w:sz w:val="28"/>
              </w:rPr>
            </w:pPr>
            <w:r>
              <w:rPr>
                <w:rFonts w:ascii="ARIAL" w:hAnsi="ARIAL"/>
                <w:b/>
                <w:sz w:val="28"/>
              </w:rPr>
              <w:t xml:space="preserve">Honeywell Savings and Ownership Plan </w:t>
            </w:r>
          </w:p>
        </w:tc>
      </w:tr>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N</w:t>
            </w:r>
            <w:bookmarkStart w:id="7" w:name="A004"/>
            <w:bookmarkEnd w:id="7"/>
            <w:r>
              <w:rPr>
                <w:rFonts w:ascii="ARIAL" w:hAnsi="ARIAL"/>
                <w:b/>
                <w:sz w:val="24"/>
              </w:rPr>
              <w:t>otes to Financial Statements</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b/>
                <w:sz w:val="20"/>
              </w:rPr>
            </w:pPr>
            <w:r>
              <w:rPr>
                <w:b/>
                <w:sz w:val="20"/>
              </w:rPr>
              <w:t>1.</w:t>
            </w:r>
          </w:p>
        </w:tc>
        <w:tc>
          <w:tcPr>
            <w:tcW w:w="9699" w:type="dxa"/>
            <w:tcBorders/>
            <w:shd w:fill="auto" w:val="clear"/>
          </w:tcPr>
          <w:p>
            <w:pPr>
              <w:pStyle w:val="TableContents"/>
              <w:spacing w:before="0" w:after="283"/>
              <w:rPr>
                <w:b/>
                <w:sz w:val="20"/>
              </w:rPr>
            </w:pPr>
            <w:r>
              <w:rPr>
                <w:b/>
                <w:sz w:val="20"/>
              </w:rPr>
              <w:t>Description of the Plan</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General</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The Honeywell Savings and Ownership Plan (the Plan) is a defined contribution plan for certain employees of Honeywell International Inc. (the Company). It is subject to the provisions of the Employee Retirement Income Security Act of 1974 (ERISA). The following represents a summary of key provisions of the Plan but does not purport to be complete and is qualified in its entirety by the terms of the Plan. Participants should refer to the Plan document for a more complete description of the Plans provisions.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Administration</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The Company is the Plan Administrator and has full discretionary authority to manage and control the operation and administration of the Plan, including the power to interpret the provisions of the Plan, to promulgate regulations for the Plans administration, to enter into agreements with trustees to provide for the investment of Plan assets, to appoint investment managers to direct such trustees and to delegate its administrative responsibilities. The day-to-day administration of the Plan is handled by the Company. The Trustee of the Plan is State Street Bank and Trust Company (the Trustee).</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Contributions and Vesting</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Participants may elect to contribute each pay period from 1% to 30% of their eligible pay subject to certain restrictions for highly compensated employees. Contributions may be made either on a before-tax or after-tax basis, or a combination of both, and may be directed into any investment option available within the Plan. In addition to before-tax or after-tax contributions, eligible participants may contribute catch-up contributions to the Plan on a before-tax basis. A participant is eligible if they are at least age 50 by December 31</w:t>
            </w:r>
            <w:r>
              <w:rPr>
                <w:position w:val="7"/>
                <w:sz w:val="16"/>
                <w:sz w:val="20"/>
              </w:rPr>
              <w:t>st</w:t>
            </w:r>
            <w:r>
              <w:rPr>
                <w:sz w:val="20"/>
              </w:rPr>
              <w:t xml:space="preserve"> and have contributed the maximum regular before-tax contributions to the Plan or who are contributing to the Plan at the maximum before-tax contribution percentage.</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The Company matching contribution does not begin until the first pay period following the employees completion of one year of service with the Company. The Company may contribute on behalf of each participant between 0% and 50% of such participants contribution to the Plan depending upon the rate designated for the participants business. Also, depending on the rate designated for the participants business, the Company makes contributions with respect to a participants contributions up to a maximum of 8% of a participants eligible pay. The Company does not match catch-up contributions. All of the Companys matching contributions are invested in the Honeywell Common Stock Fund.</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Participants have a full and immediate vested interest in the portion of their accounts contributed by them and the earnings on such contributions. A participant generally does not have a vested interest in any Company contributions made to his or her account until he or she completes three years of service with Honeywell or one of its affiliated companies.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Participant Accounts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Each participants account is credited with the participants contribution and allocation of (1) the Companys contribution, and (2) Plan earnings or losses, and charged with an allocation of administrative expenses. The allocation is based on participants account balances as defined in the Plan document. The benefit to which a participant is entitled is the benefit that can be provided from the participants vested account.</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bl>
    <w:p>
      <w:pPr>
        <w:pStyle w:val="TextBody"/>
        <w:jc w:val="center"/>
        <w:rPr>
          <w:sz w:val="20"/>
        </w:rPr>
      </w:pPr>
      <w:r>
        <w:rPr>
          <w:sz w:val="20"/>
        </w:rPr>
        <w:t>5</w:t>
      </w:r>
    </w:p>
    <w:p>
      <w:pPr>
        <w:pStyle w:val="HorizontalLine"/>
        <w:pBdr>
          <w:bottom w:val="single" w:sz="24" w:space="0" w:color="808080"/>
        </w:pBdr>
        <w:rPr/>
      </w:pPr>
      <w:r>
        <w:rPr/>
      </w:r>
      <w:r>
        <w:br w:type="page"/>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pageBreakBefore/>
              <w:spacing w:before="0" w:after="283"/>
              <w:rPr/>
            </w:pPr>
            <w:r>
              <w:rPr/>
              <w:t> </w:t>
            </w:r>
          </w:p>
        </w:tc>
      </w:tr>
      <w:tr>
        <w:trPr/>
        <w:tc>
          <w:tcPr>
            <w:tcW w:w="10205" w:type="dxa"/>
            <w:tcBorders/>
            <w:shd w:fill="auto" w:val="clear"/>
          </w:tcPr>
          <w:p>
            <w:pPr>
              <w:pStyle w:val="TableContents"/>
              <w:spacing w:before="0" w:after="283"/>
              <w:rPr>
                <w:rFonts w:ascii="ARIAL" w:hAnsi="ARIAL"/>
                <w:b/>
                <w:sz w:val="28"/>
              </w:rPr>
            </w:pPr>
            <w:r>
              <w:rPr>
                <w:rFonts w:ascii="ARIAL" w:hAnsi="ARIAL"/>
                <w:b/>
                <w:sz w:val="28"/>
              </w:rPr>
              <w:t xml:space="preserve">Honeywell Savings and Ownership Plan </w:t>
            </w:r>
          </w:p>
        </w:tc>
      </w:tr>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Notes to Financial Statements</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3"/>
        <w:gridCol w:w="9702"/>
      </w:tblGrid>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pPr>
            <w:r>
              <w:rPr/>
              <w:t> </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sz w:val="20"/>
              </w:rPr>
            </w:pPr>
            <w:r>
              <w:rPr>
                <w:b/>
                <w:sz w:val="20"/>
              </w:rPr>
              <w:t>Participant Loans</w:t>
            </w:r>
            <w:r>
              <w:rPr>
                <w:sz w:val="20"/>
              </w:rPr>
              <w:t xml:space="preserve"> </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sz w:val="20"/>
              </w:rPr>
            </w:pPr>
            <w:r>
              <w:rPr>
                <w:sz w:val="20"/>
              </w:rPr>
              <w:br/>
              <w:t>Loans will be paid out in the following order (1) before-tax contributions and earnings, (2) after-tax contributions and earnings, (3) rollover contributions and earnings, (4) prior employer contributions and earnings and (5) vested Company match contributions and earnings. Only two loans will be permitted to be outstanding at any time. Each loan has to be for at least one thousand dollars. The maximum loans to a participant is the lesser of (1) fifty thousand dollars, reduced by a participants highest combined outstanding loan balance during the preceding twelve month period, or (2) 50% of the vested portion of a participants account, less any current outstanding loan balance. The interest rate on the loans will generally be the published prime rate plus 1% for the month preceding the effective date of the loan. However, the Company may revise this rate of interest for any new loans if it determines that the prime rate plus 1% is no longer a reasonable rate of interest. The rate used will be fixed for the term of the loan. The term of any loan shall not be less than 1 month or more than 60 months unless used to acquire a principal residence for which the term can be up to 25 years.</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pPr>
            <w:r>
              <w:rPr/>
              <w:t> </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sz w:val="20"/>
              </w:rPr>
            </w:pPr>
            <w:r>
              <w:rPr>
                <w:sz w:val="20"/>
              </w:rPr>
              <w:t>Interest rates for loans outstanding at December 31, 2006 and 2005, were between 4.0% and 11.0% and between 5.0% and 11.0%, respectively.</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pPr>
            <w:r>
              <w:rPr/>
              <w:t> </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b/>
                <w:sz w:val="20"/>
              </w:rPr>
            </w:pPr>
            <w:r>
              <w:rPr>
                <w:b/>
                <w:sz w:val="20"/>
              </w:rPr>
              <w:t>Distribution of Benefits</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sz w:val="20"/>
              </w:rPr>
            </w:pPr>
            <w:r>
              <w:rPr>
                <w:sz w:val="20"/>
              </w:rPr>
              <w:br/>
              <w:t>Upon termination of service with the Company, the entire vested amount in the participants account can be distributed, at the participants election, in a single payment. If no distribution election is made by the participant and the participants account balance exceeds $5,000, the balance in the account will remain in the Plan and shall be distributed at 1) the participants request, 2) when the participant attains age seventy and one-half (70-1/2) through the payment of Minimum Required Distributions as defined by the Plan, or 3) upon the participants death, whichever is earliest. When a participant dies, if his or her spouse is the beneficiary, the spouse may remain in the Plan under the same conditions as previously described for the participant. Otherwise, the entire amount in the participants account is distributed in a single payment to the participants beneficiary (ies).</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pPr>
            <w:r>
              <w:rPr/>
              <w:t> </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b/>
                <w:sz w:val="20"/>
              </w:rPr>
            </w:pPr>
            <w:r>
              <w:rPr>
                <w:b/>
                <w:sz w:val="20"/>
              </w:rPr>
              <w:t>Forfeitures</w:t>
            </w:r>
          </w:p>
        </w:tc>
      </w:tr>
      <w:tr>
        <w:trPr/>
        <w:tc>
          <w:tcPr>
            <w:tcW w:w="503" w:type="dxa"/>
            <w:tcBorders/>
            <w:shd w:fill="auto" w:val="clear"/>
          </w:tcPr>
          <w:p>
            <w:pPr>
              <w:pStyle w:val="TableContents"/>
              <w:spacing w:before="0" w:after="283"/>
              <w:rPr/>
            </w:pPr>
            <w:r>
              <w:rPr/>
              <w:t> </w:t>
            </w:r>
          </w:p>
        </w:tc>
        <w:tc>
          <w:tcPr>
            <w:tcW w:w="9702" w:type="dxa"/>
            <w:tcBorders/>
            <w:shd w:fill="auto" w:val="clear"/>
          </w:tcPr>
          <w:p>
            <w:pPr>
              <w:pStyle w:val="TableContents"/>
              <w:spacing w:before="0" w:after="283"/>
              <w:rPr>
                <w:sz w:val="20"/>
              </w:rPr>
            </w:pPr>
            <w:r>
              <w:rPr>
                <w:sz w:val="20"/>
              </w:rPr>
              <w:br/>
              <w:t>Forfeitures of the Companys contributions and earnings thereon because of terminations and withdrawals reduce contributions otherwise due from the Company. Company contributions were reduced by $1 million due to forfeited nonvested accounts for the year ended December 31, 2006.</w:t>
            </w:r>
          </w:p>
        </w:tc>
      </w:tr>
    </w:tbl>
    <w:p>
      <w:pPr>
        <w:pStyle w:val="TextBody"/>
        <w:jc w:val="center"/>
        <w:rPr>
          <w:sz w:val="20"/>
        </w:rPr>
      </w:pPr>
      <w:r>
        <w:rPr>
          <w:sz w:val="20"/>
        </w:rPr>
        <w:t>6</w:t>
      </w:r>
    </w:p>
    <w:p>
      <w:pPr>
        <w:pStyle w:val="HorizontalLine"/>
        <w:pBdr>
          <w:bottom w:val="single" w:sz="24" w:space="0" w:color="808080"/>
        </w:pBdr>
        <w:rPr/>
      </w:pPr>
      <w:r>
        <w:rPr/>
      </w:r>
      <w:r>
        <w:br w:type="page"/>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pageBreakBefore/>
              <w:spacing w:before="0" w:after="283"/>
              <w:rPr/>
            </w:pPr>
            <w:r>
              <w:rPr/>
              <w:t> </w:t>
            </w:r>
          </w:p>
        </w:tc>
      </w:tr>
      <w:tr>
        <w:trPr/>
        <w:tc>
          <w:tcPr>
            <w:tcW w:w="10205" w:type="dxa"/>
            <w:tcBorders/>
            <w:shd w:fill="auto" w:val="clear"/>
          </w:tcPr>
          <w:p>
            <w:pPr>
              <w:pStyle w:val="TableContents"/>
              <w:spacing w:before="0" w:after="283"/>
              <w:rPr>
                <w:rFonts w:ascii="ARIAL" w:hAnsi="ARIAL"/>
                <w:b/>
                <w:sz w:val="28"/>
              </w:rPr>
            </w:pPr>
            <w:r>
              <w:rPr>
                <w:rFonts w:ascii="ARIAL" w:hAnsi="ARIAL"/>
                <w:b/>
                <w:sz w:val="28"/>
              </w:rPr>
              <w:t xml:space="preserve">Honeywell Savings and Ownership Plan </w:t>
            </w:r>
          </w:p>
        </w:tc>
      </w:tr>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Notes to Financial Statements</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283"/>
              <w:rPr>
                <w:b/>
                <w:sz w:val="20"/>
              </w:rPr>
            </w:pPr>
            <w:r>
              <w:rPr>
                <w:b/>
                <w:sz w:val="20"/>
              </w:rPr>
              <w:t>2.</w:t>
            </w:r>
          </w:p>
        </w:tc>
        <w:tc>
          <w:tcPr>
            <w:tcW w:w="9699" w:type="dxa"/>
            <w:tcBorders/>
            <w:shd w:fill="auto" w:val="clear"/>
          </w:tcPr>
          <w:p>
            <w:pPr>
              <w:pStyle w:val="TableContents"/>
              <w:spacing w:before="0" w:after="283"/>
              <w:rPr>
                <w:b/>
                <w:sz w:val="20"/>
              </w:rPr>
            </w:pPr>
            <w:r>
              <w:rPr>
                <w:b/>
                <w:sz w:val="20"/>
              </w:rPr>
              <w:t>Significant Accounting Policies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Basis of Accounting</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The financial statements of the Plan are prepared on the accrual basis of accounting.</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Use of Estimates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The preparation of financial statements in conformity with generally accepted accounting principles in the United States of America requires management to make estimates and assumptions that affect the reported amounts of assets and liabilities and changes therein, and disclosure of contingent assets and liabilities. Actual results could differ from those estimates.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Investment Valuation</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For investment and administrative purposes, the Plans assets are custodied in the Honeywell Savings and Ownership Plan Master Trust (Master Trust) along with the assets of the Honeywell Secured Benefit Plan. The Plans investment in the Master Trust represents the Plans interest in the net assets of the Master Trust. The Plans investment is stated at fair value and is based on the beginning of year value of the Plans interest in the Master Trust plus actual Plan contributions and allocated investment income less actual Plan distributions and allocated expenses.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Participant loans are valued at cost plus accrued interest, which approximates fair value.</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Payment of Benefits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Withdrawals and distributions are recorded when paid.</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Expenses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All external third party expenses and internal expenses relating to the administration of the Master Trust and managing the funds established thereunder are borne by the participating plans. Brokerage commissions, transfer taxes and other charges incurred in connection with the purchase and sale of securities are paid out of the fund to which such charges are attributable. Trustee fees and other expenses are allocated to the funds based upon such funds proportionate interest in the Master Trust.</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Recent Accounting Pronouncements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br/>
              <w:t>In 2006, the Plan/Master Trust adopted, the Financial Accounting Standards Board (FASB) Staff Position (FSP) on the Reporting of Fully Benefit-Responsive Investment Contracts Held by Certain Investment Companies Subject to the AICPA Investment Company Guide and Defined-Contribution Health and Welfare and Pension Plans. This FSP amends the guidance in AICPA Statement of Position 94-4, Reporting of Investment Contracts Held by Health and Welfare Benefit Plans and Defined-Contribution Pension Plans, with respect to the definition of fully benefit-responsive investment contracts and the presentation and disclosure of fully benefit-responsive investment contracts in plan financial statements. The FSP requires that investments in benefit-responsive investment contracts be presented at fair value in the statement of net assets available for benefits and that the amount representing the difference between fair value and contract value of these investments also is presented on the face of the statement of net assets available for benefits. The guidance in the FSP must be applied retroactively to the financial statements for all prior periods presented. The effect of adopting the FSP had no impact on net assets available for benefits or changes in net asset available for benefits; as such investments have historically been presented at contract value.</w:t>
            </w:r>
          </w:p>
        </w:tc>
      </w:tr>
    </w:tbl>
    <w:p>
      <w:pPr>
        <w:pStyle w:val="TextBody"/>
        <w:jc w:val="center"/>
        <w:rPr>
          <w:sz w:val="20"/>
        </w:rPr>
      </w:pPr>
      <w:r>
        <w:rPr>
          <w:sz w:val="20"/>
        </w:rPr>
        <w:t>7</w:t>
      </w:r>
    </w:p>
    <w:p>
      <w:pPr>
        <w:pStyle w:val="HorizontalLine"/>
        <w:pBdr>
          <w:bottom w:val="single" w:sz="24" w:space="0" w:color="808080"/>
        </w:pBdr>
        <w:rPr/>
      </w:pPr>
      <w:r>
        <w:rPr/>
      </w:r>
      <w:r>
        <w:br w:type="page"/>
      </w:r>
    </w:p>
    <w:p>
      <w:pPr>
        <w:pStyle w:val="TextBody"/>
        <w:ind w:left="0" w:right="0" w:hanging="0"/>
        <w:rPr>
          <w:rFonts w:ascii="ARIAL" w:hAnsi="ARIAL"/>
          <w:b/>
          <w:sz w:val="28"/>
        </w:rPr>
      </w:pPr>
      <w:r>
        <w:rPr>
          <w:rFonts w:ascii="ARIAL" w:hAnsi="ARIAL"/>
          <w:b/>
          <w:sz w:val="28"/>
        </w:rPr>
        <w:t xml:space="preserve">Honeywell Savings and Ownership Plan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Notes to Financial Statements</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sz w:val="20"/>
              </w:rPr>
            </w:pPr>
            <w:r>
              <w:rPr>
                <w:sz w:val="20"/>
              </w:rPr>
              <w:t>In September 2006, the FASB issued Statement No. 157, Fair Value Measurements (FAS 157). This statement defines fair value, establishes a framework for measuring fair value and expands disclosures about fair value measurements</w:t>
            </w:r>
            <w:r>
              <w:rPr>
                <w:b/>
                <w:sz w:val="20"/>
              </w:rPr>
              <w:t>.</w:t>
            </w:r>
            <w:r>
              <w:rPr>
                <w:sz w:val="20"/>
              </w:rPr>
              <w:t xml:space="preserve"> FAS 157 is effective for fiscal years beginning after November 15, 2007, and interim periods within those fiscal years. The Plan is currently evaluating the statements impact on its financial statements</w:t>
            </w:r>
            <w:r>
              <w:rPr>
                <w:b/>
                <w:sz w:val="20"/>
              </w:rPr>
              <w:t>.</w:t>
            </w:r>
          </w:p>
        </w:tc>
      </w:tr>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b/>
                <w:sz w:val="20"/>
              </w:rPr>
            </w:pPr>
            <w:r>
              <w:rPr>
                <w:b/>
                <w:sz w:val="20"/>
              </w:rPr>
              <w:t>3.</w:t>
            </w:r>
          </w:p>
        </w:tc>
        <w:tc>
          <w:tcPr>
            <w:tcW w:w="9697" w:type="dxa"/>
            <w:tcBorders/>
            <w:shd w:fill="auto" w:val="clear"/>
          </w:tcPr>
          <w:p>
            <w:pPr>
              <w:pStyle w:val="TableContents"/>
              <w:spacing w:before="0" w:after="283"/>
              <w:rPr>
                <w:b/>
                <w:sz w:val="20"/>
              </w:rPr>
            </w:pPr>
            <w:r>
              <w:rPr>
                <w:b/>
                <w:sz w:val="20"/>
              </w:rPr>
              <w:t>Interest in Honeywell Savings and Ownership Plan Master Trust</w:t>
            </w:r>
          </w:p>
        </w:tc>
      </w:tr>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sz w:val="20"/>
              </w:rPr>
            </w:pPr>
            <w:r>
              <w:rPr>
                <w:sz w:val="20"/>
              </w:rPr>
              <w:t>The Plans investment is in the Master Trust, which is commingled with the assets of the Honeywell Secured Benefit Plan. Each participating plan has an undivided interest in the Master Trust. The assets of the Master Trust are held by the Trustee. At December 31, 2006 and 2005, the Plan and the Secured Benefit Plans interest in the net assets of the Master Trust was 93.5% and 6.5% and 93.2% and 6.8%, respectively. Investment income/loss is based on participant balances, and administrative expenses relating to the Master Trust are allocated daily to the individual plans based upon the asset value balances invested by each plan.</w:t>
            </w:r>
          </w:p>
        </w:tc>
      </w:tr>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sz w:val="20"/>
              </w:rPr>
            </w:pPr>
            <w:r>
              <w:rPr>
                <w:sz w:val="20"/>
              </w:rPr>
              <w:t>The Master Trust is comprised of the following types of investments as of December 31, 2006 and 2005:</w:t>
            </w:r>
          </w:p>
        </w:tc>
      </w:tr>
    </w:tbl>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align>bottom</wp:align>
                </wp:positionV>
                <wp:extent cx="5507990" cy="6507480"/>
                <wp:effectExtent l="0" t="0" r="0" b="0"/>
                <wp:wrapSquare wrapText="largest"/>
                <wp:docPr id="1" name="Frame1"/>
                <a:graphic xmlns:a="http://schemas.openxmlformats.org/drawingml/2006/main">
                  <a:graphicData uri="http://schemas.microsoft.com/office/word/2010/wordprocessingShape">
                    <wps:wsp>
                      <wps:cNvSpPr txBox="1"/>
                      <wps:spPr>
                        <a:xfrm>
                          <a:off x="0" y="0"/>
                          <a:ext cx="5507990" cy="6507480"/>
                        </a:xfrm>
                        <a:prstGeom prst="rect"/>
                      </wps:spPr>
                      <wps:txbx>
                        <w:txbxContent>
                          <w:tbl>
                            <w:tblPr>
                              <w:tblW w:w="8674" w:type="dxa"/>
                              <w:jc w:val="left"/>
                              <w:tblInd w:w="0" w:type="dxa"/>
                              <w:tblCellMar>
                                <w:top w:w="0" w:type="dxa"/>
                                <w:left w:w="0" w:type="dxa"/>
                                <w:bottom w:w="0" w:type="dxa"/>
                                <w:right w:w="0" w:type="dxa"/>
                              </w:tblCellMar>
                            </w:tblPr>
                            <w:tblGrid>
                              <w:gridCol w:w="477"/>
                              <w:gridCol w:w="5252"/>
                              <w:gridCol w:w="251"/>
                              <w:gridCol w:w="127"/>
                              <w:gridCol w:w="1033"/>
                              <w:gridCol w:w="259"/>
                              <w:gridCol w:w="127"/>
                              <w:gridCol w:w="1033"/>
                              <w:gridCol w:w="115"/>
                            </w:tblGrid>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TableContents"/>
                                    <w:spacing w:before="0" w:after="283"/>
                                    <w:jc w:val="center"/>
                                    <w:rPr>
                                      <w:b/>
                                      <w:sz w:val="14"/>
                                    </w:rPr>
                                  </w:pPr>
                                  <w:r>
                                    <w:rPr>
                                      <w:b/>
                                      <w:sz w:val="14"/>
                                    </w:rPr>
                                    <w:t>2006</w:t>
                                  </w:r>
                                </w:p>
                              </w:tc>
                              <w:tc>
                                <w:tcPr>
                                  <w:tcW w:w="259"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TableContents"/>
                                    <w:spacing w:before="0" w:after="283"/>
                                    <w:jc w:val="center"/>
                                    <w:rPr>
                                      <w:b/>
                                      <w:sz w:val="14"/>
                                    </w:rPr>
                                  </w:pPr>
                                  <w:r>
                                    <w:rPr>
                                      <w:b/>
                                      <w:sz w:val="14"/>
                                    </w:rPr>
                                    <w:t>2005</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HorizontalLine"/>
                                    <w:pBdr>
                                      <w:bottom w:val="single" w:sz="6" w:space="0" w:color="000000"/>
                                    </w:pBdr>
                                    <w:spacing w:before="0" w:after="283"/>
                                    <w:rPr/>
                                  </w:pPr>
                                  <w:r>
                                    <w:rPr/>
                                  </w:r>
                                </w:p>
                              </w:tc>
                              <w:tc>
                                <w:tcPr>
                                  <w:tcW w:w="259"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579" w:type="dxa"/>
                                  <w:gridSpan w:val="5"/>
                                  <w:tcBorders/>
                                  <w:shd w:fill="auto" w:val="clear"/>
                                  <w:vAlign w:val="bottom"/>
                                </w:tcPr>
                                <w:p>
                                  <w:pPr>
                                    <w:pStyle w:val="TableContents"/>
                                    <w:spacing w:before="0" w:after="283"/>
                                    <w:jc w:val="center"/>
                                    <w:rPr>
                                      <w:sz w:val="14"/>
                                    </w:rPr>
                                  </w:pPr>
                                  <w:r>
                                    <w:rPr>
                                      <w:b/>
                                      <w:i/>
                                      <w:sz w:val="14"/>
                                    </w:rPr>
                                    <w:t>(dollars in millions)</w:t>
                                  </w:r>
                                  <w:r>
                                    <w:rPr>
                                      <w:sz w:val="14"/>
                                    </w:rPr>
                                    <w:t xml:space="preserve">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E6E6E6" w:val="clear"/>
                                  <w:vAlign w:val="bottom"/>
                                </w:tcPr>
                                <w:p>
                                  <w:pPr>
                                    <w:pStyle w:val="TableContents"/>
                                    <w:spacing w:before="0" w:after="283"/>
                                    <w:rPr>
                                      <w:b/>
                                      <w:sz w:val="20"/>
                                    </w:rPr>
                                  </w:pPr>
                                  <w:r>
                                    <w:rPr>
                                      <w:b/>
                                      <w:sz w:val="20"/>
                                    </w:rPr>
                                    <w:t>Investments, at fair value</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pPr>
                                  <w:r>
                                    <w:rPr/>
                                    <w:t> </w:t>
                                  </w:r>
                                </w:p>
                              </w:tc>
                              <w:tc>
                                <w:tcPr>
                                  <w:tcW w:w="259"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pPr>
                                  <w:r>
                                    <w:rPr/>
                                    <w:t> </w:t>
                                  </w:r>
                                </w:p>
                              </w:tc>
                              <w:tc>
                                <w:tcPr>
                                  <w:tcW w:w="115" w:type="dxa"/>
                                  <w:tcBorders/>
                                  <w:shd w:fill="E6E6E6"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auto" w:val="clear"/>
                                  <w:vAlign w:val="bottom"/>
                                </w:tcPr>
                                <w:p>
                                  <w:pPr>
                                    <w:pStyle w:val="TableContents"/>
                                    <w:spacing w:before="0" w:after="283"/>
                                    <w:ind w:left="346" w:right="0" w:hanging="173"/>
                                    <w:rPr>
                                      <w:sz w:val="20"/>
                                    </w:rPr>
                                  </w:pPr>
                                  <w:r>
                                    <w:rPr>
                                      <w:sz w:val="20"/>
                                    </w:rPr>
                                    <w:t>Honeywell Common Stock</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20"/>
                                    </w:rPr>
                                  </w:pPr>
                                  <w:r>
                                    <w:rPr>
                                      <w:sz w:val="20"/>
                                    </w:rPr>
                                    <w:t>$</w:t>
                                  </w:r>
                                </w:p>
                              </w:tc>
                              <w:tc>
                                <w:tcPr>
                                  <w:tcW w:w="1033" w:type="dxa"/>
                                  <w:tcBorders/>
                                  <w:shd w:fill="auto" w:val="clear"/>
                                  <w:vAlign w:val="bottom"/>
                                </w:tcPr>
                                <w:p>
                                  <w:pPr>
                                    <w:pStyle w:val="TableContents"/>
                                    <w:spacing w:before="0" w:after="283"/>
                                    <w:jc w:val="right"/>
                                    <w:rPr>
                                      <w:sz w:val="20"/>
                                    </w:rPr>
                                  </w:pPr>
                                  <w:r>
                                    <w:rPr>
                                      <w:sz w:val="20"/>
                                    </w:rPr>
                                    <w:t>2,647</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20"/>
                                    </w:rPr>
                                  </w:pPr>
                                  <w:r>
                                    <w:rPr>
                                      <w:sz w:val="20"/>
                                    </w:rPr>
                                    <w:t>$</w:t>
                                  </w:r>
                                </w:p>
                              </w:tc>
                              <w:tc>
                                <w:tcPr>
                                  <w:tcW w:w="1033" w:type="dxa"/>
                                  <w:tcBorders/>
                                  <w:shd w:fill="auto" w:val="clear"/>
                                  <w:vAlign w:val="bottom"/>
                                </w:tcPr>
                                <w:p>
                                  <w:pPr>
                                    <w:pStyle w:val="TableContents"/>
                                    <w:spacing w:before="0" w:after="283"/>
                                    <w:jc w:val="right"/>
                                    <w:rPr>
                                      <w:sz w:val="20"/>
                                    </w:rPr>
                                  </w:pPr>
                                  <w:r>
                                    <w:rPr>
                                      <w:sz w:val="20"/>
                                    </w:rPr>
                                    <w:t xml:space="preserve">2,626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E6E6E6" w:val="clear"/>
                                  <w:vAlign w:val="bottom"/>
                                </w:tcPr>
                                <w:p>
                                  <w:pPr>
                                    <w:pStyle w:val="TableContents"/>
                                    <w:spacing w:before="0" w:after="283"/>
                                    <w:ind w:left="346" w:right="0" w:hanging="173"/>
                                    <w:rPr>
                                      <w:sz w:val="20"/>
                                    </w:rPr>
                                  </w:pPr>
                                  <w:r>
                                    <w:rPr>
                                      <w:sz w:val="20"/>
                                    </w:rPr>
                                    <w:t>Mutual funds</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265</w:t>
                                  </w:r>
                                </w:p>
                              </w:tc>
                              <w:tc>
                                <w:tcPr>
                                  <w:tcW w:w="259"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 xml:space="preserve">216 </w:t>
                                  </w:r>
                                </w:p>
                              </w:tc>
                              <w:tc>
                                <w:tcPr>
                                  <w:tcW w:w="115" w:type="dxa"/>
                                  <w:tcBorders/>
                                  <w:shd w:fill="E6E6E6"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auto" w:val="clear"/>
                                  <w:vAlign w:val="bottom"/>
                                </w:tcPr>
                                <w:p>
                                  <w:pPr>
                                    <w:pStyle w:val="TableContents"/>
                                    <w:spacing w:before="0" w:after="283"/>
                                    <w:ind w:left="346" w:right="0" w:hanging="173"/>
                                    <w:rPr>
                                      <w:sz w:val="20"/>
                                    </w:rPr>
                                  </w:pPr>
                                  <w:r>
                                    <w:rPr>
                                      <w:sz w:val="20"/>
                                    </w:rPr>
                                    <w:t>Common &amp; Commingled Funds</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3,607</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 xml:space="preserve">2,927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E6E6E6" w:val="clear"/>
                                  <w:vAlign w:val="bottom"/>
                                </w:tcPr>
                                <w:p>
                                  <w:pPr>
                                    <w:pStyle w:val="TableContents"/>
                                    <w:spacing w:before="0" w:after="283"/>
                                    <w:ind w:left="346" w:right="0" w:hanging="173"/>
                                    <w:rPr>
                                      <w:sz w:val="20"/>
                                    </w:rPr>
                                  </w:pPr>
                                  <w:r>
                                    <w:rPr>
                                      <w:sz w:val="20"/>
                                    </w:rPr>
                                    <w:t>Stocks (Separately Managed Portfolios)</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811</w:t>
                                  </w:r>
                                </w:p>
                              </w:tc>
                              <w:tc>
                                <w:tcPr>
                                  <w:tcW w:w="259"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 xml:space="preserve">738 </w:t>
                                  </w:r>
                                </w:p>
                              </w:tc>
                              <w:tc>
                                <w:tcPr>
                                  <w:tcW w:w="115" w:type="dxa"/>
                                  <w:tcBorders/>
                                  <w:shd w:fill="E6E6E6"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auto" w:val="clear"/>
                                  <w:vAlign w:val="bottom"/>
                                </w:tcPr>
                                <w:p>
                                  <w:pPr>
                                    <w:pStyle w:val="TableContents"/>
                                    <w:spacing w:before="0" w:after="283"/>
                                    <w:ind w:left="346" w:right="0" w:hanging="173"/>
                                    <w:rPr>
                                      <w:sz w:val="20"/>
                                    </w:rPr>
                                  </w:pPr>
                                  <w:r>
                                    <w:rPr>
                                      <w:sz w:val="20"/>
                                    </w:rPr>
                                    <w:t>Short-Term Investments</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135</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 xml:space="preserve">133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E6E6E6" w:val="clear"/>
                                  <w:vAlign w:val="bottom"/>
                                </w:tcPr>
                                <w:p>
                                  <w:pPr>
                                    <w:pStyle w:val="TableContents"/>
                                    <w:spacing w:before="0" w:after="283"/>
                                    <w:ind w:left="346" w:right="0" w:hanging="173"/>
                                    <w:rPr>
                                      <w:sz w:val="20"/>
                                    </w:rPr>
                                  </w:pPr>
                                  <w:r>
                                    <w:rPr>
                                      <w:sz w:val="20"/>
                                    </w:rPr>
                                    <w:t>Investment Contracts</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1,292</w:t>
                                  </w:r>
                                </w:p>
                              </w:tc>
                              <w:tc>
                                <w:tcPr>
                                  <w:tcW w:w="259"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 xml:space="preserve">1,217 </w:t>
                                  </w:r>
                                </w:p>
                              </w:tc>
                              <w:tc>
                                <w:tcPr>
                                  <w:tcW w:w="115" w:type="dxa"/>
                                  <w:tcBorders/>
                                  <w:shd w:fill="E6E6E6"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808080"/>
                                    </w:pBdr>
                                    <w:spacing w:before="0" w:after="283"/>
                                    <w:rPr/>
                                  </w:pPr>
                                  <w:r>
                                    <w:rPr/>
                                  </w:r>
                                </w:p>
                              </w:tc>
                              <w:tc>
                                <w:tcPr>
                                  <w:tcW w:w="1033" w:type="dxa"/>
                                  <w:tcBorders/>
                                  <w:shd w:fill="auto" w:val="clear"/>
                                  <w:vAlign w:val="bottom"/>
                                </w:tcPr>
                                <w:p>
                                  <w:pPr>
                                    <w:pStyle w:val="HorizontalLine"/>
                                    <w:pBdr>
                                      <w:bottom w:val="single" w:sz="6" w:space="0" w:color="808080"/>
                                    </w:pBdr>
                                    <w:spacing w:before="0" w:after="283"/>
                                    <w:rPr/>
                                  </w:pPr>
                                  <w:r>
                                    <w:rPr/>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808080"/>
                                    </w:pBdr>
                                    <w:spacing w:before="0" w:after="283"/>
                                    <w:rPr/>
                                  </w:pPr>
                                  <w:r>
                                    <w:rPr/>
                                  </w:r>
                                </w:p>
                              </w:tc>
                              <w:tc>
                                <w:tcPr>
                                  <w:tcW w:w="1033" w:type="dxa"/>
                                  <w:tcBorders/>
                                  <w:shd w:fill="auto" w:val="clear"/>
                                  <w:vAlign w:val="bottom"/>
                                </w:tcPr>
                                <w:p>
                                  <w:pPr>
                                    <w:pStyle w:val="HorizontalLine"/>
                                    <w:pBdr>
                                      <w:bottom w:val="single" w:sz="6" w:space="0" w:color="808080"/>
                                    </w:pBdr>
                                    <w:spacing w:before="0" w:after="283"/>
                                    <w:rPr/>
                                  </w:pPr>
                                  <w:r>
                                    <w:rPr/>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518" w:right="0" w:hanging="173"/>
                                    <w:rPr/>
                                  </w:pPr>
                                  <w:r>
                                    <w:rPr/>
                                    <w:t> </w:t>
                                  </w:r>
                                </w:p>
                              </w:tc>
                              <w:tc>
                                <w:tcPr>
                                  <w:tcW w:w="5252" w:type="dxa"/>
                                  <w:tcBorders/>
                                  <w:shd w:fill="auto" w:val="clear"/>
                                  <w:vAlign w:val="bottom"/>
                                </w:tcPr>
                                <w:p>
                                  <w:pPr>
                                    <w:pStyle w:val="TableContents"/>
                                    <w:spacing w:before="0" w:after="283"/>
                                    <w:ind w:left="518" w:right="0" w:hanging="173"/>
                                    <w:rPr>
                                      <w:sz w:val="20"/>
                                    </w:rPr>
                                  </w:pPr>
                                  <w:r>
                                    <w:rPr>
                                      <w:sz w:val="20"/>
                                    </w:rPr>
                                    <w:t>Total investments, at fair value</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8,757</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 xml:space="preserve">7,857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E6E6E6" w:val="clear"/>
                                  <w:vAlign w:val="bottom"/>
                                </w:tcPr>
                                <w:p>
                                  <w:pPr>
                                    <w:pStyle w:val="TableContents"/>
                                    <w:spacing w:before="0" w:after="283"/>
                                    <w:ind w:left="346" w:right="0" w:hanging="173"/>
                                    <w:rPr>
                                      <w:sz w:val="20"/>
                                    </w:rPr>
                                  </w:pPr>
                                  <w:r>
                                    <w:rPr>
                                      <w:sz w:val="20"/>
                                    </w:rPr>
                                    <w:t>Adjustment from fair value to contract value for fully benefit-responsive investment contracts</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(78</w:t>
                                  </w:r>
                                </w:p>
                              </w:tc>
                              <w:tc>
                                <w:tcPr>
                                  <w:tcW w:w="259" w:type="dxa"/>
                                  <w:tcBorders/>
                                  <w:shd w:fill="E6E6E6" w:val="clear"/>
                                  <w:vAlign w:val="bottom"/>
                                </w:tcPr>
                                <w:p>
                                  <w:pPr>
                                    <w:pStyle w:val="TableContents"/>
                                    <w:spacing w:before="0" w:after="283"/>
                                    <w:rPr>
                                      <w:sz w:val="20"/>
                                    </w:rPr>
                                  </w:pPr>
                                  <w:r>
                                    <w:rPr>
                                      <w:sz w:val="20"/>
                                    </w:rPr>
                                    <w:t>)</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(112</w:t>
                                  </w:r>
                                </w:p>
                              </w:tc>
                              <w:tc>
                                <w:tcPr>
                                  <w:tcW w:w="115" w:type="dxa"/>
                                  <w:tcBorders/>
                                  <w:shd w:fill="E6E6E6" w:val="clear"/>
                                  <w:vAlign w:val="bottom"/>
                                </w:tcPr>
                                <w:p>
                                  <w:pPr>
                                    <w:pStyle w:val="TableContents"/>
                                    <w:spacing w:before="0" w:after="283"/>
                                    <w:rPr>
                                      <w:sz w:val="20"/>
                                    </w:rPr>
                                  </w:pPr>
                                  <w:r>
                                    <w:rPr>
                                      <w:sz w:val="20"/>
                                    </w:rPr>
                                    <w:t>)</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808080"/>
                                    </w:pBdr>
                                    <w:spacing w:before="0" w:after="283"/>
                                    <w:rPr/>
                                  </w:pPr>
                                  <w:r>
                                    <w:rPr/>
                                  </w:r>
                                </w:p>
                              </w:tc>
                              <w:tc>
                                <w:tcPr>
                                  <w:tcW w:w="1033" w:type="dxa"/>
                                  <w:tcBorders/>
                                  <w:shd w:fill="auto" w:val="clear"/>
                                  <w:vAlign w:val="bottom"/>
                                </w:tcPr>
                                <w:p>
                                  <w:pPr>
                                    <w:pStyle w:val="HorizontalLine"/>
                                    <w:pBdr>
                                      <w:bottom w:val="single" w:sz="6" w:space="0" w:color="808080"/>
                                    </w:pBdr>
                                    <w:spacing w:before="0" w:after="283"/>
                                    <w:rPr/>
                                  </w:pPr>
                                  <w:r>
                                    <w:rPr/>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808080"/>
                                    </w:pBdr>
                                    <w:spacing w:before="0" w:after="283"/>
                                    <w:rPr/>
                                  </w:pPr>
                                  <w:r>
                                    <w:rPr/>
                                  </w:r>
                                </w:p>
                              </w:tc>
                              <w:tc>
                                <w:tcPr>
                                  <w:tcW w:w="1033" w:type="dxa"/>
                                  <w:tcBorders/>
                                  <w:shd w:fill="auto" w:val="clear"/>
                                  <w:vAlign w:val="bottom"/>
                                </w:tcPr>
                                <w:p>
                                  <w:pPr>
                                    <w:pStyle w:val="HorizontalLine"/>
                                    <w:pBdr>
                                      <w:bottom w:val="single" w:sz="6" w:space="0" w:color="808080"/>
                                    </w:pBdr>
                                    <w:spacing w:before="0" w:after="283"/>
                                    <w:rPr/>
                                  </w:pPr>
                                  <w:r>
                                    <w:rPr/>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20"/>
                                    </w:rPr>
                                  </w:pPr>
                                  <w:r>
                                    <w:rPr>
                                      <w:sz w:val="20"/>
                                    </w:rPr>
                                    <w:t>$</w:t>
                                  </w:r>
                                </w:p>
                              </w:tc>
                              <w:tc>
                                <w:tcPr>
                                  <w:tcW w:w="1033" w:type="dxa"/>
                                  <w:tcBorders/>
                                  <w:shd w:fill="auto" w:val="clear"/>
                                  <w:vAlign w:val="bottom"/>
                                </w:tcPr>
                                <w:p>
                                  <w:pPr>
                                    <w:pStyle w:val="TableContents"/>
                                    <w:spacing w:before="0" w:after="283"/>
                                    <w:jc w:val="right"/>
                                    <w:rPr>
                                      <w:sz w:val="20"/>
                                    </w:rPr>
                                  </w:pPr>
                                  <w:r>
                                    <w:rPr>
                                      <w:sz w:val="20"/>
                                    </w:rPr>
                                    <w:t>8,679</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20"/>
                                    </w:rPr>
                                  </w:pPr>
                                  <w:r>
                                    <w:rPr>
                                      <w:sz w:val="20"/>
                                    </w:rPr>
                                    <w:t>$</w:t>
                                  </w:r>
                                </w:p>
                              </w:tc>
                              <w:tc>
                                <w:tcPr>
                                  <w:tcW w:w="1033" w:type="dxa"/>
                                  <w:tcBorders/>
                                  <w:shd w:fill="auto" w:val="clear"/>
                                  <w:vAlign w:val="bottom"/>
                                </w:tcPr>
                                <w:p>
                                  <w:pPr>
                                    <w:pStyle w:val="TableContents"/>
                                    <w:spacing w:before="0" w:after="283"/>
                                    <w:jc w:val="right"/>
                                    <w:rPr>
                                      <w:sz w:val="20"/>
                                    </w:rPr>
                                  </w:pPr>
                                  <w:r>
                                    <w:rPr>
                                      <w:sz w:val="20"/>
                                    </w:rPr>
                                    <w:t xml:space="preserve">7,745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808080"/>
                                    </w:pBdr>
                                    <w:spacing w:before="0" w:after="283"/>
                                    <w:rPr/>
                                  </w:pPr>
                                  <w:r>
                                    <w:rPr/>
                                  </w:r>
                                </w:p>
                              </w:tc>
                              <w:tc>
                                <w:tcPr>
                                  <w:tcW w:w="1033" w:type="dxa"/>
                                  <w:tcBorders/>
                                  <w:shd w:fill="auto" w:val="clear"/>
                                  <w:vAlign w:val="bottom"/>
                                </w:tcPr>
                                <w:p>
                                  <w:pPr>
                                    <w:pStyle w:val="HorizontalLine"/>
                                    <w:pBdr>
                                      <w:bottom w:val="single" w:sz="18" w:space="0" w:color="808080"/>
                                    </w:pBdr>
                                    <w:spacing w:before="0" w:after="283"/>
                                    <w:rPr/>
                                  </w:pPr>
                                  <w:r>
                                    <w:rPr/>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808080"/>
                                    </w:pBdr>
                                    <w:spacing w:before="0" w:after="283"/>
                                    <w:rPr/>
                                  </w:pPr>
                                  <w:r>
                                    <w:rPr/>
                                  </w:r>
                                </w:p>
                              </w:tc>
                              <w:tc>
                                <w:tcPr>
                                  <w:tcW w:w="1033" w:type="dxa"/>
                                  <w:tcBorders/>
                                  <w:shd w:fill="auto" w:val="clear"/>
                                  <w:vAlign w:val="bottom"/>
                                </w:tcPr>
                                <w:p>
                                  <w:pPr>
                                    <w:pStyle w:val="HorizontalLine"/>
                                    <w:pBdr>
                                      <w:bottom w:val="single" w:sz="18" w:space="0" w:color="808080"/>
                                    </w:pBdr>
                                    <w:spacing w:before="0" w:after="283"/>
                                    <w:rPr/>
                                  </w:pPr>
                                  <w:r>
                                    <w:rPr/>
                                  </w:r>
                                </w:p>
                              </w:tc>
                              <w:tc>
                                <w:tcPr>
                                  <w:tcW w:w="115" w:type="dxa"/>
                                  <w:tcBorders/>
                                  <w:shd w:fill="auto" w:val="clear"/>
                                  <w:vAlign w:val="bottom"/>
                                </w:tcPr>
                                <w:p>
                                  <w:pPr>
                                    <w:pStyle w:val="TableContents"/>
                                    <w:spacing w:before="0" w:after="283"/>
                                    <w:rPr/>
                                  </w:pPr>
                                  <w:r>
                                    <w:rPr/>
                                    <w:t> </w:t>
                                  </w:r>
                                </w:p>
                              </w:tc>
                            </w:tr>
                          </w:tbl>
                        </w:txbxContent>
                      </wps:txbx>
                      <wps:bodyPr anchor="t" lIns="0" tIns="0" rIns="0" bIns="0">
                        <a:noAutofit/>
                      </wps:bodyPr>
                    </wps:wsp>
                  </a:graphicData>
                </a:graphic>
                <wp14:sizeRelH relativeFrom="margin">
                  <wp14:pctWidth>85000</wp14:pctWidth>
                </wp14:sizeRelH>
              </wp:anchor>
            </w:drawing>
          </mc:Choice>
          <mc:Fallback>
            <w:pict>
              <v:rect style="position:absolute;rotation:0;width:433.7pt;height:512.4pt;mso-wrap-distance-left:0pt;mso-wrap-distance-right:0pt;mso-wrap-distance-top:0pt;mso-wrap-distance-bottom:0pt;margin-top:13.85pt;mso-position-vertical:inside;mso-position-vertical-relative:text;margin-left:0pt;mso-position-horizontal:left;mso-position-horizontal-relative:text">
                <v:textbox>
                  <w:txbxContent>
                    <w:tbl>
                      <w:tblPr>
                        <w:tblW w:w="8674" w:type="dxa"/>
                        <w:jc w:val="left"/>
                        <w:tblInd w:w="0" w:type="dxa"/>
                        <w:tblCellMar>
                          <w:top w:w="0" w:type="dxa"/>
                          <w:left w:w="0" w:type="dxa"/>
                          <w:bottom w:w="0" w:type="dxa"/>
                          <w:right w:w="0" w:type="dxa"/>
                        </w:tblCellMar>
                      </w:tblPr>
                      <w:tblGrid>
                        <w:gridCol w:w="477"/>
                        <w:gridCol w:w="5252"/>
                        <w:gridCol w:w="251"/>
                        <w:gridCol w:w="127"/>
                        <w:gridCol w:w="1033"/>
                        <w:gridCol w:w="259"/>
                        <w:gridCol w:w="127"/>
                        <w:gridCol w:w="1033"/>
                        <w:gridCol w:w="115"/>
                      </w:tblGrid>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TableContents"/>
                              <w:spacing w:before="0" w:after="283"/>
                              <w:jc w:val="center"/>
                              <w:rPr>
                                <w:b/>
                                <w:sz w:val="14"/>
                              </w:rPr>
                            </w:pPr>
                            <w:r>
                              <w:rPr>
                                <w:b/>
                                <w:sz w:val="14"/>
                              </w:rPr>
                              <w:t>2006</w:t>
                            </w:r>
                          </w:p>
                        </w:tc>
                        <w:tc>
                          <w:tcPr>
                            <w:tcW w:w="259"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TableContents"/>
                              <w:spacing w:before="0" w:after="283"/>
                              <w:jc w:val="center"/>
                              <w:rPr>
                                <w:b/>
                                <w:sz w:val="14"/>
                              </w:rPr>
                            </w:pPr>
                            <w:r>
                              <w:rPr>
                                <w:b/>
                                <w:sz w:val="14"/>
                              </w:rPr>
                              <w:t>2005</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HorizontalLine"/>
                              <w:pBdr>
                                <w:bottom w:val="single" w:sz="6" w:space="0" w:color="000000"/>
                              </w:pBdr>
                              <w:spacing w:before="0" w:after="283"/>
                              <w:rPr/>
                            </w:pPr>
                            <w:r>
                              <w:rPr/>
                            </w:r>
                          </w:p>
                        </w:tc>
                        <w:tc>
                          <w:tcPr>
                            <w:tcW w:w="259"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579" w:type="dxa"/>
                            <w:gridSpan w:val="5"/>
                            <w:tcBorders/>
                            <w:shd w:fill="auto" w:val="clear"/>
                            <w:vAlign w:val="bottom"/>
                          </w:tcPr>
                          <w:p>
                            <w:pPr>
                              <w:pStyle w:val="TableContents"/>
                              <w:spacing w:before="0" w:after="283"/>
                              <w:jc w:val="center"/>
                              <w:rPr>
                                <w:sz w:val="14"/>
                              </w:rPr>
                            </w:pPr>
                            <w:r>
                              <w:rPr>
                                <w:b/>
                                <w:i/>
                                <w:sz w:val="14"/>
                              </w:rPr>
                              <w:t>(dollars in millions)</w:t>
                            </w:r>
                            <w:r>
                              <w:rPr>
                                <w:sz w:val="14"/>
                              </w:rPr>
                              <w:t xml:space="preserve">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E6E6E6" w:val="clear"/>
                            <w:vAlign w:val="bottom"/>
                          </w:tcPr>
                          <w:p>
                            <w:pPr>
                              <w:pStyle w:val="TableContents"/>
                              <w:spacing w:before="0" w:after="283"/>
                              <w:rPr>
                                <w:b/>
                                <w:sz w:val="20"/>
                              </w:rPr>
                            </w:pPr>
                            <w:r>
                              <w:rPr>
                                <w:b/>
                                <w:sz w:val="20"/>
                              </w:rPr>
                              <w:t>Investments, at fair value</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pPr>
                            <w:r>
                              <w:rPr/>
                              <w:t> </w:t>
                            </w:r>
                          </w:p>
                        </w:tc>
                        <w:tc>
                          <w:tcPr>
                            <w:tcW w:w="259"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pPr>
                            <w:r>
                              <w:rPr/>
                              <w:t> </w:t>
                            </w:r>
                          </w:p>
                        </w:tc>
                        <w:tc>
                          <w:tcPr>
                            <w:tcW w:w="115" w:type="dxa"/>
                            <w:tcBorders/>
                            <w:shd w:fill="E6E6E6"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auto" w:val="clear"/>
                            <w:vAlign w:val="bottom"/>
                          </w:tcPr>
                          <w:p>
                            <w:pPr>
                              <w:pStyle w:val="TableContents"/>
                              <w:spacing w:before="0" w:after="283"/>
                              <w:ind w:left="346" w:right="0" w:hanging="173"/>
                              <w:rPr>
                                <w:sz w:val="20"/>
                              </w:rPr>
                            </w:pPr>
                            <w:r>
                              <w:rPr>
                                <w:sz w:val="20"/>
                              </w:rPr>
                              <w:t>Honeywell Common Stock</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20"/>
                              </w:rPr>
                            </w:pPr>
                            <w:r>
                              <w:rPr>
                                <w:sz w:val="20"/>
                              </w:rPr>
                              <w:t>$</w:t>
                            </w:r>
                          </w:p>
                        </w:tc>
                        <w:tc>
                          <w:tcPr>
                            <w:tcW w:w="1033" w:type="dxa"/>
                            <w:tcBorders/>
                            <w:shd w:fill="auto" w:val="clear"/>
                            <w:vAlign w:val="bottom"/>
                          </w:tcPr>
                          <w:p>
                            <w:pPr>
                              <w:pStyle w:val="TableContents"/>
                              <w:spacing w:before="0" w:after="283"/>
                              <w:jc w:val="right"/>
                              <w:rPr>
                                <w:sz w:val="20"/>
                              </w:rPr>
                            </w:pPr>
                            <w:r>
                              <w:rPr>
                                <w:sz w:val="20"/>
                              </w:rPr>
                              <w:t>2,647</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20"/>
                              </w:rPr>
                            </w:pPr>
                            <w:r>
                              <w:rPr>
                                <w:sz w:val="20"/>
                              </w:rPr>
                              <w:t>$</w:t>
                            </w:r>
                          </w:p>
                        </w:tc>
                        <w:tc>
                          <w:tcPr>
                            <w:tcW w:w="1033" w:type="dxa"/>
                            <w:tcBorders/>
                            <w:shd w:fill="auto" w:val="clear"/>
                            <w:vAlign w:val="bottom"/>
                          </w:tcPr>
                          <w:p>
                            <w:pPr>
                              <w:pStyle w:val="TableContents"/>
                              <w:spacing w:before="0" w:after="283"/>
                              <w:jc w:val="right"/>
                              <w:rPr>
                                <w:sz w:val="20"/>
                              </w:rPr>
                            </w:pPr>
                            <w:r>
                              <w:rPr>
                                <w:sz w:val="20"/>
                              </w:rPr>
                              <w:t xml:space="preserve">2,626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E6E6E6" w:val="clear"/>
                            <w:vAlign w:val="bottom"/>
                          </w:tcPr>
                          <w:p>
                            <w:pPr>
                              <w:pStyle w:val="TableContents"/>
                              <w:spacing w:before="0" w:after="283"/>
                              <w:ind w:left="346" w:right="0" w:hanging="173"/>
                              <w:rPr>
                                <w:sz w:val="20"/>
                              </w:rPr>
                            </w:pPr>
                            <w:r>
                              <w:rPr>
                                <w:sz w:val="20"/>
                              </w:rPr>
                              <w:t>Mutual funds</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265</w:t>
                            </w:r>
                          </w:p>
                        </w:tc>
                        <w:tc>
                          <w:tcPr>
                            <w:tcW w:w="259"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 xml:space="preserve">216 </w:t>
                            </w:r>
                          </w:p>
                        </w:tc>
                        <w:tc>
                          <w:tcPr>
                            <w:tcW w:w="115" w:type="dxa"/>
                            <w:tcBorders/>
                            <w:shd w:fill="E6E6E6"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auto" w:val="clear"/>
                            <w:vAlign w:val="bottom"/>
                          </w:tcPr>
                          <w:p>
                            <w:pPr>
                              <w:pStyle w:val="TableContents"/>
                              <w:spacing w:before="0" w:after="283"/>
                              <w:ind w:left="346" w:right="0" w:hanging="173"/>
                              <w:rPr>
                                <w:sz w:val="20"/>
                              </w:rPr>
                            </w:pPr>
                            <w:r>
                              <w:rPr>
                                <w:sz w:val="20"/>
                              </w:rPr>
                              <w:t>Common &amp; Commingled Funds</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3,607</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 xml:space="preserve">2,927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E6E6E6" w:val="clear"/>
                            <w:vAlign w:val="bottom"/>
                          </w:tcPr>
                          <w:p>
                            <w:pPr>
                              <w:pStyle w:val="TableContents"/>
                              <w:spacing w:before="0" w:after="283"/>
                              <w:ind w:left="346" w:right="0" w:hanging="173"/>
                              <w:rPr>
                                <w:sz w:val="20"/>
                              </w:rPr>
                            </w:pPr>
                            <w:r>
                              <w:rPr>
                                <w:sz w:val="20"/>
                              </w:rPr>
                              <w:t>Stocks (Separately Managed Portfolios)</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811</w:t>
                            </w:r>
                          </w:p>
                        </w:tc>
                        <w:tc>
                          <w:tcPr>
                            <w:tcW w:w="259"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 xml:space="preserve">738 </w:t>
                            </w:r>
                          </w:p>
                        </w:tc>
                        <w:tc>
                          <w:tcPr>
                            <w:tcW w:w="115" w:type="dxa"/>
                            <w:tcBorders/>
                            <w:shd w:fill="E6E6E6"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auto" w:val="clear"/>
                            <w:vAlign w:val="bottom"/>
                          </w:tcPr>
                          <w:p>
                            <w:pPr>
                              <w:pStyle w:val="TableContents"/>
                              <w:spacing w:before="0" w:after="283"/>
                              <w:ind w:left="346" w:right="0" w:hanging="173"/>
                              <w:rPr>
                                <w:sz w:val="20"/>
                              </w:rPr>
                            </w:pPr>
                            <w:r>
                              <w:rPr>
                                <w:sz w:val="20"/>
                              </w:rPr>
                              <w:t>Short-Term Investments</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135</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 xml:space="preserve">133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346" w:right="0" w:hanging="173"/>
                              <w:rPr/>
                            </w:pPr>
                            <w:r>
                              <w:rPr/>
                              <w:t> </w:t>
                            </w:r>
                          </w:p>
                        </w:tc>
                        <w:tc>
                          <w:tcPr>
                            <w:tcW w:w="5252" w:type="dxa"/>
                            <w:tcBorders/>
                            <w:shd w:fill="E6E6E6" w:val="clear"/>
                            <w:vAlign w:val="bottom"/>
                          </w:tcPr>
                          <w:p>
                            <w:pPr>
                              <w:pStyle w:val="TableContents"/>
                              <w:spacing w:before="0" w:after="283"/>
                              <w:ind w:left="346" w:right="0" w:hanging="173"/>
                              <w:rPr>
                                <w:sz w:val="20"/>
                              </w:rPr>
                            </w:pPr>
                            <w:r>
                              <w:rPr>
                                <w:sz w:val="20"/>
                              </w:rPr>
                              <w:t>Investment Contracts</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1,292</w:t>
                            </w:r>
                          </w:p>
                        </w:tc>
                        <w:tc>
                          <w:tcPr>
                            <w:tcW w:w="259"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 xml:space="preserve">1,217 </w:t>
                            </w:r>
                          </w:p>
                        </w:tc>
                        <w:tc>
                          <w:tcPr>
                            <w:tcW w:w="115" w:type="dxa"/>
                            <w:tcBorders/>
                            <w:shd w:fill="E6E6E6"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808080"/>
                              </w:pBdr>
                              <w:spacing w:before="0" w:after="283"/>
                              <w:rPr/>
                            </w:pPr>
                            <w:r>
                              <w:rPr/>
                            </w:r>
                          </w:p>
                        </w:tc>
                        <w:tc>
                          <w:tcPr>
                            <w:tcW w:w="1033" w:type="dxa"/>
                            <w:tcBorders/>
                            <w:shd w:fill="auto" w:val="clear"/>
                            <w:vAlign w:val="bottom"/>
                          </w:tcPr>
                          <w:p>
                            <w:pPr>
                              <w:pStyle w:val="HorizontalLine"/>
                              <w:pBdr>
                                <w:bottom w:val="single" w:sz="6" w:space="0" w:color="808080"/>
                              </w:pBdr>
                              <w:spacing w:before="0" w:after="283"/>
                              <w:rPr/>
                            </w:pPr>
                            <w:r>
                              <w:rPr/>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808080"/>
                              </w:pBdr>
                              <w:spacing w:before="0" w:after="283"/>
                              <w:rPr/>
                            </w:pPr>
                            <w:r>
                              <w:rPr/>
                            </w:r>
                          </w:p>
                        </w:tc>
                        <w:tc>
                          <w:tcPr>
                            <w:tcW w:w="1033" w:type="dxa"/>
                            <w:tcBorders/>
                            <w:shd w:fill="auto" w:val="clear"/>
                            <w:vAlign w:val="bottom"/>
                          </w:tcPr>
                          <w:p>
                            <w:pPr>
                              <w:pStyle w:val="HorizontalLine"/>
                              <w:pBdr>
                                <w:bottom w:val="single" w:sz="6" w:space="0" w:color="808080"/>
                              </w:pBdr>
                              <w:spacing w:before="0" w:after="283"/>
                              <w:rPr/>
                            </w:pPr>
                            <w:r>
                              <w:rPr/>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ind w:left="518" w:right="0" w:hanging="173"/>
                              <w:rPr/>
                            </w:pPr>
                            <w:r>
                              <w:rPr/>
                              <w:t> </w:t>
                            </w:r>
                          </w:p>
                        </w:tc>
                        <w:tc>
                          <w:tcPr>
                            <w:tcW w:w="5252" w:type="dxa"/>
                            <w:tcBorders/>
                            <w:shd w:fill="auto" w:val="clear"/>
                            <w:vAlign w:val="bottom"/>
                          </w:tcPr>
                          <w:p>
                            <w:pPr>
                              <w:pStyle w:val="TableContents"/>
                              <w:spacing w:before="0" w:after="283"/>
                              <w:ind w:left="518" w:right="0" w:hanging="173"/>
                              <w:rPr>
                                <w:sz w:val="20"/>
                              </w:rPr>
                            </w:pPr>
                            <w:r>
                              <w:rPr>
                                <w:sz w:val="20"/>
                              </w:rPr>
                              <w:t>Total investments, at fair value</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8,757</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20"/>
                              </w:rPr>
                            </w:pPr>
                            <w:r>
                              <w:rPr>
                                <w:sz w:val="20"/>
                              </w:rPr>
                              <w:t xml:space="preserve">7,857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E6E6E6" w:val="clear"/>
                            <w:vAlign w:val="bottom"/>
                          </w:tcPr>
                          <w:p>
                            <w:pPr>
                              <w:pStyle w:val="TableContents"/>
                              <w:spacing w:before="0" w:after="283"/>
                              <w:ind w:left="346" w:right="0" w:hanging="173"/>
                              <w:rPr>
                                <w:sz w:val="20"/>
                              </w:rPr>
                            </w:pPr>
                            <w:r>
                              <w:rPr>
                                <w:sz w:val="20"/>
                              </w:rPr>
                              <w:t>Adjustment from fair value to contract value for fully benefit-responsive investment contracts</w:t>
                            </w:r>
                          </w:p>
                        </w:tc>
                        <w:tc>
                          <w:tcPr>
                            <w:tcW w:w="251" w:type="dxa"/>
                            <w:tcBorders/>
                            <w:shd w:fill="E6E6E6" w:val="clear"/>
                            <w:vAlign w:val="bottom"/>
                          </w:tcPr>
                          <w:p>
                            <w:pPr>
                              <w:pStyle w:val="TableContents"/>
                              <w:spacing w:before="0" w:after="283"/>
                              <w:rPr/>
                            </w:pPr>
                            <w:r>
                              <w:rPr/>
                              <w:t> </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(78</w:t>
                            </w:r>
                          </w:p>
                        </w:tc>
                        <w:tc>
                          <w:tcPr>
                            <w:tcW w:w="259" w:type="dxa"/>
                            <w:tcBorders/>
                            <w:shd w:fill="E6E6E6" w:val="clear"/>
                            <w:vAlign w:val="bottom"/>
                          </w:tcPr>
                          <w:p>
                            <w:pPr>
                              <w:pStyle w:val="TableContents"/>
                              <w:spacing w:before="0" w:after="283"/>
                              <w:rPr>
                                <w:sz w:val="20"/>
                              </w:rPr>
                            </w:pPr>
                            <w:r>
                              <w:rPr>
                                <w:sz w:val="20"/>
                              </w:rPr>
                              <w:t>)</w:t>
                            </w:r>
                          </w:p>
                        </w:tc>
                        <w:tc>
                          <w:tcPr>
                            <w:tcW w:w="127" w:type="dxa"/>
                            <w:tcBorders/>
                            <w:shd w:fill="E6E6E6" w:val="clear"/>
                            <w:vAlign w:val="bottom"/>
                          </w:tcPr>
                          <w:p>
                            <w:pPr>
                              <w:pStyle w:val="TableContents"/>
                              <w:spacing w:before="0" w:after="283"/>
                              <w:rPr/>
                            </w:pPr>
                            <w:r>
                              <w:rPr/>
                              <w:t> </w:t>
                            </w:r>
                          </w:p>
                        </w:tc>
                        <w:tc>
                          <w:tcPr>
                            <w:tcW w:w="1033" w:type="dxa"/>
                            <w:tcBorders/>
                            <w:shd w:fill="E6E6E6" w:val="clear"/>
                            <w:vAlign w:val="bottom"/>
                          </w:tcPr>
                          <w:p>
                            <w:pPr>
                              <w:pStyle w:val="TableContents"/>
                              <w:spacing w:before="0" w:after="283"/>
                              <w:jc w:val="right"/>
                              <w:rPr>
                                <w:sz w:val="20"/>
                              </w:rPr>
                            </w:pPr>
                            <w:r>
                              <w:rPr>
                                <w:sz w:val="20"/>
                              </w:rPr>
                              <w:t>(112</w:t>
                            </w:r>
                          </w:p>
                        </w:tc>
                        <w:tc>
                          <w:tcPr>
                            <w:tcW w:w="115" w:type="dxa"/>
                            <w:tcBorders/>
                            <w:shd w:fill="E6E6E6" w:val="clear"/>
                            <w:vAlign w:val="bottom"/>
                          </w:tcPr>
                          <w:p>
                            <w:pPr>
                              <w:pStyle w:val="TableContents"/>
                              <w:spacing w:before="0" w:after="283"/>
                              <w:rPr>
                                <w:sz w:val="20"/>
                              </w:rPr>
                            </w:pPr>
                            <w:r>
                              <w:rPr>
                                <w:sz w:val="20"/>
                              </w:rPr>
                              <w:t>)</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808080"/>
                              </w:pBdr>
                              <w:spacing w:before="0" w:after="283"/>
                              <w:rPr/>
                            </w:pPr>
                            <w:r>
                              <w:rPr/>
                            </w:r>
                          </w:p>
                        </w:tc>
                        <w:tc>
                          <w:tcPr>
                            <w:tcW w:w="1033" w:type="dxa"/>
                            <w:tcBorders/>
                            <w:shd w:fill="auto" w:val="clear"/>
                            <w:vAlign w:val="bottom"/>
                          </w:tcPr>
                          <w:p>
                            <w:pPr>
                              <w:pStyle w:val="HorizontalLine"/>
                              <w:pBdr>
                                <w:bottom w:val="single" w:sz="6" w:space="0" w:color="808080"/>
                              </w:pBdr>
                              <w:spacing w:before="0" w:after="283"/>
                              <w:rPr/>
                            </w:pPr>
                            <w:r>
                              <w:rPr/>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808080"/>
                              </w:pBdr>
                              <w:spacing w:before="0" w:after="283"/>
                              <w:rPr/>
                            </w:pPr>
                            <w:r>
                              <w:rPr/>
                            </w:r>
                          </w:p>
                        </w:tc>
                        <w:tc>
                          <w:tcPr>
                            <w:tcW w:w="1033" w:type="dxa"/>
                            <w:tcBorders/>
                            <w:shd w:fill="auto" w:val="clear"/>
                            <w:vAlign w:val="bottom"/>
                          </w:tcPr>
                          <w:p>
                            <w:pPr>
                              <w:pStyle w:val="HorizontalLine"/>
                              <w:pBdr>
                                <w:bottom w:val="single" w:sz="6" w:space="0" w:color="808080"/>
                              </w:pBdr>
                              <w:spacing w:before="0" w:after="283"/>
                              <w:rPr/>
                            </w:pPr>
                            <w:r>
                              <w:rPr/>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20"/>
                              </w:rPr>
                            </w:pPr>
                            <w:r>
                              <w:rPr>
                                <w:sz w:val="20"/>
                              </w:rPr>
                              <w:t>$</w:t>
                            </w:r>
                          </w:p>
                        </w:tc>
                        <w:tc>
                          <w:tcPr>
                            <w:tcW w:w="1033" w:type="dxa"/>
                            <w:tcBorders/>
                            <w:shd w:fill="auto" w:val="clear"/>
                            <w:vAlign w:val="bottom"/>
                          </w:tcPr>
                          <w:p>
                            <w:pPr>
                              <w:pStyle w:val="TableContents"/>
                              <w:spacing w:before="0" w:after="283"/>
                              <w:jc w:val="right"/>
                              <w:rPr>
                                <w:sz w:val="20"/>
                              </w:rPr>
                            </w:pPr>
                            <w:r>
                              <w:rPr>
                                <w:sz w:val="20"/>
                              </w:rPr>
                              <w:t>8,679</w:t>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20"/>
                              </w:rPr>
                            </w:pPr>
                            <w:r>
                              <w:rPr>
                                <w:sz w:val="20"/>
                              </w:rPr>
                              <w:t>$</w:t>
                            </w:r>
                          </w:p>
                        </w:tc>
                        <w:tc>
                          <w:tcPr>
                            <w:tcW w:w="1033" w:type="dxa"/>
                            <w:tcBorders/>
                            <w:shd w:fill="auto" w:val="clear"/>
                            <w:vAlign w:val="bottom"/>
                          </w:tcPr>
                          <w:p>
                            <w:pPr>
                              <w:pStyle w:val="TableContents"/>
                              <w:spacing w:before="0" w:after="283"/>
                              <w:jc w:val="right"/>
                              <w:rPr>
                                <w:sz w:val="20"/>
                              </w:rPr>
                            </w:pPr>
                            <w:r>
                              <w:rPr>
                                <w:sz w:val="20"/>
                              </w:rPr>
                              <w:t xml:space="preserve">7,745 </w:t>
                            </w:r>
                          </w:p>
                        </w:tc>
                        <w:tc>
                          <w:tcPr>
                            <w:tcW w:w="115" w:type="dxa"/>
                            <w:tcBorders/>
                            <w:shd w:fill="auto" w:val="clear"/>
                            <w:vAlign w:val="bottom"/>
                          </w:tcPr>
                          <w:p>
                            <w:pPr>
                              <w:pStyle w:val="TableContents"/>
                              <w:spacing w:before="0" w:after="283"/>
                              <w:rPr/>
                            </w:pPr>
                            <w:r>
                              <w:rPr/>
                              <w:t> </w:t>
                            </w:r>
                          </w:p>
                        </w:tc>
                      </w:tr>
                      <w:tr>
                        <w:trPr/>
                        <w:tc>
                          <w:tcPr>
                            <w:tcW w:w="477" w:type="dxa"/>
                            <w:tcBorders/>
                            <w:shd w:fill="auto" w:val="clear"/>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808080"/>
                              </w:pBdr>
                              <w:spacing w:before="0" w:after="283"/>
                              <w:rPr/>
                            </w:pPr>
                            <w:r>
                              <w:rPr/>
                            </w:r>
                          </w:p>
                        </w:tc>
                        <w:tc>
                          <w:tcPr>
                            <w:tcW w:w="1033" w:type="dxa"/>
                            <w:tcBorders/>
                            <w:shd w:fill="auto" w:val="clear"/>
                            <w:vAlign w:val="bottom"/>
                          </w:tcPr>
                          <w:p>
                            <w:pPr>
                              <w:pStyle w:val="HorizontalLine"/>
                              <w:pBdr>
                                <w:bottom w:val="single" w:sz="18" w:space="0" w:color="808080"/>
                              </w:pBdr>
                              <w:spacing w:before="0" w:after="283"/>
                              <w:rPr/>
                            </w:pPr>
                            <w:r>
                              <w:rPr/>
                            </w:r>
                          </w:p>
                        </w:tc>
                        <w:tc>
                          <w:tcPr>
                            <w:tcW w:w="2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808080"/>
                              </w:pBdr>
                              <w:spacing w:before="0" w:after="283"/>
                              <w:rPr/>
                            </w:pPr>
                            <w:r>
                              <w:rPr/>
                            </w:r>
                          </w:p>
                        </w:tc>
                        <w:tc>
                          <w:tcPr>
                            <w:tcW w:w="1033" w:type="dxa"/>
                            <w:tcBorders/>
                            <w:shd w:fill="auto" w:val="clear"/>
                            <w:vAlign w:val="bottom"/>
                          </w:tcPr>
                          <w:p>
                            <w:pPr>
                              <w:pStyle w:val="HorizontalLine"/>
                              <w:pBdr>
                                <w:bottom w:val="single" w:sz="18" w:space="0" w:color="808080"/>
                              </w:pBdr>
                              <w:spacing w:before="0" w:after="283"/>
                              <w:rPr/>
                            </w:pPr>
                            <w:r>
                              <w:rPr/>
                            </w:r>
                          </w:p>
                        </w:tc>
                        <w:tc>
                          <w:tcPr>
                            <w:tcW w:w="115" w:type="dxa"/>
                            <w:tcBorders/>
                            <w:shd w:fill="auto" w:val="clear"/>
                            <w:vAlign w:val="bottom"/>
                          </w:tcPr>
                          <w:p>
                            <w:pPr>
                              <w:pStyle w:val="TableContents"/>
                              <w:spacing w:before="0" w:after="283"/>
                              <w:rPr/>
                            </w:pPr>
                            <w:r>
                              <w:rPr/>
                              <w:t> </w:t>
                            </w:r>
                          </w:p>
                        </w:tc>
                      </w:tr>
                    </w:tbl>
                  </w:txbxContent>
                </v:textbox>
                <w10:wrap type="square" side="right"/>
              </v:rect>
            </w:pict>
          </mc:Fallback>
        </mc:AlternateContent>
      </w:r>
    </w:p>
    <w:p>
      <w:pPr>
        <w:pStyle w:val="TextBody"/>
        <w:rPr/>
      </w:pPr>
      <w:r>
        <w:rPr/>
      </w:r>
    </w:p>
    <w:p>
      <w:pPr>
        <w:pStyle w:val="TextBody"/>
        <w:jc w:val="center"/>
        <w:rPr>
          <w:sz w:val="20"/>
        </w:rPr>
      </w:pPr>
      <w:r>
        <w:rPr>
          <w:sz w:val="20"/>
        </w:rPr>
        <w:t>8</w:t>
      </w:r>
    </w:p>
    <w:p>
      <w:pPr>
        <w:pStyle w:val="HorizontalLine"/>
        <w:pBdr>
          <w:bottom w:val="single" w:sz="24" w:space="0" w:color="808080"/>
        </w:pBdr>
        <w:rPr/>
      </w:pPr>
      <w:r>
        <w:rPr/>
      </w:r>
      <w:r>
        <w:br w:type="page"/>
      </w:r>
    </w:p>
    <w:p>
      <w:pPr>
        <w:pStyle w:val="TextBody"/>
        <w:ind w:left="0" w:right="0" w:hanging="0"/>
        <w:rPr>
          <w:rFonts w:ascii="ARIAL" w:hAnsi="ARIAL"/>
          <w:b/>
          <w:sz w:val="28"/>
        </w:rPr>
      </w:pPr>
      <w:r>
        <w:rPr>
          <w:rFonts w:ascii="ARIAL" w:hAnsi="ARIAL"/>
          <w:b/>
          <w:sz w:val="28"/>
        </w:rPr>
        <w:t xml:space="preserve">Honeywell Savings and Ownership Plan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Notes to Financial Statements</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283"/>
              <w:rPr/>
            </w:pPr>
            <w:r>
              <w:rPr/>
              <w:t> </w:t>
            </w:r>
          </w:p>
        </w:tc>
        <w:tc>
          <w:tcPr>
            <w:tcW w:w="9700" w:type="dxa"/>
            <w:tcBorders/>
            <w:shd w:fill="auto" w:val="clear"/>
          </w:tcPr>
          <w:p>
            <w:pPr>
              <w:pStyle w:val="TableContents"/>
              <w:spacing w:before="0" w:after="283"/>
              <w:rPr/>
            </w:pPr>
            <w:r>
              <w:rPr/>
              <w:t> </w:t>
            </w:r>
          </w:p>
        </w:tc>
      </w:tr>
      <w:tr>
        <w:trPr/>
        <w:tc>
          <w:tcPr>
            <w:tcW w:w="505" w:type="dxa"/>
            <w:tcBorders/>
            <w:shd w:fill="auto" w:val="clear"/>
          </w:tcPr>
          <w:p>
            <w:pPr>
              <w:pStyle w:val="TableContents"/>
              <w:spacing w:before="0" w:after="283"/>
              <w:rPr/>
            </w:pPr>
            <w:r>
              <w:rPr/>
              <w:t> </w:t>
            </w:r>
          </w:p>
        </w:tc>
        <w:tc>
          <w:tcPr>
            <w:tcW w:w="9700" w:type="dxa"/>
            <w:tcBorders/>
            <w:shd w:fill="auto" w:val="clear"/>
          </w:tcPr>
          <w:p>
            <w:pPr>
              <w:pStyle w:val="TableContents"/>
              <w:spacing w:before="0" w:after="283"/>
              <w:rPr>
                <w:sz w:val="20"/>
              </w:rPr>
            </w:pPr>
            <w:r>
              <w:rPr>
                <w:sz w:val="20"/>
              </w:rPr>
              <w:t>The Master Trusts investment income for the year ended December 31, 2006 is presented in the following table. The net appreciation/(depreciation) consists of both realized gains (losses) on securities bought and sold, as well as, unrealized gains (losses) on securities held during the period by the Master Trust.</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475"/>
        <w:gridCol w:w="7544"/>
        <w:gridCol w:w="213"/>
        <w:gridCol w:w="250"/>
        <w:gridCol w:w="1593"/>
        <w:gridCol w:w="130"/>
      </w:tblGrid>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 </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43" w:type="dxa"/>
            <w:gridSpan w:val="2"/>
            <w:tcBorders/>
            <w:shd w:fill="auto" w:val="clear"/>
            <w:vAlign w:val="bottom"/>
          </w:tcPr>
          <w:p>
            <w:pPr>
              <w:pStyle w:val="TableContents"/>
              <w:spacing w:before="0" w:after="283"/>
              <w:jc w:val="center"/>
              <w:rPr>
                <w:b/>
                <w:sz w:val="14"/>
              </w:rPr>
            </w:pPr>
            <w:r>
              <w:rPr>
                <w:b/>
                <w:sz w:val="14"/>
              </w:rPr>
              <w:t>2006</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43" w:type="dxa"/>
            <w:gridSpan w:val="2"/>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43" w:type="dxa"/>
            <w:gridSpan w:val="2"/>
            <w:tcBorders/>
            <w:shd w:fill="auto" w:val="clear"/>
            <w:vAlign w:val="bottom"/>
          </w:tcPr>
          <w:p>
            <w:pPr>
              <w:pStyle w:val="TableContents"/>
              <w:spacing w:before="0" w:after="283"/>
              <w:jc w:val="center"/>
              <w:rPr>
                <w:b/>
                <w:i/>
                <w:sz w:val="14"/>
              </w:rPr>
            </w:pPr>
            <w:r>
              <w:rPr>
                <w:b/>
                <w:i/>
                <w:sz w:val="14"/>
              </w:rPr>
              <w:t>(dollars in millions)</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43"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E6E6E6" w:val="clear"/>
            <w:vAlign w:val="bottom"/>
          </w:tcPr>
          <w:p>
            <w:pPr>
              <w:pStyle w:val="TableContents"/>
              <w:spacing w:before="0" w:after="283"/>
              <w:rPr>
                <w:b/>
                <w:sz w:val="20"/>
              </w:rPr>
            </w:pPr>
            <w:r>
              <w:rPr>
                <w:b/>
                <w:sz w:val="20"/>
              </w:rPr>
              <w:t>Investment income</w:t>
            </w:r>
          </w:p>
        </w:tc>
        <w:tc>
          <w:tcPr>
            <w:tcW w:w="213" w:type="dxa"/>
            <w:tcBorders/>
            <w:shd w:fill="E6E6E6" w:val="clear"/>
            <w:vAlign w:val="bottom"/>
          </w:tcPr>
          <w:p>
            <w:pPr>
              <w:pStyle w:val="TableContents"/>
              <w:spacing w:before="0" w:after="283"/>
              <w:rPr/>
            </w:pPr>
            <w:r>
              <w:rPr/>
              <w:t> </w:t>
            </w:r>
          </w:p>
        </w:tc>
        <w:tc>
          <w:tcPr>
            <w:tcW w:w="250" w:type="dxa"/>
            <w:tcBorders/>
            <w:shd w:fill="E6E6E6" w:val="clear"/>
            <w:vAlign w:val="bottom"/>
          </w:tcPr>
          <w:p>
            <w:pPr>
              <w:pStyle w:val="TableContents"/>
              <w:spacing w:before="0" w:after="283"/>
              <w:rPr/>
            </w:pPr>
            <w:r>
              <w:rPr/>
              <w:t> </w:t>
            </w:r>
          </w:p>
        </w:tc>
        <w:tc>
          <w:tcPr>
            <w:tcW w:w="1593" w:type="dxa"/>
            <w:tcBorders/>
            <w:shd w:fill="E6E6E6" w:val="clear"/>
            <w:vAlign w:val="bottom"/>
          </w:tcPr>
          <w:p>
            <w:pPr>
              <w:pStyle w:val="TableContents"/>
              <w:spacing w:before="0" w:after="283"/>
              <w:jc w:val="right"/>
              <w:rPr/>
            </w:pPr>
            <w:r>
              <w:rPr/>
              <w:t> </w:t>
            </w:r>
          </w:p>
        </w:tc>
        <w:tc>
          <w:tcPr>
            <w:tcW w:w="130" w:type="dxa"/>
            <w:tcBorders/>
            <w:shd w:fill="E6E6E6"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sz w:val="20"/>
              </w:rPr>
            </w:pPr>
            <w:r>
              <w:rPr>
                <w:sz w:val="20"/>
              </w:rPr>
              <w:t>Net appreciation in fair value of investments:</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 </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E6E6E6" w:val="clear"/>
            <w:vAlign w:val="bottom"/>
          </w:tcPr>
          <w:p>
            <w:pPr>
              <w:pStyle w:val="TableContents"/>
              <w:spacing w:before="0" w:after="283"/>
              <w:ind w:left="346" w:right="0" w:hanging="173"/>
              <w:rPr>
                <w:sz w:val="20"/>
              </w:rPr>
            </w:pPr>
            <w:r>
              <w:rPr>
                <w:sz w:val="20"/>
              </w:rPr>
              <w:t>Honeywell Common Stock</w:t>
            </w:r>
          </w:p>
        </w:tc>
        <w:tc>
          <w:tcPr>
            <w:tcW w:w="213" w:type="dxa"/>
            <w:tcBorders/>
            <w:shd w:fill="E6E6E6" w:val="clear"/>
            <w:vAlign w:val="bottom"/>
          </w:tcPr>
          <w:p>
            <w:pPr>
              <w:pStyle w:val="TableContents"/>
              <w:spacing w:before="0" w:after="283"/>
              <w:rPr/>
            </w:pPr>
            <w:r>
              <w:rPr/>
              <w:t> </w:t>
            </w:r>
          </w:p>
        </w:tc>
        <w:tc>
          <w:tcPr>
            <w:tcW w:w="250" w:type="dxa"/>
            <w:tcBorders/>
            <w:shd w:fill="E6E6E6" w:val="clear"/>
            <w:vAlign w:val="bottom"/>
          </w:tcPr>
          <w:p>
            <w:pPr>
              <w:pStyle w:val="TableContents"/>
              <w:spacing w:before="0" w:after="283"/>
              <w:rPr>
                <w:sz w:val="20"/>
              </w:rPr>
            </w:pPr>
            <w:r>
              <w:rPr>
                <w:sz w:val="20"/>
              </w:rPr>
              <w:t>$</w:t>
            </w:r>
          </w:p>
        </w:tc>
        <w:tc>
          <w:tcPr>
            <w:tcW w:w="1593" w:type="dxa"/>
            <w:tcBorders/>
            <w:shd w:fill="E6E6E6" w:val="clear"/>
            <w:vAlign w:val="bottom"/>
          </w:tcPr>
          <w:p>
            <w:pPr>
              <w:pStyle w:val="TableContents"/>
              <w:spacing w:before="0" w:after="283"/>
              <w:jc w:val="right"/>
              <w:rPr>
                <w:sz w:val="20"/>
              </w:rPr>
            </w:pPr>
            <w:r>
              <w:rPr>
                <w:sz w:val="20"/>
              </w:rPr>
              <w:t xml:space="preserve">511 </w:t>
            </w:r>
          </w:p>
        </w:tc>
        <w:tc>
          <w:tcPr>
            <w:tcW w:w="130" w:type="dxa"/>
            <w:tcBorders/>
            <w:shd w:fill="E6E6E6"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ind w:left="346" w:right="0" w:hanging="173"/>
              <w:rPr>
                <w:sz w:val="20"/>
              </w:rPr>
            </w:pPr>
            <w:r>
              <w:rPr>
                <w:sz w:val="20"/>
              </w:rPr>
              <w:t>Mutual Funds</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sz w:val="20"/>
              </w:rPr>
            </w:pPr>
            <w:r>
              <w:rPr>
                <w:sz w:val="20"/>
              </w:rPr>
              <w:t xml:space="preserve">24 </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E6E6E6" w:val="clear"/>
            <w:vAlign w:val="bottom"/>
          </w:tcPr>
          <w:p>
            <w:pPr>
              <w:pStyle w:val="TableContents"/>
              <w:spacing w:before="0" w:after="283"/>
              <w:ind w:left="346" w:right="0" w:hanging="173"/>
              <w:rPr>
                <w:sz w:val="20"/>
              </w:rPr>
            </w:pPr>
            <w:r>
              <w:rPr>
                <w:sz w:val="20"/>
              </w:rPr>
              <w:t>Common &amp; Commingled Funds</w:t>
            </w:r>
          </w:p>
        </w:tc>
        <w:tc>
          <w:tcPr>
            <w:tcW w:w="213" w:type="dxa"/>
            <w:tcBorders/>
            <w:shd w:fill="E6E6E6" w:val="clear"/>
            <w:vAlign w:val="bottom"/>
          </w:tcPr>
          <w:p>
            <w:pPr>
              <w:pStyle w:val="TableContents"/>
              <w:spacing w:before="0" w:after="283"/>
              <w:rPr/>
            </w:pPr>
            <w:r>
              <w:rPr/>
              <w:t> </w:t>
            </w:r>
          </w:p>
        </w:tc>
        <w:tc>
          <w:tcPr>
            <w:tcW w:w="250" w:type="dxa"/>
            <w:tcBorders/>
            <w:shd w:fill="E6E6E6" w:val="clear"/>
            <w:vAlign w:val="bottom"/>
          </w:tcPr>
          <w:p>
            <w:pPr>
              <w:pStyle w:val="TableContents"/>
              <w:spacing w:before="0" w:after="283"/>
              <w:rPr/>
            </w:pPr>
            <w:r>
              <w:rPr/>
              <w:t> </w:t>
            </w:r>
          </w:p>
        </w:tc>
        <w:tc>
          <w:tcPr>
            <w:tcW w:w="1593" w:type="dxa"/>
            <w:tcBorders/>
            <w:shd w:fill="E6E6E6" w:val="clear"/>
            <w:vAlign w:val="bottom"/>
          </w:tcPr>
          <w:p>
            <w:pPr>
              <w:pStyle w:val="TableContents"/>
              <w:spacing w:before="0" w:after="283"/>
              <w:jc w:val="right"/>
              <w:rPr>
                <w:sz w:val="20"/>
              </w:rPr>
            </w:pPr>
            <w:r>
              <w:rPr>
                <w:sz w:val="20"/>
              </w:rPr>
              <w:t xml:space="preserve">382 </w:t>
            </w:r>
          </w:p>
        </w:tc>
        <w:tc>
          <w:tcPr>
            <w:tcW w:w="130" w:type="dxa"/>
            <w:tcBorders/>
            <w:shd w:fill="E6E6E6"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ind w:left="346" w:right="0" w:hanging="173"/>
              <w:rPr>
                <w:sz w:val="20"/>
              </w:rPr>
            </w:pPr>
            <w:r>
              <w:rPr>
                <w:sz w:val="20"/>
              </w:rPr>
              <w:t>Stocks (Separately Managed Portfolios)</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sz w:val="20"/>
              </w:rPr>
            </w:pPr>
            <w:r>
              <w:rPr>
                <w:sz w:val="20"/>
              </w:rPr>
              <w:t xml:space="preserve">84 </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ind w:left="346" w:right="0" w:hanging="173"/>
              <w:rPr/>
            </w:pPr>
            <w:r>
              <w:rPr/>
              <w:t> </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HorizontalLine"/>
              <w:pBdr>
                <w:bottom w:val="single" w:sz="6" w:space="0" w:color="808080"/>
              </w:pBdr>
              <w:spacing w:before="0" w:after="283"/>
              <w:rPr/>
            </w:pPr>
            <w:r>
              <w:rPr/>
            </w:r>
          </w:p>
        </w:tc>
        <w:tc>
          <w:tcPr>
            <w:tcW w:w="1593" w:type="dxa"/>
            <w:tcBorders/>
            <w:shd w:fill="auto" w:val="clear"/>
            <w:vAlign w:val="bottom"/>
          </w:tcPr>
          <w:p>
            <w:pPr>
              <w:pStyle w:val="HorizontalLine"/>
              <w:pBdr>
                <w:bottom w:val="single" w:sz="6" w:space="0" w:color="80808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E6E6E6" w:val="clear"/>
            <w:vAlign w:val="bottom"/>
          </w:tcPr>
          <w:p>
            <w:pPr>
              <w:pStyle w:val="TableContents"/>
              <w:spacing w:before="0" w:after="283"/>
              <w:ind w:left="518" w:right="0" w:hanging="173"/>
              <w:rPr>
                <w:b/>
                <w:sz w:val="20"/>
              </w:rPr>
            </w:pPr>
            <w:r>
              <w:rPr>
                <w:b/>
                <w:sz w:val="20"/>
              </w:rPr>
              <w:t>Net Appreciation</w:t>
            </w:r>
          </w:p>
        </w:tc>
        <w:tc>
          <w:tcPr>
            <w:tcW w:w="213" w:type="dxa"/>
            <w:tcBorders/>
            <w:shd w:fill="E6E6E6" w:val="clear"/>
            <w:vAlign w:val="bottom"/>
          </w:tcPr>
          <w:p>
            <w:pPr>
              <w:pStyle w:val="TableContents"/>
              <w:spacing w:before="0" w:after="283"/>
              <w:rPr/>
            </w:pPr>
            <w:r>
              <w:rPr/>
              <w:t> </w:t>
            </w:r>
          </w:p>
        </w:tc>
        <w:tc>
          <w:tcPr>
            <w:tcW w:w="250" w:type="dxa"/>
            <w:tcBorders/>
            <w:shd w:fill="E6E6E6" w:val="clear"/>
            <w:vAlign w:val="bottom"/>
          </w:tcPr>
          <w:p>
            <w:pPr>
              <w:pStyle w:val="TableContents"/>
              <w:spacing w:before="0" w:after="283"/>
              <w:rPr/>
            </w:pPr>
            <w:r>
              <w:rPr/>
              <w:t> </w:t>
            </w:r>
          </w:p>
        </w:tc>
        <w:tc>
          <w:tcPr>
            <w:tcW w:w="1593" w:type="dxa"/>
            <w:tcBorders/>
            <w:shd w:fill="E6E6E6" w:val="clear"/>
            <w:vAlign w:val="bottom"/>
          </w:tcPr>
          <w:p>
            <w:pPr>
              <w:pStyle w:val="TableContents"/>
              <w:spacing w:before="0" w:after="283"/>
              <w:jc w:val="right"/>
              <w:rPr>
                <w:sz w:val="20"/>
              </w:rPr>
            </w:pPr>
            <w:r>
              <w:rPr>
                <w:sz w:val="20"/>
              </w:rPr>
              <w:t xml:space="preserve">1,001 </w:t>
            </w:r>
          </w:p>
        </w:tc>
        <w:tc>
          <w:tcPr>
            <w:tcW w:w="130" w:type="dxa"/>
            <w:tcBorders/>
            <w:shd w:fill="E6E6E6"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ind w:left="518" w:right="0" w:hanging="173"/>
              <w:rPr/>
            </w:pPr>
            <w:r>
              <w:rPr/>
              <w:t> </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HorizontalLine"/>
              <w:pBdr>
                <w:bottom w:val="single" w:sz="6" w:space="0" w:color="808080"/>
              </w:pBdr>
              <w:spacing w:before="0" w:after="283"/>
              <w:rPr/>
            </w:pPr>
            <w:r>
              <w:rPr/>
            </w:r>
          </w:p>
        </w:tc>
        <w:tc>
          <w:tcPr>
            <w:tcW w:w="1593" w:type="dxa"/>
            <w:tcBorders/>
            <w:shd w:fill="auto" w:val="clear"/>
            <w:vAlign w:val="bottom"/>
          </w:tcPr>
          <w:p>
            <w:pPr>
              <w:pStyle w:val="HorizontalLine"/>
              <w:pBdr>
                <w:bottom w:val="single" w:sz="6" w:space="0" w:color="80808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ind w:left="518" w:right="0" w:hanging="173"/>
              <w:rPr/>
            </w:pPr>
            <w:r>
              <w:rPr/>
              <w:t> </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sz w:val="20"/>
              </w:rPr>
            </w:pPr>
            <w:r>
              <w:rPr>
                <w:sz w:val="20"/>
              </w:rPr>
              <w:t>Dividends</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sz w:val="20"/>
              </w:rPr>
            </w:pPr>
            <w:r>
              <w:rPr>
                <w:sz w:val="20"/>
              </w:rPr>
              <w:t xml:space="preserve">88 </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E6E6E6" w:val="clear"/>
            <w:vAlign w:val="bottom"/>
          </w:tcPr>
          <w:p>
            <w:pPr>
              <w:pStyle w:val="TableContents"/>
              <w:spacing w:before="0" w:after="283"/>
              <w:rPr>
                <w:sz w:val="20"/>
              </w:rPr>
            </w:pPr>
            <w:r>
              <w:rPr>
                <w:sz w:val="20"/>
              </w:rPr>
              <w:t>Interest</w:t>
            </w:r>
          </w:p>
        </w:tc>
        <w:tc>
          <w:tcPr>
            <w:tcW w:w="213" w:type="dxa"/>
            <w:tcBorders/>
            <w:shd w:fill="E6E6E6" w:val="clear"/>
            <w:vAlign w:val="bottom"/>
          </w:tcPr>
          <w:p>
            <w:pPr>
              <w:pStyle w:val="TableContents"/>
              <w:spacing w:before="0" w:after="283"/>
              <w:rPr/>
            </w:pPr>
            <w:r>
              <w:rPr/>
              <w:t> </w:t>
            </w:r>
          </w:p>
        </w:tc>
        <w:tc>
          <w:tcPr>
            <w:tcW w:w="250" w:type="dxa"/>
            <w:tcBorders/>
            <w:shd w:fill="E6E6E6" w:val="clear"/>
            <w:vAlign w:val="bottom"/>
          </w:tcPr>
          <w:p>
            <w:pPr>
              <w:pStyle w:val="TableContents"/>
              <w:spacing w:before="0" w:after="283"/>
              <w:rPr/>
            </w:pPr>
            <w:r>
              <w:rPr/>
              <w:t> </w:t>
            </w:r>
          </w:p>
        </w:tc>
        <w:tc>
          <w:tcPr>
            <w:tcW w:w="1593" w:type="dxa"/>
            <w:tcBorders/>
            <w:shd w:fill="E6E6E6" w:val="clear"/>
            <w:vAlign w:val="bottom"/>
          </w:tcPr>
          <w:p>
            <w:pPr>
              <w:pStyle w:val="TableContents"/>
              <w:spacing w:before="0" w:after="283"/>
              <w:jc w:val="right"/>
              <w:rPr>
                <w:sz w:val="20"/>
              </w:rPr>
            </w:pPr>
            <w:r>
              <w:rPr>
                <w:sz w:val="20"/>
              </w:rPr>
              <w:t xml:space="preserve">139 </w:t>
            </w:r>
          </w:p>
        </w:tc>
        <w:tc>
          <w:tcPr>
            <w:tcW w:w="130" w:type="dxa"/>
            <w:tcBorders/>
            <w:shd w:fill="E6E6E6"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HorizontalLine"/>
              <w:pBdr>
                <w:bottom w:val="single" w:sz="6" w:space="0" w:color="808080"/>
              </w:pBdr>
              <w:spacing w:before="0" w:after="283"/>
              <w:rPr/>
            </w:pPr>
            <w:r>
              <w:rPr/>
            </w:r>
          </w:p>
        </w:tc>
        <w:tc>
          <w:tcPr>
            <w:tcW w:w="1593" w:type="dxa"/>
            <w:tcBorders/>
            <w:shd w:fill="auto" w:val="clear"/>
            <w:vAlign w:val="bottom"/>
          </w:tcPr>
          <w:p>
            <w:pPr>
              <w:pStyle w:val="HorizontalLine"/>
              <w:pBdr>
                <w:bottom w:val="single" w:sz="6" w:space="0" w:color="80808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ind w:left="518" w:right="0" w:hanging="173"/>
              <w:rPr>
                <w:b/>
                <w:sz w:val="20"/>
              </w:rPr>
            </w:pPr>
            <w:r>
              <w:rPr>
                <w:b/>
                <w:sz w:val="20"/>
              </w:rPr>
              <w:t>Investment Income</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sz w:val="20"/>
              </w:rPr>
            </w:pPr>
            <w:r>
              <w:rPr>
                <w:sz w:val="20"/>
              </w:rPr>
              <w:t>$</w:t>
            </w:r>
          </w:p>
        </w:tc>
        <w:tc>
          <w:tcPr>
            <w:tcW w:w="1593" w:type="dxa"/>
            <w:tcBorders/>
            <w:shd w:fill="auto" w:val="clear"/>
            <w:vAlign w:val="bottom"/>
          </w:tcPr>
          <w:p>
            <w:pPr>
              <w:pStyle w:val="TableContents"/>
              <w:spacing w:before="0" w:after="283"/>
              <w:jc w:val="right"/>
              <w:rPr>
                <w:sz w:val="20"/>
              </w:rPr>
            </w:pPr>
            <w:r>
              <w:rPr>
                <w:sz w:val="20"/>
              </w:rPr>
              <w:t xml:space="preserve">1,228 </w:t>
            </w:r>
          </w:p>
        </w:tc>
        <w:tc>
          <w:tcPr>
            <w:tcW w:w="130" w:type="dxa"/>
            <w:tcBorders/>
            <w:shd w:fill="auto" w:val="clear"/>
            <w:vAlign w:val="bottom"/>
          </w:tcPr>
          <w:p>
            <w:pPr>
              <w:pStyle w:val="TableContents"/>
              <w:spacing w:before="0" w:after="283"/>
              <w:rPr/>
            </w:pPr>
            <w:r>
              <w:rPr/>
              <w:t> </w:t>
            </w:r>
          </w:p>
        </w:tc>
      </w:tr>
      <w:tr>
        <w:trPr/>
        <w:tc>
          <w:tcPr>
            <w:tcW w:w="475" w:type="dxa"/>
            <w:tcBorders/>
            <w:shd w:fill="auto" w:val="clear"/>
          </w:tcPr>
          <w:p>
            <w:pPr>
              <w:pStyle w:val="TableContents"/>
              <w:spacing w:before="0" w:after="283"/>
              <w:rPr/>
            </w:pPr>
            <w:r>
              <w:rPr/>
              <w:t> </w:t>
            </w:r>
          </w:p>
        </w:tc>
        <w:tc>
          <w:tcPr>
            <w:tcW w:w="754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50" w:type="dxa"/>
            <w:tcBorders/>
            <w:shd w:fill="auto" w:val="clear"/>
            <w:vAlign w:val="bottom"/>
          </w:tcPr>
          <w:p>
            <w:pPr>
              <w:pStyle w:val="HorizontalLine"/>
              <w:pBdr>
                <w:bottom w:val="single" w:sz="6" w:space="0" w:color="808080"/>
              </w:pBdr>
              <w:spacing w:before="0" w:after="283"/>
              <w:rPr/>
            </w:pPr>
            <w:r>
              <w:rPr/>
            </w:r>
          </w:p>
        </w:tc>
        <w:tc>
          <w:tcPr>
            <w:tcW w:w="1593" w:type="dxa"/>
            <w:tcBorders/>
            <w:shd w:fill="auto" w:val="clear"/>
            <w:vAlign w:val="bottom"/>
          </w:tcPr>
          <w:p>
            <w:pPr>
              <w:pStyle w:val="HorizontalLine"/>
              <w:pBdr>
                <w:bottom w:val="single" w:sz="6" w:space="0" w:color="808080"/>
              </w:pBdr>
              <w:spacing w:before="0" w:after="283"/>
              <w:rPr/>
            </w:pPr>
            <w:r>
              <w:rPr/>
            </w:r>
          </w:p>
        </w:tc>
        <w:tc>
          <w:tcPr>
            <w:tcW w:w="130" w:type="dxa"/>
            <w:tcBorders/>
            <w:shd w:fill="auto" w:val="clear"/>
            <w:vAlign w:val="bottom"/>
          </w:tcPr>
          <w:p>
            <w:pPr>
              <w:pStyle w:val="TableContents"/>
              <w:spacing w:before="0" w:after="283"/>
              <w:rPr/>
            </w:pPr>
            <w:r>
              <w:rPr/>
              <w:t> </w:t>
            </w:r>
          </w:p>
        </w:tc>
      </w:tr>
    </w:tbl>
    <w:p>
      <w:pPr>
        <w:pStyle w:val="TextBody"/>
        <w:jc w:val="center"/>
        <w:rPr>
          <w:sz w:val="20"/>
        </w:rPr>
      </w:pPr>
      <w:r>
        <w:rPr>
          <w:sz w:val="20"/>
        </w:rPr>
        <w:t>9</w:t>
      </w:r>
    </w:p>
    <w:p>
      <w:pPr>
        <w:pStyle w:val="HorizontalLine"/>
        <w:pBdr>
          <w:bottom w:val="single" w:sz="24" w:space="0" w:color="808080"/>
        </w:pBdr>
        <w:rPr/>
      </w:pPr>
      <w:r>
        <w:rPr/>
      </w:r>
      <w:r>
        <w:br w:type="page"/>
      </w:r>
    </w:p>
    <w:p>
      <w:pPr>
        <w:pStyle w:val="TextBody"/>
        <w:ind w:left="0" w:right="0" w:hanging="0"/>
        <w:rPr>
          <w:rFonts w:ascii="ARIAL" w:hAnsi="ARIAL"/>
          <w:b/>
          <w:sz w:val="28"/>
        </w:rPr>
      </w:pPr>
      <w:r>
        <w:rPr>
          <w:rFonts w:ascii="ARIAL" w:hAnsi="ARIAL"/>
          <w:b/>
          <w:sz w:val="28"/>
        </w:rPr>
        <w:t xml:space="preserve">Honeywell Savings and Ownership Plan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TableContents"/>
              <w:spacing w:before="0" w:after="283"/>
              <w:rPr>
                <w:rFonts w:ascii="ARIAL" w:hAnsi="ARIAL"/>
                <w:b/>
                <w:sz w:val="24"/>
              </w:rPr>
            </w:pPr>
            <w:r>
              <w:rPr>
                <w:rFonts w:ascii="ARIAL" w:hAnsi="ARIAL"/>
                <w:b/>
                <w:sz w:val="24"/>
              </w:rPr>
              <w:t>Notes to Financial Statements</w:t>
            </w:r>
          </w:p>
        </w:tc>
      </w:tr>
      <w:tr>
        <w:trPr/>
        <w:tc>
          <w:tcPr>
            <w:tcW w:w="10205" w:type="dxa"/>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b/>
                <w:sz w:val="20"/>
              </w:rPr>
            </w:pPr>
            <w:r>
              <w:rPr>
                <w:b/>
                <w:sz w:val="20"/>
              </w:rPr>
              <w:t>Investment Valuation and Income Recognition  Master Trust</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Master Trust investments are stated at fair value. Investments in mutual and common/commingled funds are valued at the net asset value of shares held at year-end. Common stocks, including Honeywell Common Stock, traded on a national securities exchange, are valued at the last reported sales price or close price at the end of the year. Fixed income securities traded in the over-the-counter market are valued at the bid prices. Short-term securities are valued at amortized cost, which includes cost plus accrued interest, which approximates fair value. Investment contracts are stated at fair value based on discounted cash flow method.</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Interest income is recorded on the accrual basis, and dividend income is accrued on the ex-dividend date. Security transactions (purchases and sales) are accounted for on the trade date.</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From time to time, investment managers may use derivative financial instruments including forward exchange and futures contracts. Derivative instruments are used primarily to mitigate exposure to foreign exchange rate and interest rate fluctuations as well as manage the investment mix in the portfolio.</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The Plans interest in the Master Trust represents more than 5 percent of the Plans net assets at December 31, 2006 and 2005.</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b/>
                <w:sz w:val="20"/>
              </w:rPr>
              <w:t>Investment Contracts</w:t>
            </w:r>
            <w:r>
              <w:rPr>
                <w:sz w:val="20"/>
              </w:rPr>
              <w:t xml:space="preserve">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The Master Trust entered into benefit-responsive investment contracts, such as traditional guaranteed investment contracts (GICs) and synthetic guaranteed investment contracts, with various third parties. These benefit-responsive investment contracts are held through the Honeywell Short Term Fixed Income Fund and the Honeywell Secured Benefit Fund. Contract values represent contributions made to the investment contract plus earnings, less participant withdrawals and administrative expenses.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A synthetic GIC provides for a fixed return on principal over a specified period of time through fully benefit-responsive wrapper contracts issued by a third party which are backed by underlying assets owned by the Master Trust. The contract values of the synthetic GICs were $616 million and $457 million at December 31, 2006 and 2005, respectively. Included in the contract values of the synthetic GICs are $6 million at December 31, 2006 and 2005, attributable to wrapper contract providers representing the amounts by which the value of the investment contracts is less than the value of the underlying assets.</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A traditional GIC provides for a fixed return on principal over a specified period of time through fully benefit-responsive contracts issued by a third party which are backed by assets owned by the third party. The contract values of the traditional GICs were $598 million and $648 million at December 31, 2006 and 2005, respectively.</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sz w:val="20"/>
              </w:rPr>
            </w:pPr>
            <w:r>
              <w:rPr>
                <w:sz w:val="20"/>
              </w:rPr>
              <w:t>The average yield rates of the Honeywell Short Term Fixed Income Fund and the Honeywell Secured Benefit Fund was 5.10% and 11.7%, respectively, for the year ended December 31, 2006 and 5.95% and 11.7%, respectively, for the year ended December 31, 2005. The average crediting interest rate of the Honeywell Short Term Fixed Income Fund and the Honeywell Secured Benefit Fund was 4.79% and 12.3%, respectively, for the year ended December 31, 2006 and 3.95% and 12.3%, respectively, for the year ended December 31, 2005. The Master Trust is exposed to credit</w:t>
            </w:r>
          </w:p>
        </w:tc>
      </w:tr>
    </w:tbl>
    <w:p>
      <w:pPr>
        <w:pStyle w:val="TextBody"/>
        <w:jc w:val="center"/>
        <w:rPr>
          <w:sz w:val="20"/>
        </w:rPr>
      </w:pPr>
      <w:r>
        <w:rPr>
          <w:sz w:val="20"/>
        </w:rPr>
        <w:t>10</w:t>
      </w:r>
    </w:p>
    <w:p>
      <w:pPr>
        <w:pStyle w:val="HorizontalLine"/>
        <w:pBdr>
          <w:bottom w:val="single" w:sz="24" w:space="0" w:color="808080"/>
        </w:pBdr>
        <w:rPr/>
      </w:pPr>
      <w:r>
        <w:rPr/>
      </w:r>
      <w:r>
        <w:br w:type="page"/>
      </w:r>
    </w:p>
    <w:p>
      <w:pPr>
        <w:pStyle w:val="TextBody"/>
        <w:rPr>
          <w:rFonts w:ascii="ARIAL" w:hAnsi="ARIAL"/>
          <w:b/>
          <w:sz w:val="28"/>
        </w:rPr>
      </w:pPr>
      <w:r>
        <w:rPr>
          <w:rFonts w:ascii="ARIAL" w:hAnsi="ARIAL"/>
          <w:b/>
          <w:sz w:val="28"/>
        </w:rPr>
        <w:t xml:space="preserve">Honeywell Savings and Ownership Plan </w:t>
      </w:r>
    </w:p>
    <w:tbl>
      <w:tblPr>
        <w:tblW w:w="5000" w:type="pct"/>
        <w:jc w:val="center"/>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283"/>
              <w:rPr/>
            </w:pPr>
            <w:r>
              <w:rPr/>
              <w:t> </w:t>
            </w:r>
          </w:p>
        </w:tc>
        <w:tc>
          <w:tcPr>
            <w:tcW w:w="9484" w:type="dxa"/>
            <w:tcBorders/>
            <w:shd w:fill="auto" w:val="clear"/>
          </w:tcPr>
          <w:p>
            <w:pPr>
              <w:pStyle w:val="TableContents"/>
              <w:spacing w:before="0" w:after="283"/>
              <w:rPr/>
            </w:pPr>
            <w:r>
              <w:rPr/>
              <w:t> </w:t>
            </w:r>
          </w:p>
        </w:tc>
      </w:tr>
      <w:tr>
        <w:trPr/>
        <w:tc>
          <w:tcPr>
            <w:tcW w:w="10205" w:type="dxa"/>
            <w:gridSpan w:val="2"/>
            <w:tcBorders/>
            <w:shd w:fill="auto" w:val="clear"/>
          </w:tcPr>
          <w:p>
            <w:pPr>
              <w:pStyle w:val="TableContents"/>
              <w:spacing w:before="0" w:after="283"/>
              <w:rPr>
                <w:rFonts w:ascii="ARIAL" w:hAnsi="ARIAL"/>
                <w:b/>
                <w:sz w:val="24"/>
              </w:rPr>
            </w:pPr>
            <w:r>
              <w:rPr>
                <w:rFonts w:ascii="ARIAL" w:hAnsi="ARIAL"/>
                <w:b/>
                <w:sz w:val="24"/>
              </w:rPr>
              <w:t>Notes to Financial Statements</w:t>
            </w:r>
          </w:p>
        </w:tc>
      </w:tr>
      <w:tr>
        <w:trPr/>
        <w:tc>
          <w:tcPr>
            <w:tcW w:w="10205" w:type="dxa"/>
            <w:gridSpan w:val="2"/>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sz w:val="20"/>
              </w:rPr>
            </w:pPr>
            <w:r>
              <w:rPr>
                <w:sz w:val="20"/>
              </w:rPr>
              <w:t>loss in the event of non-performance by the company with whom the GICs are placed. The Company does not anticipate non-performance by these companies.</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sz w:val="20"/>
              </w:rPr>
            </w:pPr>
            <w:r>
              <w:rPr>
                <w:sz w:val="20"/>
              </w:rPr>
              <w:t>Certain events limit the ability of the Plan/Master Trust to transact at contract value with the issuer. Such events include the following: (1) amendments to the plan documents (including complete or partial plan termination or merger with another plan), (2) changes to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Employee Retirement Income Security Act of 1974. The Plan administrator does not believe that the occurrence of any such value event, which would limit the Plans ability to transact at contract value with participants, is probable.</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b/>
                <w:sz w:val="20"/>
              </w:rPr>
            </w:pPr>
            <w:r>
              <w:rPr>
                <w:b/>
                <w:sz w:val="20"/>
              </w:rPr>
              <w:t>4.</w:t>
            </w:r>
          </w:p>
        </w:tc>
        <w:tc>
          <w:tcPr>
            <w:tcW w:w="9695" w:type="dxa"/>
            <w:tcBorders/>
            <w:shd w:fill="auto" w:val="clear"/>
          </w:tcPr>
          <w:p>
            <w:pPr>
              <w:pStyle w:val="TableContents"/>
              <w:spacing w:before="0" w:after="283"/>
              <w:rPr>
                <w:b/>
                <w:sz w:val="20"/>
              </w:rPr>
            </w:pPr>
            <w:r>
              <w:rPr>
                <w:b/>
                <w:sz w:val="20"/>
              </w:rPr>
              <w:t>Non-participant-Directed Investments</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sz w:val="20"/>
              </w:rPr>
            </w:pPr>
            <w:r>
              <w:rPr>
                <w:sz w:val="20"/>
              </w:rPr>
              <w:t>Information about the net assets and the significant components of the changes in net assets relating to the non-participant-directed investments is as follows:</w:t>
            </w:r>
          </w:p>
        </w:tc>
      </w:tr>
    </w:tbl>
    <w:p>
      <w:pPr>
        <w:pStyle w:val="TextBody"/>
        <w:spacing w:before="0" w:after="0"/>
        <w:rPr/>
      </w:pPr>
      <w:r>
        <w:rPr/>
      </w:r>
    </w:p>
    <w:tbl>
      <w:tblPr>
        <w:tblW w:w="4750" w:type="pct"/>
        <w:jc w:val="center"/>
        <w:tblInd w:w="0" w:type="dxa"/>
        <w:tblCellMar>
          <w:top w:w="0" w:type="dxa"/>
          <w:left w:w="0" w:type="dxa"/>
          <w:bottom w:w="0" w:type="dxa"/>
          <w:right w:w="0" w:type="dxa"/>
        </w:tblCellMar>
      </w:tblPr>
      <w:tblGrid>
        <w:gridCol w:w="6649"/>
        <w:gridCol w:w="292"/>
        <w:gridCol w:w="125"/>
        <w:gridCol w:w="1050"/>
        <w:gridCol w:w="292"/>
        <w:gridCol w:w="125"/>
        <w:gridCol w:w="1050"/>
        <w:gridCol w:w="111"/>
      </w:tblGrid>
      <w:tr>
        <w:trPr/>
        <w:tc>
          <w:tcPr>
            <w:tcW w:w="664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right"/>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right"/>
              <w:rPr/>
            </w:pPr>
            <w:r>
              <w:rPr/>
              <w:t> </w:t>
            </w:r>
          </w:p>
        </w:tc>
        <w:tc>
          <w:tcPr>
            <w:tcW w:w="111" w:type="dxa"/>
            <w:tcBorders/>
            <w:shd w:fill="auto" w:val="clear"/>
            <w:vAlign w:val="bottom"/>
          </w:tcPr>
          <w:p>
            <w:pPr>
              <w:pStyle w:val="TableContents"/>
              <w:spacing w:before="0" w:after="283"/>
              <w:rPr/>
            </w:pPr>
            <w:r>
              <w:rPr/>
              <w:t> </w:t>
            </w:r>
          </w:p>
        </w:tc>
      </w:tr>
      <w:tr>
        <w:trPr/>
        <w:tc>
          <w:tcPr>
            <w:tcW w:w="6649" w:type="dxa"/>
            <w:tcBorders/>
            <w:shd w:fill="auto" w:val="clear"/>
            <w:vAlign w:val="bottom"/>
          </w:tcPr>
          <w:p>
            <w:pPr>
              <w:pStyle w:val="TableContents"/>
              <w:spacing w:before="0" w:after="283"/>
              <w:jc w:val="center"/>
              <w:rPr/>
            </w:pPr>
            <w:r>
              <w:rPr/>
              <w:t> </w:t>
            </w:r>
          </w:p>
        </w:tc>
        <w:tc>
          <w:tcPr>
            <w:tcW w:w="292" w:type="dxa"/>
            <w:tcBorders/>
            <w:shd w:fill="auto" w:val="clear"/>
            <w:vAlign w:val="bottom"/>
          </w:tcPr>
          <w:p>
            <w:pPr>
              <w:pStyle w:val="TableContents"/>
              <w:spacing w:before="0" w:after="283"/>
              <w:jc w:val="center"/>
              <w:rPr/>
            </w:pPr>
            <w:r>
              <w:rPr/>
              <w:t> </w:t>
            </w:r>
          </w:p>
        </w:tc>
        <w:tc>
          <w:tcPr>
            <w:tcW w:w="1175" w:type="dxa"/>
            <w:gridSpan w:val="2"/>
            <w:tcBorders/>
            <w:shd w:fill="auto" w:val="clear"/>
            <w:vAlign w:val="bottom"/>
          </w:tcPr>
          <w:p>
            <w:pPr>
              <w:pStyle w:val="TableContents"/>
              <w:spacing w:before="0" w:after="283"/>
              <w:jc w:val="center"/>
              <w:rPr>
                <w:b/>
                <w:sz w:val="14"/>
              </w:rPr>
            </w:pPr>
            <w:r>
              <w:rPr>
                <w:b/>
                <w:sz w:val="14"/>
              </w:rPr>
              <w:t>December 31,</w:t>
              <w:br/>
              <w:t>2006</w:t>
            </w:r>
          </w:p>
        </w:tc>
        <w:tc>
          <w:tcPr>
            <w:tcW w:w="292" w:type="dxa"/>
            <w:tcBorders/>
            <w:shd w:fill="auto" w:val="clear"/>
            <w:vAlign w:val="bottom"/>
          </w:tcPr>
          <w:p>
            <w:pPr>
              <w:pStyle w:val="TableContents"/>
              <w:spacing w:before="0" w:after="283"/>
              <w:jc w:val="center"/>
              <w:rPr/>
            </w:pPr>
            <w:r>
              <w:rPr/>
              <w:t> </w:t>
            </w:r>
          </w:p>
        </w:tc>
        <w:tc>
          <w:tcPr>
            <w:tcW w:w="1175" w:type="dxa"/>
            <w:gridSpan w:val="2"/>
            <w:tcBorders/>
            <w:shd w:fill="auto" w:val="clear"/>
            <w:vAlign w:val="bottom"/>
          </w:tcPr>
          <w:p>
            <w:pPr>
              <w:pStyle w:val="TableContents"/>
              <w:spacing w:before="0" w:after="283"/>
              <w:jc w:val="center"/>
              <w:rPr>
                <w:b/>
                <w:sz w:val="14"/>
              </w:rPr>
            </w:pPr>
            <w:r>
              <w:rPr>
                <w:b/>
                <w:sz w:val="14"/>
              </w:rPr>
              <w:t>December 31,</w:t>
              <w:br/>
              <w:t>2005</w:t>
            </w:r>
          </w:p>
        </w:tc>
        <w:tc>
          <w:tcPr>
            <w:tcW w:w="111" w:type="dxa"/>
            <w:tcBorders/>
            <w:shd w:fill="auto" w:val="clear"/>
            <w:vAlign w:val="bottom"/>
          </w:tcPr>
          <w:p>
            <w:pPr>
              <w:pStyle w:val="TableContents"/>
              <w:spacing w:before="0" w:after="283"/>
              <w:jc w:val="center"/>
              <w:rPr/>
            </w:pPr>
            <w:r>
              <w:rPr/>
              <w:t> </w:t>
            </w:r>
          </w:p>
        </w:tc>
      </w:tr>
      <w:tr>
        <w:trPr/>
        <w:tc>
          <w:tcPr>
            <w:tcW w:w="6649" w:type="dxa"/>
            <w:tcBorders/>
            <w:shd w:fill="auto" w:val="clear"/>
            <w:vAlign w:val="bottom"/>
          </w:tcPr>
          <w:p>
            <w:pPr>
              <w:pStyle w:val="TableContents"/>
              <w:spacing w:before="0" w:after="283"/>
              <w:jc w:val="center"/>
              <w:rPr/>
            </w:pPr>
            <w:r>
              <w:rPr/>
              <w:t> </w:t>
            </w:r>
          </w:p>
        </w:tc>
        <w:tc>
          <w:tcPr>
            <w:tcW w:w="292" w:type="dxa"/>
            <w:tcBorders/>
            <w:shd w:fill="auto" w:val="clear"/>
            <w:vAlign w:val="bottom"/>
          </w:tcPr>
          <w:p>
            <w:pPr>
              <w:pStyle w:val="TableContents"/>
              <w:spacing w:before="0" w:after="283"/>
              <w:jc w:val="center"/>
              <w:rPr/>
            </w:pPr>
            <w:r>
              <w:rPr/>
              <w:t> </w:t>
            </w:r>
          </w:p>
        </w:tc>
        <w:tc>
          <w:tcPr>
            <w:tcW w:w="1175" w:type="dxa"/>
            <w:gridSpan w:val="2"/>
            <w:tcBorders/>
            <w:shd w:fill="auto" w:val="clear"/>
            <w:vAlign w:val="bottom"/>
          </w:tcPr>
          <w:p>
            <w:pPr>
              <w:pStyle w:val="HorizontalLine"/>
              <w:pBdr>
                <w:bottom w:val="single" w:sz="6" w:space="0" w:color="000000"/>
              </w:pBdr>
              <w:spacing w:before="0" w:after="283"/>
              <w:rPr/>
            </w:pPr>
            <w:r>
              <w:rPr/>
            </w:r>
          </w:p>
        </w:tc>
        <w:tc>
          <w:tcPr>
            <w:tcW w:w="292" w:type="dxa"/>
            <w:tcBorders/>
            <w:shd w:fill="auto" w:val="clear"/>
            <w:vAlign w:val="bottom"/>
          </w:tcPr>
          <w:p>
            <w:pPr>
              <w:pStyle w:val="TableContents"/>
              <w:spacing w:before="0" w:after="283"/>
              <w:jc w:val="center"/>
              <w:rPr/>
            </w:pPr>
            <w:r>
              <w:rPr/>
              <w:t> </w:t>
            </w:r>
          </w:p>
        </w:tc>
        <w:tc>
          <w:tcPr>
            <w:tcW w:w="1175" w:type="dxa"/>
            <w:gridSpan w:val="2"/>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jc w:val="center"/>
              <w:rPr/>
            </w:pPr>
            <w:r>
              <w:rPr/>
              <w:t> </w:t>
            </w:r>
          </w:p>
        </w:tc>
      </w:tr>
      <w:tr>
        <w:trPr/>
        <w:tc>
          <w:tcPr>
            <w:tcW w:w="6649" w:type="dxa"/>
            <w:tcBorders/>
            <w:shd w:fill="auto" w:val="clear"/>
            <w:vAlign w:val="bottom"/>
          </w:tcPr>
          <w:p>
            <w:pPr>
              <w:pStyle w:val="TableContents"/>
              <w:spacing w:before="0" w:after="283"/>
              <w:jc w:val="center"/>
              <w:rPr/>
            </w:pPr>
            <w:r>
              <w:rPr/>
              <w:t> </w:t>
            </w:r>
          </w:p>
        </w:tc>
        <w:tc>
          <w:tcPr>
            <w:tcW w:w="292" w:type="dxa"/>
            <w:tcBorders/>
            <w:shd w:fill="auto" w:val="clear"/>
            <w:vAlign w:val="bottom"/>
          </w:tcPr>
          <w:p>
            <w:pPr>
              <w:pStyle w:val="TableContents"/>
              <w:spacing w:before="0" w:after="283"/>
              <w:jc w:val="center"/>
              <w:rPr/>
            </w:pPr>
            <w:r>
              <w:rPr/>
              <w:t> </w:t>
            </w:r>
          </w:p>
        </w:tc>
        <w:tc>
          <w:tcPr>
            <w:tcW w:w="2642" w:type="dxa"/>
            <w:gridSpan w:val="5"/>
            <w:tcBorders/>
            <w:shd w:fill="auto" w:val="clear"/>
            <w:vAlign w:val="bottom"/>
          </w:tcPr>
          <w:p>
            <w:pPr>
              <w:pStyle w:val="TableContents"/>
              <w:spacing w:before="0" w:after="283"/>
              <w:jc w:val="center"/>
              <w:rPr>
                <w:b/>
                <w:i/>
                <w:sz w:val="14"/>
              </w:rPr>
            </w:pPr>
            <w:r>
              <w:rPr>
                <w:b/>
                <w:i/>
                <w:sz w:val="14"/>
              </w:rPr>
              <w:t>(dollars in millions)</w:t>
            </w:r>
          </w:p>
        </w:tc>
        <w:tc>
          <w:tcPr>
            <w:tcW w:w="111" w:type="dxa"/>
            <w:tcBorders/>
            <w:shd w:fill="auto" w:val="clear"/>
            <w:vAlign w:val="bottom"/>
          </w:tcPr>
          <w:p>
            <w:pPr>
              <w:pStyle w:val="TableContents"/>
              <w:spacing w:before="0" w:after="283"/>
              <w:jc w:val="center"/>
              <w:rPr/>
            </w:pPr>
            <w:r>
              <w:rPr/>
              <w:t> </w:t>
            </w:r>
          </w:p>
        </w:tc>
      </w:tr>
      <w:tr>
        <w:trPr/>
        <w:tc>
          <w:tcPr>
            <w:tcW w:w="6649" w:type="dxa"/>
            <w:tcBorders/>
            <w:shd w:fill="auto" w:val="clear"/>
            <w:vAlign w:val="bottom"/>
          </w:tcPr>
          <w:p>
            <w:pPr>
              <w:pStyle w:val="TableContents"/>
              <w:spacing w:before="0" w:after="283"/>
              <w:jc w:val="center"/>
              <w:rPr/>
            </w:pPr>
            <w:r>
              <w:rPr/>
              <w:t> </w:t>
            </w:r>
          </w:p>
        </w:tc>
        <w:tc>
          <w:tcPr>
            <w:tcW w:w="292" w:type="dxa"/>
            <w:tcBorders/>
            <w:shd w:fill="auto" w:val="clear"/>
            <w:vAlign w:val="bottom"/>
          </w:tcPr>
          <w:p>
            <w:pPr>
              <w:pStyle w:val="TableContents"/>
              <w:spacing w:before="0" w:after="283"/>
              <w:jc w:val="center"/>
              <w:rPr/>
            </w:pPr>
            <w:r>
              <w:rPr/>
              <w:t> </w:t>
            </w:r>
          </w:p>
        </w:tc>
        <w:tc>
          <w:tcPr>
            <w:tcW w:w="2642" w:type="dxa"/>
            <w:gridSpan w:val="5"/>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jc w:val="center"/>
              <w:rPr/>
            </w:pPr>
            <w:r>
              <w:rPr/>
              <w:t> </w:t>
            </w:r>
          </w:p>
        </w:tc>
      </w:tr>
      <w:tr>
        <w:trPr/>
        <w:tc>
          <w:tcPr>
            <w:tcW w:w="6649" w:type="dxa"/>
            <w:tcBorders/>
            <w:shd w:fill="auto" w:val="clear"/>
            <w:vAlign w:val="bottom"/>
          </w:tcPr>
          <w:p>
            <w:pPr>
              <w:pStyle w:val="TableContents"/>
              <w:spacing w:before="0" w:after="283"/>
              <w:ind w:left="346" w:right="0" w:hanging="173"/>
              <w:rPr>
                <w:sz w:val="20"/>
              </w:rPr>
            </w:pPr>
            <w:r>
              <w:rPr>
                <w:sz w:val="20"/>
              </w:rPr>
              <w:t>Honeywell Common Stock Fund</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20"/>
              </w:rPr>
            </w:pPr>
            <w:r>
              <w:rPr>
                <w:sz w:val="20"/>
              </w:rPr>
              <w:t>$</w:t>
            </w:r>
          </w:p>
        </w:tc>
        <w:tc>
          <w:tcPr>
            <w:tcW w:w="1050" w:type="dxa"/>
            <w:tcBorders/>
            <w:shd w:fill="auto" w:val="clear"/>
            <w:vAlign w:val="bottom"/>
          </w:tcPr>
          <w:p>
            <w:pPr>
              <w:pStyle w:val="TableContents"/>
              <w:spacing w:before="0" w:after="283"/>
              <w:jc w:val="right"/>
              <w:rPr>
                <w:sz w:val="20"/>
              </w:rPr>
            </w:pPr>
            <w:r>
              <w:rPr>
                <w:sz w:val="20"/>
              </w:rPr>
              <w:t>2,459</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20"/>
              </w:rPr>
            </w:pPr>
            <w:r>
              <w:rPr>
                <w:sz w:val="20"/>
              </w:rPr>
              <w:t>$</w:t>
            </w:r>
          </w:p>
        </w:tc>
        <w:tc>
          <w:tcPr>
            <w:tcW w:w="1050" w:type="dxa"/>
            <w:tcBorders/>
            <w:shd w:fill="auto" w:val="clear"/>
            <w:vAlign w:val="bottom"/>
          </w:tcPr>
          <w:p>
            <w:pPr>
              <w:pStyle w:val="TableContents"/>
              <w:spacing w:before="0" w:after="283"/>
              <w:jc w:val="right"/>
              <w:rPr>
                <w:sz w:val="20"/>
              </w:rPr>
            </w:pPr>
            <w:r>
              <w:rPr>
                <w:sz w:val="20"/>
              </w:rPr>
              <w:t xml:space="preserve">2,111 </w:t>
            </w:r>
          </w:p>
        </w:tc>
        <w:tc>
          <w:tcPr>
            <w:tcW w:w="111" w:type="dxa"/>
            <w:tcBorders/>
            <w:shd w:fill="auto" w:val="clear"/>
            <w:vAlign w:val="bottom"/>
          </w:tcPr>
          <w:p>
            <w:pPr>
              <w:pStyle w:val="TableContents"/>
              <w:spacing w:before="0" w:after="283"/>
              <w:rPr/>
            </w:pPr>
            <w:r>
              <w:rPr/>
              <w:t> </w:t>
            </w:r>
          </w:p>
        </w:tc>
      </w:tr>
      <w:tr>
        <w:trPr/>
        <w:tc>
          <w:tcPr>
            <w:tcW w:w="664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808080"/>
              </w:pBdr>
              <w:spacing w:before="0" w:after="283"/>
              <w:rPr/>
            </w:pPr>
            <w:r>
              <w:rPr/>
            </w:r>
          </w:p>
        </w:tc>
        <w:tc>
          <w:tcPr>
            <w:tcW w:w="1050" w:type="dxa"/>
            <w:tcBorders/>
            <w:shd w:fill="auto" w:val="clear"/>
            <w:vAlign w:val="bottom"/>
          </w:tcPr>
          <w:p>
            <w:pPr>
              <w:pStyle w:val="HorizontalLine"/>
              <w:pBdr>
                <w:bottom w:val="single" w:sz="6" w:space="0" w:color="808080"/>
              </w:pBdr>
              <w:spacing w:before="0" w:after="283"/>
              <w:rPr/>
            </w:pPr>
            <w:r>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808080"/>
              </w:pBdr>
              <w:spacing w:before="0" w:after="283"/>
              <w:rPr/>
            </w:pPr>
            <w:r>
              <w:rPr/>
            </w:r>
          </w:p>
        </w:tc>
        <w:tc>
          <w:tcPr>
            <w:tcW w:w="1050" w:type="dxa"/>
            <w:tcBorders/>
            <w:shd w:fill="auto" w:val="clear"/>
            <w:vAlign w:val="bottom"/>
          </w:tcPr>
          <w:p>
            <w:pPr>
              <w:pStyle w:val="HorizontalLine"/>
              <w:pBdr>
                <w:bottom w:val="single" w:sz="6" w:space="0" w:color="80808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664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20"/>
              </w:rPr>
            </w:pPr>
            <w:r>
              <w:rPr>
                <w:sz w:val="20"/>
              </w:rPr>
              <w:t>$</w:t>
            </w:r>
          </w:p>
        </w:tc>
        <w:tc>
          <w:tcPr>
            <w:tcW w:w="1050" w:type="dxa"/>
            <w:tcBorders/>
            <w:shd w:fill="auto" w:val="clear"/>
            <w:vAlign w:val="bottom"/>
          </w:tcPr>
          <w:p>
            <w:pPr>
              <w:pStyle w:val="TableContents"/>
              <w:spacing w:before="0" w:after="283"/>
              <w:jc w:val="right"/>
              <w:rPr>
                <w:sz w:val="20"/>
              </w:rPr>
            </w:pPr>
            <w:r>
              <w:rPr>
                <w:sz w:val="20"/>
              </w:rPr>
              <w:t>2,459</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20"/>
              </w:rPr>
            </w:pPr>
            <w:r>
              <w:rPr>
                <w:sz w:val="20"/>
              </w:rPr>
              <w:t>$</w:t>
            </w:r>
          </w:p>
        </w:tc>
        <w:tc>
          <w:tcPr>
            <w:tcW w:w="1050" w:type="dxa"/>
            <w:tcBorders/>
            <w:shd w:fill="auto" w:val="clear"/>
            <w:vAlign w:val="bottom"/>
          </w:tcPr>
          <w:p>
            <w:pPr>
              <w:pStyle w:val="TableContents"/>
              <w:spacing w:before="0" w:after="283"/>
              <w:jc w:val="right"/>
              <w:rPr>
                <w:sz w:val="20"/>
              </w:rPr>
            </w:pPr>
            <w:r>
              <w:rPr>
                <w:sz w:val="20"/>
              </w:rPr>
              <w:t xml:space="preserve">2,111 </w:t>
            </w:r>
          </w:p>
        </w:tc>
        <w:tc>
          <w:tcPr>
            <w:tcW w:w="111" w:type="dxa"/>
            <w:tcBorders/>
            <w:shd w:fill="auto" w:val="clear"/>
            <w:vAlign w:val="bottom"/>
          </w:tcPr>
          <w:p>
            <w:pPr>
              <w:pStyle w:val="TableContents"/>
              <w:spacing w:before="0" w:after="283"/>
              <w:rPr/>
            </w:pPr>
            <w:r>
              <w:rPr/>
              <w:t> </w:t>
            </w:r>
          </w:p>
        </w:tc>
      </w:tr>
      <w:tr>
        <w:trPr/>
        <w:tc>
          <w:tcPr>
            <w:tcW w:w="664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808080"/>
              </w:pBdr>
              <w:spacing w:before="0" w:after="283"/>
              <w:rPr/>
            </w:pPr>
            <w:r>
              <w:rPr/>
            </w:r>
          </w:p>
        </w:tc>
        <w:tc>
          <w:tcPr>
            <w:tcW w:w="1050" w:type="dxa"/>
            <w:tcBorders/>
            <w:shd w:fill="auto" w:val="clear"/>
            <w:vAlign w:val="bottom"/>
          </w:tcPr>
          <w:p>
            <w:pPr>
              <w:pStyle w:val="HorizontalLine"/>
              <w:pBdr>
                <w:bottom w:val="single" w:sz="18" w:space="0" w:color="808080"/>
              </w:pBdr>
              <w:spacing w:before="0" w:after="283"/>
              <w:rPr/>
            </w:pPr>
            <w:r>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808080"/>
              </w:pBdr>
              <w:spacing w:before="0" w:after="283"/>
              <w:rPr/>
            </w:pPr>
            <w:r>
              <w:rPr/>
            </w:r>
          </w:p>
        </w:tc>
        <w:tc>
          <w:tcPr>
            <w:tcW w:w="1050" w:type="dxa"/>
            <w:tcBorders/>
            <w:shd w:fill="auto" w:val="clear"/>
            <w:vAlign w:val="bottom"/>
          </w:tcPr>
          <w:p>
            <w:pPr>
              <w:pStyle w:val="HorizontalLine"/>
              <w:pBdr>
                <w:bottom w:val="single" w:sz="18" w:space="0" w:color="808080"/>
              </w:pBdr>
              <w:spacing w:before="0" w:after="283"/>
              <w:rPr/>
            </w:pPr>
            <w:r>
              <w:rPr/>
            </w:r>
          </w:p>
        </w:tc>
        <w:tc>
          <w:tcPr>
            <w:tcW w:w="111" w:type="dxa"/>
            <w:tcBorders/>
            <w:shd w:fill="auto" w:val="clear"/>
            <w:vAlign w:val="bottom"/>
          </w:tcPr>
          <w:p>
            <w:pPr>
              <w:pStyle w:val="TableContents"/>
              <w:spacing w:before="0" w:after="283"/>
              <w:rPr/>
            </w:pPr>
            <w:r>
              <w:rPr/>
              <w:t> </w:t>
            </w:r>
          </w:p>
        </w:tc>
      </w:tr>
    </w:tbl>
    <w:p>
      <w:pPr>
        <w:pStyle w:val="TextBody"/>
        <w:spacing w:before="0" w:after="0"/>
        <w:rPr/>
      </w:pPr>
      <w:r>
        <w:rPr/>
      </w:r>
    </w:p>
    <w:tbl>
      <w:tblPr>
        <w:tblW w:w="4750" w:type="pct"/>
        <w:jc w:val="center"/>
        <w:tblInd w:w="0" w:type="dxa"/>
        <w:tblCellMar>
          <w:top w:w="0" w:type="dxa"/>
          <w:left w:w="0" w:type="dxa"/>
          <w:bottom w:w="0" w:type="dxa"/>
          <w:right w:w="0" w:type="dxa"/>
        </w:tblCellMar>
      </w:tblPr>
      <w:tblGrid>
        <w:gridCol w:w="6834"/>
        <w:gridCol w:w="297"/>
        <w:gridCol w:w="110"/>
        <w:gridCol w:w="766"/>
        <w:gridCol w:w="204"/>
        <w:gridCol w:w="128"/>
        <w:gridCol w:w="1235"/>
        <w:gridCol w:w="120"/>
      </w:tblGrid>
      <w:tr>
        <w:trPr/>
        <w:tc>
          <w:tcPr>
            <w:tcW w:w="683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r>
      <w:tr>
        <w:trPr/>
        <w:tc>
          <w:tcPr>
            <w:tcW w:w="6834" w:type="dxa"/>
            <w:tcBorders/>
            <w:shd w:fill="auto" w:val="clear"/>
            <w:vAlign w:val="bottom"/>
          </w:tcPr>
          <w:p>
            <w:pPr>
              <w:pStyle w:val="TableContents"/>
              <w:spacing w:before="0" w:after="283"/>
              <w:jc w:val="center"/>
              <w:rPr/>
            </w:pPr>
            <w:r>
              <w:rPr/>
              <w:t> </w:t>
            </w:r>
          </w:p>
        </w:tc>
        <w:tc>
          <w:tcPr>
            <w:tcW w:w="297" w:type="dxa"/>
            <w:tcBorders/>
            <w:shd w:fill="auto" w:val="clear"/>
            <w:vAlign w:val="bottom"/>
          </w:tcPr>
          <w:p>
            <w:pPr>
              <w:pStyle w:val="TableContents"/>
              <w:spacing w:before="0" w:after="283"/>
              <w:jc w:val="center"/>
              <w:rPr/>
            </w:pPr>
            <w:r>
              <w:rPr/>
              <w:t> </w:t>
            </w:r>
          </w:p>
        </w:tc>
        <w:tc>
          <w:tcPr>
            <w:tcW w:w="876" w:type="dxa"/>
            <w:gridSpan w:val="2"/>
            <w:tcBorders/>
            <w:shd w:fill="auto" w:val="clear"/>
            <w:vAlign w:val="bottom"/>
          </w:tcPr>
          <w:p>
            <w:pPr>
              <w:pStyle w:val="TableContents"/>
              <w:spacing w:before="0" w:after="283"/>
              <w:jc w:val="center"/>
              <w:rPr/>
            </w:pPr>
            <w:r>
              <w:rPr/>
              <w:t> </w:t>
            </w:r>
          </w:p>
        </w:tc>
        <w:tc>
          <w:tcPr>
            <w:tcW w:w="204" w:type="dxa"/>
            <w:tcBorders/>
            <w:shd w:fill="auto" w:val="clear"/>
            <w:vAlign w:val="bottom"/>
          </w:tcPr>
          <w:p>
            <w:pPr>
              <w:pStyle w:val="TableContents"/>
              <w:spacing w:before="0" w:after="283"/>
              <w:jc w:val="center"/>
              <w:rPr/>
            </w:pPr>
            <w:r>
              <w:rPr/>
              <w:t> </w:t>
            </w:r>
          </w:p>
        </w:tc>
        <w:tc>
          <w:tcPr>
            <w:tcW w:w="1363" w:type="dxa"/>
            <w:gridSpan w:val="2"/>
            <w:tcBorders/>
            <w:shd w:fill="auto" w:val="clear"/>
            <w:vAlign w:val="bottom"/>
          </w:tcPr>
          <w:p>
            <w:pPr>
              <w:pStyle w:val="TableContents"/>
              <w:spacing w:before="0" w:after="283"/>
              <w:jc w:val="center"/>
              <w:rPr>
                <w:b/>
                <w:sz w:val="14"/>
              </w:rPr>
            </w:pPr>
            <w:r>
              <w:rPr>
                <w:b/>
                <w:sz w:val="14"/>
              </w:rPr>
              <w:t>2006</w:t>
            </w:r>
          </w:p>
        </w:tc>
        <w:tc>
          <w:tcPr>
            <w:tcW w:w="120" w:type="dxa"/>
            <w:tcBorders/>
            <w:shd w:fill="auto" w:val="clear"/>
            <w:vAlign w:val="bottom"/>
          </w:tcPr>
          <w:p>
            <w:pPr>
              <w:pStyle w:val="TableContents"/>
              <w:spacing w:before="0" w:after="283"/>
              <w:jc w:val="center"/>
              <w:rPr/>
            </w:pPr>
            <w:r>
              <w:rPr/>
              <w:t> </w:t>
            </w:r>
          </w:p>
        </w:tc>
      </w:tr>
      <w:tr>
        <w:trPr/>
        <w:tc>
          <w:tcPr>
            <w:tcW w:w="6834" w:type="dxa"/>
            <w:tcBorders/>
            <w:shd w:fill="auto" w:val="clear"/>
            <w:vAlign w:val="bottom"/>
          </w:tcPr>
          <w:p>
            <w:pPr>
              <w:pStyle w:val="TableContents"/>
              <w:spacing w:before="0" w:after="283"/>
              <w:jc w:val="center"/>
              <w:rPr/>
            </w:pPr>
            <w:r>
              <w:rPr/>
              <w:t> </w:t>
            </w:r>
          </w:p>
        </w:tc>
        <w:tc>
          <w:tcPr>
            <w:tcW w:w="297" w:type="dxa"/>
            <w:tcBorders/>
            <w:shd w:fill="auto" w:val="clear"/>
            <w:vAlign w:val="bottom"/>
          </w:tcPr>
          <w:p>
            <w:pPr>
              <w:pStyle w:val="TableContents"/>
              <w:spacing w:before="0" w:after="283"/>
              <w:jc w:val="center"/>
              <w:rPr/>
            </w:pPr>
            <w:r>
              <w:rPr/>
              <w:t> </w:t>
            </w:r>
          </w:p>
        </w:tc>
        <w:tc>
          <w:tcPr>
            <w:tcW w:w="876" w:type="dxa"/>
            <w:gridSpan w:val="2"/>
            <w:tcBorders/>
            <w:shd w:fill="auto" w:val="clear"/>
            <w:vAlign w:val="bottom"/>
          </w:tcPr>
          <w:p>
            <w:pPr>
              <w:pStyle w:val="TableContents"/>
              <w:spacing w:before="0" w:after="283"/>
              <w:jc w:val="center"/>
              <w:rPr/>
            </w:pPr>
            <w:r>
              <w:rPr/>
              <w:t> </w:t>
            </w:r>
          </w:p>
        </w:tc>
        <w:tc>
          <w:tcPr>
            <w:tcW w:w="204" w:type="dxa"/>
            <w:tcBorders/>
            <w:shd w:fill="auto" w:val="clear"/>
            <w:vAlign w:val="bottom"/>
          </w:tcPr>
          <w:p>
            <w:pPr>
              <w:pStyle w:val="TableContents"/>
              <w:spacing w:before="0" w:after="283"/>
              <w:jc w:val="center"/>
              <w:rPr/>
            </w:pPr>
            <w:r>
              <w:rPr/>
              <w:t> </w:t>
            </w:r>
          </w:p>
        </w:tc>
        <w:tc>
          <w:tcPr>
            <w:tcW w:w="1363" w:type="dxa"/>
            <w:gridSpan w:val="2"/>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jc w:val="center"/>
              <w:rPr/>
            </w:pPr>
            <w:r>
              <w:rPr/>
              <w:t> </w:t>
            </w:r>
          </w:p>
        </w:tc>
      </w:tr>
      <w:tr>
        <w:trPr/>
        <w:tc>
          <w:tcPr>
            <w:tcW w:w="6834" w:type="dxa"/>
            <w:tcBorders/>
            <w:shd w:fill="auto" w:val="clear"/>
            <w:vAlign w:val="bottom"/>
          </w:tcPr>
          <w:p>
            <w:pPr>
              <w:pStyle w:val="TableContents"/>
              <w:spacing w:before="0" w:after="283"/>
              <w:jc w:val="center"/>
              <w:rPr/>
            </w:pPr>
            <w:r>
              <w:rPr/>
              <w:t> </w:t>
            </w:r>
          </w:p>
        </w:tc>
        <w:tc>
          <w:tcPr>
            <w:tcW w:w="297" w:type="dxa"/>
            <w:tcBorders/>
            <w:shd w:fill="auto" w:val="clear"/>
            <w:vAlign w:val="bottom"/>
          </w:tcPr>
          <w:p>
            <w:pPr>
              <w:pStyle w:val="TableContents"/>
              <w:spacing w:before="0" w:after="283"/>
              <w:jc w:val="center"/>
              <w:rPr/>
            </w:pPr>
            <w:r>
              <w:rPr/>
              <w:t> </w:t>
            </w:r>
          </w:p>
        </w:tc>
        <w:tc>
          <w:tcPr>
            <w:tcW w:w="876" w:type="dxa"/>
            <w:gridSpan w:val="2"/>
            <w:tcBorders/>
            <w:shd w:fill="auto" w:val="clear"/>
            <w:vAlign w:val="bottom"/>
          </w:tcPr>
          <w:p>
            <w:pPr>
              <w:pStyle w:val="TableContents"/>
              <w:spacing w:before="0" w:after="283"/>
              <w:jc w:val="center"/>
              <w:rPr/>
            </w:pPr>
            <w:r>
              <w:rPr/>
              <w:t> </w:t>
            </w:r>
          </w:p>
        </w:tc>
        <w:tc>
          <w:tcPr>
            <w:tcW w:w="204" w:type="dxa"/>
            <w:tcBorders/>
            <w:shd w:fill="auto" w:val="clear"/>
            <w:vAlign w:val="bottom"/>
          </w:tcPr>
          <w:p>
            <w:pPr>
              <w:pStyle w:val="TableContents"/>
              <w:spacing w:before="0" w:after="283"/>
              <w:jc w:val="center"/>
              <w:rPr/>
            </w:pPr>
            <w:r>
              <w:rPr/>
              <w:t> </w:t>
            </w:r>
          </w:p>
        </w:tc>
        <w:tc>
          <w:tcPr>
            <w:tcW w:w="1363" w:type="dxa"/>
            <w:gridSpan w:val="2"/>
            <w:tcBorders/>
            <w:shd w:fill="auto" w:val="clear"/>
            <w:vAlign w:val="bottom"/>
          </w:tcPr>
          <w:p>
            <w:pPr>
              <w:pStyle w:val="TableContents"/>
              <w:spacing w:before="0" w:after="283"/>
              <w:jc w:val="center"/>
              <w:rPr>
                <w:b/>
                <w:i/>
                <w:sz w:val="14"/>
              </w:rPr>
            </w:pPr>
            <w:r>
              <w:rPr>
                <w:b/>
                <w:i/>
                <w:sz w:val="14"/>
              </w:rPr>
              <w:t>(dollars in millions)</w:t>
            </w:r>
          </w:p>
        </w:tc>
        <w:tc>
          <w:tcPr>
            <w:tcW w:w="120" w:type="dxa"/>
            <w:tcBorders/>
            <w:shd w:fill="auto" w:val="clear"/>
            <w:vAlign w:val="bottom"/>
          </w:tcPr>
          <w:p>
            <w:pPr>
              <w:pStyle w:val="TableContents"/>
              <w:spacing w:before="0" w:after="283"/>
              <w:jc w:val="center"/>
              <w:rPr/>
            </w:pPr>
            <w:r>
              <w:rPr/>
              <w:t> </w:t>
            </w:r>
          </w:p>
        </w:tc>
      </w:tr>
      <w:tr>
        <w:trPr/>
        <w:tc>
          <w:tcPr>
            <w:tcW w:w="6834" w:type="dxa"/>
            <w:tcBorders/>
            <w:shd w:fill="E6E6E6" w:val="clear"/>
            <w:vAlign w:val="bottom"/>
          </w:tcPr>
          <w:p>
            <w:pPr>
              <w:pStyle w:val="TableContents"/>
              <w:spacing w:before="0" w:after="283"/>
              <w:rPr>
                <w:sz w:val="20"/>
              </w:rPr>
            </w:pPr>
            <w:r>
              <w:rPr>
                <w:sz w:val="20"/>
              </w:rPr>
              <w:t>Changes in Net Assets:</w:t>
            </w:r>
          </w:p>
        </w:tc>
        <w:tc>
          <w:tcPr>
            <w:tcW w:w="297" w:type="dxa"/>
            <w:tcBorders/>
            <w:shd w:fill="E6E6E6" w:val="clear"/>
            <w:vAlign w:val="bottom"/>
          </w:tcPr>
          <w:p>
            <w:pPr>
              <w:pStyle w:val="TableContents"/>
              <w:spacing w:before="0" w:after="283"/>
              <w:rPr/>
            </w:pPr>
            <w:r>
              <w:rPr/>
              <w:t> </w:t>
            </w:r>
          </w:p>
        </w:tc>
        <w:tc>
          <w:tcPr>
            <w:tcW w:w="110" w:type="dxa"/>
            <w:tcBorders/>
            <w:shd w:fill="E6E6E6" w:val="clear"/>
            <w:vAlign w:val="bottom"/>
          </w:tcPr>
          <w:p>
            <w:pPr>
              <w:pStyle w:val="TableContents"/>
              <w:spacing w:before="0" w:after="283"/>
              <w:rPr/>
            </w:pPr>
            <w:r>
              <w:rPr/>
              <w:t> </w:t>
            </w:r>
          </w:p>
        </w:tc>
        <w:tc>
          <w:tcPr>
            <w:tcW w:w="766" w:type="dxa"/>
            <w:tcBorders/>
            <w:shd w:fill="E6E6E6" w:val="clear"/>
            <w:vAlign w:val="bottom"/>
          </w:tcPr>
          <w:p>
            <w:pPr>
              <w:pStyle w:val="TableContents"/>
              <w:spacing w:before="0" w:after="283"/>
              <w:jc w:val="right"/>
              <w:rPr/>
            </w:pPr>
            <w:r>
              <w:rPr/>
              <w:t> </w:t>
            </w:r>
          </w:p>
        </w:tc>
        <w:tc>
          <w:tcPr>
            <w:tcW w:w="204"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pPr>
            <w:r>
              <w:rPr/>
              <w:t> </w:t>
            </w:r>
          </w:p>
        </w:tc>
        <w:tc>
          <w:tcPr>
            <w:tcW w:w="1235" w:type="dxa"/>
            <w:tcBorders/>
            <w:shd w:fill="E6E6E6" w:val="clear"/>
            <w:vAlign w:val="bottom"/>
          </w:tcPr>
          <w:p>
            <w:pPr>
              <w:pStyle w:val="TableContents"/>
              <w:spacing w:before="0" w:after="283"/>
              <w:jc w:val="right"/>
              <w:rPr/>
            </w:pPr>
            <w:r>
              <w:rPr/>
              <w:t> </w:t>
            </w:r>
          </w:p>
        </w:tc>
        <w:tc>
          <w:tcPr>
            <w:tcW w:w="120" w:type="dxa"/>
            <w:tcBorders/>
            <w:shd w:fill="E6E6E6" w:val="clear"/>
            <w:vAlign w:val="bottom"/>
          </w:tcPr>
          <w:p>
            <w:pPr>
              <w:pStyle w:val="TableContents"/>
              <w:spacing w:before="0" w:after="283"/>
              <w:rPr/>
            </w:pPr>
            <w:r>
              <w:rPr/>
              <w:t> </w:t>
            </w:r>
          </w:p>
        </w:tc>
      </w:tr>
      <w:tr>
        <w:trPr/>
        <w:tc>
          <w:tcPr>
            <w:tcW w:w="6834" w:type="dxa"/>
            <w:tcBorders/>
            <w:shd w:fill="auto" w:val="clear"/>
            <w:vAlign w:val="bottom"/>
          </w:tcPr>
          <w:p>
            <w:pPr>
              <w:pStyle w:val="TableContents"/>
              <w:spacing w:before="0" w:after="283"/>
              <w:ind w:left="346" w:right="0" w:hanging="173"/>
              <w:rPr>
                <w:sz w:val="20"/>
              </w:rPr>
            </w:pPr>
            <w:r>
              <w:rPr>
                <w:sz w:val="20"/>
              </w:rPr>
              <w:t>Contributions</w:t>
            </w:r>
          </w:p>
        </w:tc>
        <w:tc>
          <w:tcPr>
            <w:tcW w:w="2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sz w:val="20"/>
              </w:rPr>
            </w:pPr>
            <w:r>
              <w:rPr>
                <w:sz w:val="20"/>
              </w:rPr>
              <w:t>$</w:t>
            </w:r>
          </w:p>
        </w:tc>
        <w:tc>
          <w:tcPr>
            <w:tcW w:w="1235" w:type="dxa"/>
            <w:tcBorders/>
            <w:shd w:fill="auto" w:val="clear"/>
            <w:vAlign w:val="bottom"/>
          </w:tcPr>
          <w:p>
            <w:pPr>
              <w:pStyle w:val="TableContents"/>
              <w:spacing w:before="0" w:after="283"/>
              <w:jc w:val="right"/>
              <w:rPr>
                <w:sz w:val="20"/>
              </w:rPr>
            </w:pPr>
            <w:r>
              <w:rPr>
                <w:sz w:val="20"/>
              </w:rPr>
              <w:t>177</w:t>
            </w:r>
          </w:p>
        </w:tc>
        <w:tc>
          <w:tcPr>
            <w:tcW w:w="120" w:type="dxa"/>
            <w:tcBorders/>
            <w:shd w:fill="auto" w:val="clear"/>
            <w:vAlign w:val="bottom"/>
          </w:tcPr>
          <w:p>
            <w:pPr>
              <w:pStyle w:val="TableContents"/>
              <w:spacing w:before="0" w:after="283"/>
              <w:rPr/>
            </w:pPr>
            <w:r>
              <w:rPr/>
              <w:t> </w:t>
            </w:r>
          </w:p>
        </w:tc>
      </w:tr>
      <w:tr>
        <w:trPr/>
        <w:tc>
          <w:tcPr>
            <w:tcW w:w="6834" w:type="dxa"/>
            <w:tcBorders/>
            <w:shd w:fill="E6E6E6" w:val="clear"/>
            <w:vAlign w:val="bottom"/>
          </w:tcPr>
          <w:p>
            <w:pPr>
              <w:pStyle w:val="TableContents"/>
              <w:spacing w:before="0" w:after="283"/>
              <w:ind w:left="346" w:right="0" w:hanging="173"/>
              <w:rPr>
                <w:sz w:val="20"/>
              </w:rPr>
            </w:pPr>
            <w:r>
              <w:rPr>
                <w:sz w:val="20"/>
              </w:rPr>
              <w:t>Dividends</w:t>
            </w:r>
          </w:p>
        </w:tc>
        <w:tc>
          <w:tcPr>
            <w:tcW w:w="297" w:type="dxa"/>
            <w:tcBorders/>
            <w:shd w:fill="E6E6E6" w:val="clear"/>
            <w:vAlign w:val="bottom"/>
          </w:tcPr>
          <w:p>
            <w:pPr>
              <w:pStyle w:val="TableContents"/>
              <w:spacing w:before="0" w:after="283"/>
              <w:rPr/>
            </w:pPr>
            <w:r>
              <w:rPr/>
              <w:t> </w:t>
            </w:r>
          </w:p>
        </w:tc>
        <w:tc>
          <w:tcPr>
            <w:tcW w:w="110" w:type="dxa"/>
            <w:tcBorders/>
            <w:shd w:fill="E6E6E6" w:val="clear"/>
            <w:vAlign w:val="bottom"/>
          </w:tcPr>
          <w:p>
            <w:pPr>
              <w:pStyle w:val="TableContents"/>
              <w:spacing w:before="0" w:after="283"/>
              <w:rPr/>
            </w:pPr>
            <w:r>
              <w:rPr/>
              <w:t> </w:t>
            </w:r>
          </w:p>
        </w:tc>
        <w:tc>
          <w:tcPr>
            <w:tcW w:w="766" w:type="dxa"/>
            <w:tcBorders/>
            <w:shd w:fill="E6E6E6" w:val="clear"/>
            <w:vAlign w:val="bottom"/>
          </w:tcPr>
          <w:p>
            <w:pPr>
              <w:pStyle w:val="TableContents"/>
              <w:spacing w:before="0" w:after="283"/>
              <w:jc w:val="right"/>
              <w:rPr/>
            </w:pPr>
            <w:r>
              <w:rPr/>
              <w:t> </w:t>
            </w:r>
          </w:p>
        </w:tc>
        <w:tc>
          <w:tcPr>
            <w:tcW w:w="204"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pPr>
            <w:r>
              <w:rPr/>
              <w:t> </w:t>
            </w:r>
          </w:p>
        </w:tc>
        <w:tc>
          <w:tcPr>
            <w:tcW w:w="1235" w:type="dxa"/>
            <w:tcBorders/>
            <w:shd w:fill="E6E6E6" w:val="clear"/>
            <w:vAlign w:val="bottom"/>
          </w:tcPr>
          <w:p>
            <w:pPr>
              <w:pStyle w:val="TableContents"/>
              <w:spacing w:before="0" w:after="283"/>
              <w:jc w:val="right"/>
              <w:rPr>
                <w:sz w:val="20"/>
              </w:rPr>
            </w:pPr>
            <w:r>
              <w:rPr>
                <w:sz w:val="20"/>
              </w:rPr>
              <w:t>27</w:t>
            </w:r>
          </w:p>
        </w:tc>
        <w:tc>
          <w:tcPr>
            <w:tcW w:w="120" w:type="dxa"/>
            <w:tcBorders/>
            <w:shd w:fill="E6E6E6" w:val="clear"/>
            <w:vAlign w:val="bottom"/>
          </w:tcPr>
          <w:p>
            <w:pPr>
              <w:pStyle w:val="TableContents"/>
              <w:spacing w:before="0" w:after="283"/>
              <w:rPr/>
            </w:pPr>
            <w:r>
              <w:rPr/>
              <w:t> </w:t>
            </w:r>
          </w:p>
        </w:tc>
      </w:tr>
      <w:tr>
        <w:trPr/>
        <w:tc>
          <w:tcPr>
            <w:tcW w:w="6834" w:type="dxa"/>
            <w:tcBorders/>
            <w:shd w:fill="auto" w:val="clear"/>
            <w:vAlign w:val="bottom"/>
          </w:tcPr>
          <w:p>
            <w:pPr>
              <w:pStyle w:val="TableContents"/>
              <w:spacing w:before="0" w:after="283"/>
              <w:ind w:left="346" w:right="0" w:hanging="173"/>
              <w:rPr>
                <w:sz w:val="20"/>
              </w:rPr>
            </w:pPr>
            <w:r>
              <w:rPr>
                <w:sz w:val="20"/>
              </w:rPr>
              <w:t>Net appreciation</w:t>
            </w:r>
          </w:p>
        </w:tc>
        <w:tc>
          <w:tcPr>
            <w:tcW w:w="2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sz w:val="20"/>
              </w:rPr>
            </w:pPr>
            <w:r>
              <w:rPr>
                <w:sz w:val="20"/>
              </w:rPr>
              <w:t>389</w:t>
            </w:r>
          </w:p>
        </w:tc>
        <w:tc>
          <w:tcPr>
            <w:tcW w:w="120" w:type="dxa"/>
            <w:tcBorders/>
            <w:shd w:fill="auto" w:val="clear"/>
            <w:vAlign w:val="bottom"/>
          </w:tcPr>
          <w:p>
            <w:pPr>
              <w:pStyle w:val="TableContents"/>
              <w:spacing w:before="0" w:after="283"/>
              <w:rPr/>
            </w:pPr>
            <w:r>
              <w:rPr/>
              <w:t> </w:t>
            </w:r>
          </w:p>
        </w:tc>
      </w:tr>
      <w:tr>
        <w:trPr/>
        <w:tc>
          <w:tcPr>
            <w:tcW w:w="6834" w:type="dxa"/>
            <w:tcBorders/>
            <w:shd w:fill="E6E6E6" w:val="clear"/>
            <w:vAlign w:val="bottom"/>
          </w:tcPr>
          <w:p>
            <w:pPr>
              <w:pStyle w:val="TableContents"/>
              <w:spacing w:before="0" w:after="283"/>
              <w:ind w:left="346" w:right="0" w:hanging="173"/>
              <w:rPr>
                <w:sz w:val="20"/>
              </w:rPr>
            </w:pPr>
            <w:r>
              <w:rPr>
                <w:sz w:val="20"/>
              </w:rPr>
              <w:t>Benefits paid to participants</w:t>
            </w:r>
          </w:p>
        </w:tc>
        <w:tc>
          <w:tcPr>
            <w:tcW w:w="297" w:type="dxa"/>
            <w:tcBorders/>
            <w:shd w:fill="E6E6E6" w:val="clear"/>
            <w:vAlign w:val="bottom"/>
          </w:tcPr>
          <w:p>
            <w:pPr>
              <w:pStyle w:val="TableContents"/>
              <w:spacing w:before="0" w:after="283"/>
              <w:rPr/>
            </w:pPr>
            <w:r>
              <w:rPr/>
              <w:t> </w:t>
            </w:r>
          </w:p>
        </w:tc>
        <w:tc>
          <w:tcPr>
            <w:tcW w:w="110" w:type="dxa"/>
            <w:tcBorders/>
            <w:shd w:fill="E6E6E6" w:val="clear"/>
            <w:vAlign w:val="bottom"/>
          </w:tcPr>
          <w:p>
            <w:pPr>
              <w:pStyle w:val="TableContents"/>
              <w:spacing w:before="0" w:after="283"/>
              <w:rPr/>
            </w:pPr>
            <w:r>
              <w:rPr/>
              <w:t> </w:t>
            </w:r>
          </w:p>
        </w:tc>
        <w:tc>
          <w:tcPr>
            <w:tcW w:w="766" w:type="dxa"/>
            <w:tcBorders/>
            <w:shd w:fill="E6E6E6" w:val="clear"/>
            <w:vAlign w:val="bottom"/>
          </w:tcPr>
          <w:p>
            <w:pPr>
              <w:pStyle w:val="TableContents"/>
              <w:spacing w:before="0" w:after="283"/>
              <w:jc w:val="right"/>
              <w:rPr/>
            </w:pPr>
            <w:r>
              <w:rPr/>
              <w:t> </w:t>
            </w:r>
          </w:p>
        </w:tc>
        <w:tc>
          <w:tcPr>
            <w:tcW w:w="204" w:type="dxa"/>
            <w:tcBorders/>
            <w:shd w:fill="E6E6E6" w:val="clear"/>
            <w:vAlign w:val="bottom"/>
          </w:tcPr>
          <w:p>
            <w:pPr>
              <w:pStyle w:val="TableContents"/>
              <w:spacing w:before="0" w:after="283"/>
              <w:rPr/>
            </w:pPr>
            <w:r>
              <w:rPr/>
              <w:t> </w:t>
            </w:r>
          </w:p>
        </w:tc>
        <w:tc>
          <w:tcPr>
            <w:tcW w:w="128" w:type="dxa"/>
            <w:tcBorders/>
            <w:shd w:fill="E6E6E6" w:val="clear"/>
            <w:vAlign w:val="bottom"/>
          </w:tcPr>
          <w:p>
            <w:pPr>
              <w:pStyle w:val="TableContents"/>
              <w:spacing w:before="0" w:after="283"/>
              <w:rPr/>
            </w:pPr>
            <w:r>
              <w:rPr/>
              <w:t> </w:t>
            </w:r>
          </w:p>
        </w:tc>
        <w:tc>
          <w:tcPr>
            <w:tcW w:w="1235" w:type="dxa"/>
            <w:tcBorders/>
            <w:shd w:fill="E6E6E6" w:val="clear"/>
            <w:vAlign w:val="bottom"/>
          </w:tcPr>
          <w:p>
            <w:pPr>
              <w:pStyle w:val="TableContents"/>
              <w:spacing w:before="0" w:after="283"/>
              <w:jc w:val="right"/>
              <w:rPr>
                <w:sz w:val="20"/>
              </w:rPr>
            </w:pPr>
            <w:r>
              <w:rPr>
                <w:sz w:val="20"/>
              </w:rPr>
              <w:t>(245</w:t>
            </w:r>
          </w:p>
        </w:tc>
        <w:tc>
          <w:tcPr>
            <w:tcW w:w="120" w:type="dxa"/>
            <w:tcBorders/>
            <w:shd w:fill="E6E6E6" w:val="clear"/>
            <w:vAlign w:val="bottom"/>
          </w:tcPr>
          <w:p>
            <w:pPr>
              <w:pStyle w:val="TableContents"/>
              <w:spacing w:before="0" w:after="283"/>
              <w:rPr>
                <w:sz w:val="20"/>
              </w:rPr>
            </w:pPr>
            <w:r>
              <w:rPr>
                <w:sz w:val="20"/>
              </w:rPr>
              <w:t>)</w:t>
            </w:r>
          </w:p>
        </w:tc>
      </w:tr>
      <w:tr>
        <w:trPr/>
        <w:tc>
          <w:tcPr>
            <w:tcW w:w="6834" w:type="dxa"/>
            <w:tcBorders/>
            <w:shd w:fill="auto" w:val="clear"/>
            <w:vAlign w:val="bottom"/>
          </w:tcPr>
          <w:p>
            <w:pPr>
              <w:pStyle w:val="TableContents"/>
              <w:spacing w:before="0" w:after="283"/>
              <w:ind w:left="346" w:right="0" w:hanging="173"/>
              <w:rPr/>
            </w:pPr>
            <w:r>
              <w:rPr/>
              <w:t> </w:t>
            </w:r>
          </w:p>
        </w:tc>
        <w:tc>
          <w:tcPr>
            <w:tcW w:w="2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808080"/>
              </w:pBdr>
              <w:spacing w:before="0" w:after="283"/>
              <w:rPr/>
            </w:pPr>
            <w:r>
              <w:rPr/>
            </w:r>
          </w:p>
        </w:tc>
        <w:tc>
          <w:tcPr>
            <w:tcW w:w="1235" w:type="dxa"/>
            <w:tcBorders/>
            <w:shd w:fill="auto" w:val="clear"/>
            <w:vAlign w:val="bottom"/>
          </w:tcPr>
          <w:p>
            <w:pPr>
              <w:pStyle w:val="HorizontalLine"/>
              <w:pBdr>
                <w:bottom w:val="single" w:sz="6" w:space="0" w:color="80808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683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sz w:val="20"/>
              </w:rPr>
            </w:pPr>
            <w:r>
              <w:rPr>
                <w:sz w:val="20"/>
              </w:rPr>
              <w:t>$</w:t>
            </w:r>
          </w:p>
        </w:tc>
        <w:tc>
          <w:tcPr>
            <w:tcW w:w="1235" w:type="dxa"/>
            <w:tcBorders/>
            <w:shd w:fill="auto" w:val="clear"/>
            <w:vAlign w:val="bottom"/>
          </w:tcPr>
          <w:p>
            <w:pPr>
              <w:pStyle w:val="TableContents"/>
              <w:spacing w:before="0" w:after="283"/>
              <w:jc w:val="right"/>
              <w:rPr>
                <w:sz w:val="20"/>
              </w:rPr>
            </w:pPr>
            <w:r>
              <w:rPr>
                <w:sz w:val="20"/>
              </w:rPr>
              <w:t>348</w:t>
            </w:r>
          </w:p>
        </w:tc>
        <w:tc>
          <w:tcPr>
            <w:tcW w:w="120" w:type="dxa"/>
            <w:tcBorders/>
            <w:shd w:fill="auto" w:val="clear"/>
            <w:vAlign w:val="bottom"/>
          </w:tcPr>
          <w:p>
            <w:pPr>
              <w:pStyle w:val="TableContents"/>
              <w:spacing w:before="0" w:after="283"/>
              <w:rPr/>
            </w:pPr>
            <w:r>
              <w:rPr/>
              <w:t> </w:t>
            </w:r>
          </w:p>
        </w:tc>
      </w:tr>
      <w:tr>
        <w:trPr/>
        <w:tc>
          <w:tcPr>
            <w:tcW w:w="683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808080"/>
              </w:pBdr>
              <w:spacing w:before="0" w:after="283"/>
              <w:rPr/>
            </w:pPr>
            <w:r>
              <w:rPr/>
            </w:r>
          </w:p>
        </w:tc>
        <w:tc>
          <w:tcPr>
            <w:tcW w:w="1235" w:type="dxa"/>
            <w:tcBorders/>
            <w:shd w:fill="auto" w:val="clear"/>
            <w:vAlign w:val="bottom"/>
          </w:tcPr>
          <w:p>
            <w:pPr>
              <w:pStyle w:val="HorizontalLine"/>
              <w:pBdr>
                <w:bottom w:val="single" w:sz="18" w:space="0" w:color="808080"/>
              </w:pBdr>
              <w:spacing w:before="0" w:after="283"/>
              <w:rPr/>
            </w:pPr>
            <w:r>
              <w:rPr/>
            </w:r>
          </w:p>
        </w:tc>
        <w:tc>
          <w:tcPr>
            <w:tcW w:w="120"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b/>
                <w:sz w:val="20"/>
              </w:rPr>
            </w:pPr>
            <w:r>
              <w:rPr>
                <w:b/>
                <w:sz w:val="20"/>
              </w:rPr>
              <w:t>5.</w:t>
            </w:r>
          </w:p>
        </w:tc>
        <w:tc>
          <w:tcPr>
            <w:tcW w:w="9697" w:type="dxa"/>
            <w:tcBorders/>
            <w:shd w:fill="auto" w:val="clear"/>
          </w:tcPr>
          <w:p>
            <w:pPr>
              <w:pStyle w:val="TableContents"/>
              <w:spacing w:before="0" w:after="283"/>
              <w:rPr>
                <w:b/>
                <w:sz w:val="20"/>
              </w:rPr>
            </w:pPr>
            <w:r>
              <w:rPr>
                <w:b/>
                <w:sz w:val="20"/>
              </w:rPr>
              <w:t>Asset Transfers</w:t>
            </w:r>
          </w:p>
        </w:tc>
      </w:tr>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sz w:val="20"/>
              </w:rPr>
            </w:pPr>
            <w:r>
              <w:rPr>
                <w:sz w:val="20"/>
              </w:rPr>
              <w:t>During the year ended December 31, 2006, assets valued at approximately $27 million were transferred from other plans to HSOP as follows: $16 million from Zellwegar Analytics, Inc. 401(k) Savings Plan, $6 million from Phoenix Controls Corporation 401(k) Plan, $3 million from Tridium, Inc. 401(k) Plan and Trust and $2 million from an Executive Life Insurance settlement.</w:t>
            </w:r>
          </w:p>
        </w:tc>
      </w:tr>
    </w:tbl>
    <w:p>
      <w:pPr>
        <w:pStyle w:val="TextBody"/>
        <w:jc w:val="center"/>
        <w:rPr>
          <w:sz w:val="20"/>
        </w:rPr>
      </w:pPr>
      <w:r>
        <w:rPr>
          <w:sz w:val="20"/>
        </w:rPr>
        <w:t>11</w:t>
      </w:r>
    </w:p>
    <w:p>
      <w:pPr>
        <w:pStyle w:val="HorizontalLine"/>
        <w:pBdr>
          <w:bottom w:val="single" w:sz="24" w:space="0" w:color="808080"/>
        </w:pBdr>
        <w:rPr/>
      </w:pPr>
      <w:r>
        <w:rPr/>
      </w:r>
      <w:r>
        <w:br w:type="page"/>
      </w:r>
    </w:p>
    <w:p>
      <w:pPr>
        <w:pStyle w:val="TextBody"/>
        <w:rPr>
          <w:rFonts w:ascii="ARIAL" w:hAnsi="ARIAL"/>
          <w:b/>
          <w:sz w:val="28"/>
        </w:rPr>
      </w:pPr>
      <w:r>
        <w:rPr>
          <w:rFonts w:ascii="ARIAL" w:hAnsi="ARIAL"/>
          <w:b/>
          <w:sz w:val="28"/>
        </w:rPr>
        <w:t xml:space="preserve">Honeywell Savings and Ownership Plan </w:t>
      </w:r>
    </w:p>
    <w:tbl>
      <w:tblPr>
        <w:tblW w:w="5000" w:type="pct"/>
        <w:jc w:val="center"/>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283"/>
              <w:rPr/>
            </w:pPr>
            <w:r>
              <w:rPr/>
              <w:t> </w:t>
            </w:r>
          </w:p>
        </w:tc>
        <w:tc>
          <w:tcPr>
            <w:tcW w:w="9484" w:type="dxa"/>
            <w:tcBorders/>
            <w:shd w:fill="auto" w:val="clear"/>
          </w:tcPr>
          <w:p>
            <w:pPr>
              <w:pStyle w:val="TableContents"/>
              <w:spacing w:before="0" w:after="283"/>
              <w:rPr/>
            </w:pPr>
            <w:r>
              <w:rPr/>
              <w:t> </w:t>
            </w:r>
          </w:p>
        </w:tc>
      </w:tr>
      <w:tr>
        <w:trPr/>
        <w:tc>
          <w:tcPr>
            <w:tcW w:w="10205" w:type="dxa"/>
            <w:gridSpan w:val="2"/>
            <w:tcBorders/>
            <w:shd w:fill="auto" w:val="clear"/>
          </w:tcPr>
          <w:p>
            <w:pPr>
              <w:pStyle w:val="TableContents"/>
              <w:spacing w:before="0" w:after="283"/>
              <w:rPr>
                <w:rFonts w:ascii="ARIAL" w:hAnsi="ARIAL"/>
                <w:b/>
                <w:sz w:val="24"/>
              </w:rPr>
            </w:pPr>
            <w:r>
              <w:rPr>
                <w:rFonts w:ascii="ARIAL" w:hAnsi="ARIAL"/>
                <w:b/>
                <w:sz w:val="24"/>
              </w:rPr>
              <w:t>Notes to Financial Statements</w:t>
            </w:r>
          </w:p>
        </w:tc>
      </w:tr>
      <w:tr>
        <w:trPr/>
        <w:tc>
          <w:tcPr>
            <w:tcW w:w="10205" w:type="dxa"/>
            <w:gridSpan w:val="2"/>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b/>
                <w:sz w:val="20"/>
              </w:rPr>
            </w:pPr>
            <w:r>
              <w:rPr>
                <w:b/>
                <w:sz w:val="20"/>
              </w:rPr>
              <w:t>6.</w:t>
            </w:r>
          </w:p>
        </w:tc>
        <w:tc>
          <w:tcPr>
            <w:tcW w:w="9695" w:type="dxa"/>
            <w:tcBorders/>
            <w:shd w:fill="auto" w:val="clear"/>
          </w:tcPr>
          <w:p>
            <w:pPr>
              <w:pStyle w:val="TableContents"/>
              <w:spacing w:before="0" w:after="283"/>
              <w:rPr>
                <w:b/>
                <w:sz w:val="20"/>
              </w:rPr>
            </w:pPr>
            <w:r>
              <w:rPr>
                <w:b/>
                <w:sz w:val="20"/>
              </w:rPr>
              <w:t>Related-Party Transactions</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sz w:val="20"/>
              </w:rPr>
            </w:pPr>
            <w:r>
              <w:rPr>
                <w:sz w:val="20"/>
              </w:rPr>
              <w:t>The Plans investment in the Master Trust constitutes a related-party transaction because the Company is both the plan sponsor and a party to the Master Trust. The Master Trust is invested in the Companys common stock and the Plan is invested in participant loans, both of which qualify as related-party transactions. During the year ended December 31, 2006, the Plan made purchases of approximately $305 million and sales of approximately $795 million of the Companys common stock. The Master Trust invests in commingled funds managed by the Trustee. These investments qualify as party-in-interest transactions.</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b/>
                <w:sz w:val="20"/>
              </w:rPr>
            </w:pPr>
            <w:r>
              <w:rPr>
                <w:b/>
                <w:sz w:val="20"/>
              </w:rPr>
              <w:t>7.</w:t>
            </w:r>
          </w:p>
        </w:tc>
        <w:tc>
          <w:tcPr>
            <w:tcW w:w="9695" w:type="dxa"/>
            <w:tcBorders/>
            <w:shd w:fill="auto" w:val="clear"/>
          </w:tcPr>
          <w:p>
            <w:pPr>
              <w:pStyle w:val="TableContents"/>
              <w:spacing w:before="0" w:after="283"/>
              <w:rPr>
                <w:b/>
                <w:sz w:val="20"/>
              </w:rPr>
            </w:pPr>
            <w:r>
              <w:rPr>
                <w:b/>
                <w:sz w:val="20"/>
              </w:rPr>
              <w:t>Risks and Uncertainties</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sz w:val="20"/>
              </w:rPr>
            </w:pPr>
            <w:r>
              <w:rPr>
                <w:sz w:val="20"/>
              </w:rPr>
              <w:t>The Plan provides for various investment options which may invest in any combination of stocks, GICs, fixed income securities, mutual funds and other investment securities. Investment securities are exposed to various risks, such as interest rate, market and credit risk. Due to the level of risk associated with certain investment securities and the level of uncertainty related to changes in the value of investment securities, it is reasonably possible that changes in risks in the near term would materially affect participants account balances and the amounts reported in the statements of net assets available for benefits and the statement of changes in net assets available for benefits.</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b/>
                <w:sz w:val="20"/>
              </w:rPr>
            </w:pPr>
            <w:r>
              <w:rPr>
                <w:b/>
                <w:sz w:val="20"/>
              </w:rPr>
              <w:t>8.</w:t>
            </w:r>
          </w:p>
        </w:tc>
        <w:tc>
          <w:tcPr>
            <w:tcW w:w="9695" w:type="dxa"/>
            <w:tcBorders/>
            <w:shd w:fill="auto" w:val="clear"/>
          </w:tcPr>
          <w:p>
            <w:pPr>
              <w:pStyle w:val="TableContents"/>
              <w:spacing w:before="0" w:after="283"/>
              <w:rPr>
                <w:b/>
                <w:sz w:val="20"/>
              </w:rPr>
            </w:pPr>
            <w:r>
              <w:rPr>
                <w:b/>
                <w:sz w:val="20"/>
              </w:rPr>
              <w:t>Federal Income Taxes</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sz w:val="20"/>
              </w:rPr>
            </w:pPr>
            <w:r>
              <w:rPr>
                <w:sz w:val="20"/>
              </w:rPr>
              <w:t>On April 14, 2003, the Internal Revenue Service ruled that the Plan met the requirements of Section 401(a) of the Internal Revenue Code (the Code), and that the Plan qualified as an ESOP as defined in Section 4975(e) (7) of the Code. Although the Plan has been amended since receiving the determination letter, the Plans administrator and counsel believe that the Plan is designed and is currently being operated in compliance with applicable requirements of the Code. The Trust under the Plan is intended to be exempt under Section 501(a) of the Code. Accordingly, no provision for income taxes has been made.</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b/>
                <w:sz w:val="20"/>
              </w:rPr>
            </w:pPr>
            <w:r>
              <w:rPr>
                <w:b/>
                <w:sz w:val="20"/>
              </w:rPr>
              <w:t>9</w:t>
            </w:r>
          </w:p>
        </w:tc>
        <w:tc>
          <w:tcPr>
            <w:tcW w:w="9695" w:type="dxa"/>
            <w:tcBorders/>
            <w:shd w:fill="auto" w:val="clear"/>
          </w:tcPr>
          <w:p>
            <w:pPr>
              <w:pStyle w:val="TableContents"/>
              <w:spacing w:before="0" w:after="283"/>
              <w:rPr>
                <w:b/>
                <w:sz w:val="20"/>
              </w:rPr>
            </w:pPr>
            <w:r>
              <w:rPr>
                <w:b/>
                <w:sz w:val="20"/>
              </w:rPr>
              <w:t>Reconciliation of Financial Statements to 5500</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sz w:val="20"/>
              </w:rPr>
            </w:pPr>
            <w:r>
              <w:rPr>
                <w:sz w:val="20"/>
              </w:rPr>
              <w:t>The following is a reconciliation of net assets available for benefits per the financial statements at December 31, 2006 and 2005 to Form 5500:</w:t>
            </w:r>
          </w:p>
        </w:tc>
      </w:tr>
    </w:tbl>
    <w:p>
      <w:pPr>
        <w:pStyle w:val="TextBody"/>
        <w:spacing w:before="0" w:after="0"/>
        <w:rPr/>
      </w:pPr>
      <w:r>
        <w:rPr/>
      </w:r>
    </w:p>
    <w:tbl>
      <w:tblPr>
        <w:tblW w:w="4750" w:type="pct"/>
        <w:jc w:val="center"/>
        <w:tblInd w:w="0" w:type="dxa"/>
        <w:tblCellMar>
          <w:top w:w="0" w:type="dxa"/>
          <w:left w:w="0" w:type="dxa"/>
          <w:bottom w:w="0" w:type="dxa"/>
          <w:right w:w="0" w:type="dxa"/>
        </w:tblCellMar>
      </w:tblPr>
      <w:tblGrid>
        <w:gridCol w:w="7031"/>
        <w:gridCol w:w="286"/>
        <w:gridCol w:w="125"/>
        <w:gridCol w:w="859"/>
        <w:gridCol w:w="292"/>
        <w:gridCol w:w="125"/>
        <w:gridCol w:w="859"/>
        <w:gridCol w:w="117"/>
      </w:tblGrid>
      <w:tr>
        <w:trPr/>
        <w:tc>
          <w:tcPr>
            <w:tcW w:w="703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 </w:t>
            </w:r>
          </w:p>
        </w:tc>
        <w:tc>
          <w:tcPr>
            <w:tcW w:w="117" w:type="dxa"/>
            <w:tcBorders/>
            <w:shd w:fill="auto" w:val="clear"/>
            <w:vAlign w:val="bottom"/>
          </w:tcPr>
          <w:p>
            <w:pPr>
              <w:pStyle w:val="TableContents"/>
              <w:spacing w:before="0" w:after="283"/>
              <w:rPr/>
            </w:pPr>
            <w:r>
              <w:rPr/>
              <w:t> </w:t>
            </w:r>
          </w:p>
        </w:tc>
      </w:tr>
      <w:tr>
        <w:trPr/>
        <w:tc>
          <w:tcPr>
            <w:tcW w:w="7031" w:type="dxa"/>
            <w:tcBorders/>
            <w:shd w:fill="auto" w:val="clear"/>
            <w:vAlign w:val="bottom"/>
          </w:tcPr>
          <w:p>
            <w:pPr>
              <w:pStyle w:val="TableContents"/>
              <w:spacing w:before="0" w:after="283"/>
              <w:ind w:left="173" w:right="0" w:hanging="173"/>
              <w:jc w:val="center"/>
              <w:rPr/>
            </w:pPr>
            <w:r>
              <w:rPr/>
              <w:t> </w:t>
            </w:r>
          </w:p>
        </w:tc>
        <w:tc>
          <w:tcPr>
            <w:tcW w:w="286" w:type="dxa"/>
            <w:tcBorders/>
            <w:shd w:fill="auto" w:val="clear"/>
            <w:vAlign w:val="bottom"/>
          </w:tcPr>
          <w:p>
            <w:pPr>
              <w:pStyle w:val="TableContents"/>
              <w:spacing w:before="0" w:after="283"/>
              <w:jc w:val="center"/>
              <w:rPr/>
            </w:pPr>
            <w:r>
              <w:rPr/>
              <w:t> </w:t>
            </w:r>
          </w:p>
        </w:tc>
        <w:tc>
          <w:tcPr>
            <w:tcW w:w="984" w:type="dxa"/>
            <w:gridSpan w:val="2"/>
            <w:tcBorders/>
            <w:shd w:fill="auto" w:val="clear"/>
            <w:vAlign w:val="bottom"/>
          </w:tcPr>
          <w:p>
            <w:pPr>
              <w:pStyle w:val="TableContents"/>
              <w:spacing w:before="0" w:after="283"/>
              <w:jc w:val="center"/>
              <w:rPr>
                <w:b/>
                <w:sz w:val="14"/>
              </w:rPr>
            </w:pPr>
            <w:r>
              <w:rPr>
                <w:b/>
                <w:sz w:val="14"/>
              </w:rPr>
              <w:t>2006</w:t>
            </w:r>
          </w:p>
        </w:tc>
        <w:tc>
          <w:tcPr>
            <w:tcW w:w="292" w:type="dxa"/>
            <w:tcBorders/>
            <w:shd w:fill="auto" w:val="clear"/>
            <w:vAlign w:val="bottom"/>
          </w:tcPr>
          <w:p>
            <w:pPr>
              <w:pStyle w:val="TableContents"/>
              <w:spacing w:before="0" w:after="283"/>
              <w:jc w:val="center"/>
              <w:rPr/>
            </w:pPr>
            <w:r>
              <w:rPr/>
              <w:t> </w:t>
            </w:r>
          </w:p>
        </w:tc>
        <w:tc>
          <w:tcPr>
            <w:tcW w:w="984" w:type="dxa"/>
            <w:gridSpan w:val="2"/>
            <w:tcBorders/>
            <w:shd w:fill="auto" w:val="clear"/>
            <w:vAlign w:val="bottom"/>
          </w:tcPr>
          <w:p>
            <w:pPr>
              <w:pStyle w:val="TableContents"/>
              <w:spacing w:before="0" w:after="283"/>
              <w:jc w:val="center"/>
              <w:rPr>
                <w:b/>
                <w:sz w:val="14"/>
              </w:rPr>
            </w:pPr>
            <w:r>
              <w:rPr>
                <w:b/>
                <w:sz w:val="14"/>
              </w:rPr>
              <w:t>2005</w:t>
            </w:r>
          </w:p>
        </w:tc>
        <w:tc>
          <w:tcPr>
            <w:tcW w:w="117" w:type="dxa"/>
            <w:tcBorders/>
            <w:shd w:fill="auto" w:val="clear"/>
            <w:vAlign w:val="bottom"/>
          </w:tcPr>
          <w:p>
            <w:pPr>
              <w:pStyle w:val="TableContents"/>
              <w:spacing w:before="0" w:after="283"/>
              <w:jc w:val="center"/>
              <w:rPr/>
            </w:pPr>
            <w:r>
              <w:rPr/>
              <w:t> </w:t>
            </w:r>
          </w:p>
        </w:tc>
      </w:tr>
      <w:tr>
        <w:trPr/>
        <w:tc>
          <w:tcPr>
            <w:tcW w:w="7031" w:type="dxa"/>
            <w:tcBorders/>
            <w:shd w:fill="auto" w:val="clear"/>
            <w:vAlign w:val="bottom"/>
          </w:tcPr>
          <w:p>
            <w:pPr>
              <w:pStyle w:val="TableContents"/>
              <w:spacing w:before="0" w:after="283"/>
              <w:ind w:left="173" w:right="0" w:hanging="173"/>
              <w:jc w:val="center"/>
              <w:rPr/>
            </w:pPr>
            <w:r>
              <w:rPr/>
              <w:t> </w:t>
            </w:r>
          </w:p>
        </w:tc>
        <w:tc>
          <w:tcPr>
            <w:tcW w:w="286" w:type="dxa"/>
            <w:tcBorders/>
            <w:shd w:fill="auto" w:val="clear"/>
            <w:vAlign w:val="bottom"/>
          </w:tcPr>
          <w:p>
            <w:pPr>
              <w:pStyle w:val="TableContents"/>
              <w:spacing w:before="0" w:after="283"/>
              <w:jc w:val="center"/>
              <w:rPr/>
            </w:pPr>
            <w:r>
              <w:rPr/>
              <w:t> </w:t>
            </w:r>
          </w:p>
        </w:tc>
        <w:tc>
          <w:tcPr>
            <w:tcW w:w="984" w:type="dxa"/>
            <w:gridSpan w:val="2"/>
            <w:tcBorders/>
            <w:shd w:fill="auto" w:val="clear"/>
            <w:vAlign w:val="bottom"/>
          </w:tcPr>
          <w:p>
            <w:pPr>
              <w:pStyle w:val="HorizontalLine"/>
              <w:pBdr>
                <w:bottom w:val="single" w:sz="6" w:space="0" w:color="000000"/>
              </w:pBdr>
              <w:spacing w:before="0" w:after="283"/>
              <w:rPr/>
            </w:pPr>
            <w:r>
              <w:rPr/>
            </w:r>
          </w:p>
        </w:tc>
        <w:tc>
          <w:tcPr>
            <w:tcW w:w="292" w:type="dxa"/>
            <w:tcBorders/>
            <w:shd w:fill="auto" w:val="clear"/>
            <w:vAlign w:val="bottom"/>
          </w:tcPr>
          <w:p>
            <w:pPr>
              <w:pStyle w:val="TableContents"/>
              <w:spacing w:before="0" w:after="283"/>
              <w:jc w:val="center"/>
              <w:rPr/>
            </w:pPr>
            <w:r>
              <w:rPr/>
              <w:t> </w:t>
            </w:r>
          </w:p>
        </w:tc>
        <w:tc>
          <w:tcPr>
            <w:tcW w:w="984" w:type="dxa"/>
            <w:gridSpan w:val="2"/>
            <w:tcBorders/>
            <w:shd w:fill="auto" w:val="clear"/>
            <w:vAlign w:val="bottom"/>
          </w:tcPr>
          <w:p>
            <w:pPr>
              <w:pStyle w:val="HorizontalLine"/>
              <w:pBdr>
                <w:bottom w:val="single" w:sz="6" w:space="0" w:color="000000"/>
              </w:pBdr>
              <w:spacing w:before="0" w:after="283"/>
              <w:rPr/>
            </w:pPr>
            <w:r>
              <w:rPr/>
            </w:r>
          </w:p>
        </w:tc>
        <w:tc>
          <w:tcPr>
            <w:tcW w:w="117" w:type="dxa"/>
            <w:tcBorders/>
            <w:shd w:fill="auto" w:val="clear"/>
            <w:vAlign w:val="bottom"/>
          </w:tcPr>
          <w:p>
            <w:pPr>
              <w:pStyle w:val="TableContents"/>
              <w:spacing w:before="0" w:after="283"/>
              <w:jc w:val="center"/>
              <w:rPr/>
            </w:pPr>
            <w:r>
              <w:rPr/>
              <w:t> </w:t>
            </w:r>
          </w:p>
        </w:tc>
      </w:tr>
      <w:tr>
        <w:trPr/>
        <w:tc>
          <w:tcPr>
            <w:tcW w:w="7031" w:type="dxa"/>
            <w:tcBorders/>
            <w:shd w:fill="auto" w:val="clear"/>
            <w:vAlign w:val="bottom"/>
          </w:tcPr>
          <w:p>
            <w:pPr>
              <w:pStyle w:val="TableContents"/>
              <w:spacing w:before="0" w:after="283"/>
              <w:ind w:left="173" w:right="0" w:hanging="173"/>
              <w:jc w:val="center"/>
              <w:rPr/>
            </w:pPr>
            <w:r>
              <w:rPr/>
              <w:t> </w:t>
            </w:r>
          </w:p>
        </w:tc>
        <w:tc>
          <w:tcPr>
            <w:tcW w:w="286" w:type="dxa"/>
            <w:tcBorders/>
            <w:shd w:fill="auto" w:val="clear"/>
            <w:vAlign w:val="bottom"/>
          </w:tcPr>
          <w:p>
            <w:pPr>
              <w:pStyle w:val="TableContents"/>
              <w:spacing w:before="0" w:after="283"/>
              <w:jc w:val="center"/>
              <w:rPr/>
            </w:pPr>
            <w:r>
              <w:rPr/>
              <w:t> </w:t>
            </w:r>
          </w:p>
        </w:tc>
        <w:tc>
          <w:tcPr>
            <w:tcW w:w="2260" w:type="dxa"/>
            <w:gridSpan w:val="5"/>
            <w:tcBorders/>
            <w:shd w:fill="auto" w:val="clear"/>
            <w:vAlign w:val="bottom"/>
          </w:tcPr>
          <w:p>
            <w:pPr>
              <w:pStyle w:val="TableContents"/>
              <w:spacing w:before="0" w:after="283"/>
              <w:jc w:val="center"/>
              <w:rPr>
                <w:b/>
                <w:i/>
                <w:sz w:val="14"/>
              </w:rPr>
            </w:pPr>
            <w:r>
              <w:rPr>
                <w:b/>
                <w:i/>
                <w:sz w:val="14"/>
              </w:rPr>
              <w:t>(dollars in millions)</w:t>
            </w:r>
          </w:p>
        </w:tc>
        <w:tc>
          <w:tcPr>
            <w:tcW w:w="117" w:type="dxa"/>
            <w:tcBorders/>
            <w:shd w:fill="auto" w:val="clear"/>
            <w:vAlign w:val="bottom"/>
          </w:tcPr>
          <w:p>
            <w:pPr>
              <w:pStyle w:val="TableContents"/>
              <w:spacing w:before="0" w:after="283"/>
              <w:jc w:val="center"/>
              <w:rPr/>
            </w:pPr>
            <w:r>
              <w:rPr/>
              <w:t> </w:t>
            </w:r>
          </w:p>
        </w:tc>
      </w:tr>
      <w:tr>
        <w:trPr/>
        <w:tc>
          <w:tcPr>
            <w:tcW w:w="7031" w:type="dxa"/>
            <w:tcBorders/>
            <w:shd w:fill="auto" w:val="clear"/>
            <w:vAlign w:val="bottom"/>
          </w:tcPr>
          <w:p>
            <w:pPr>
              <w:pStyle w:val="TableContents"/>
              <w:spacing w:before="0" w:after="283"/>
              <w:ind w:left="173" w:right="0" w:hanging="173"/>
              <w:jc w:val="center"/>
              <w:rPr/>
            </w:pPr>
            <w:r>
              <w:rPr/>
              <w:t> </w:t>
            </w:r>
          </w:p>
        </w:tc>
        <w:tc>
          <w:tcPr>
            <w:tcW w:w="286" w:type="dxa"/>
            <w:tcBorders/>
            <w:shd w:fill="auto" w:val="clear"/>
            <w:vAlign w:val="bottom"/>
          </w:tcPr>
          <w:p>
            <w:pPr>
              <w:pStyle w:val="TableContents"/>
              <w:spacing w:before="0" w:after="283"/>
              <w:jc w:val="center"/>
              <w:rPr/>
            </w:pPr>
            <w:r>
              <w:rPr/>
              <w:t> </w:t>
            </w:r>
          </w:p>
        </w:tc>
        <w:tc>
          <w:tcPr>
            <w:tcW w:w="2260" w:type="dxa"/>
            <w:gridSpan w:val="5"/>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jc w:val="center"/>
              <w:rPr/>
            </w:pPr>
            <w:r>
              <w:rPr/>
              <w:t> </w:t>
            </w:r>
          </w:p>
        </w:tc>
      </w:tr>
      <w:tr>
        <w:trPr/>
        <w:tc>
          <w:tcPr>
            <w:tcW w:w="7031" w:type="dxa"/>
            <w:tcBorders/>
            <w:shd w:fill="E6E6E6" w:val="clear"/>
            <w:vAlign w:val="bottom"/>
          </w:tcPr>
          <w:p>
            <w:pPr>
              <w:pStyle w:val="TableContents"/>
              <w:spacing w:before="0" w:after="283"/>
              <w:ind w:left="173" w:right="0" w:hanging="173"/>
              <w:rPr>
                <w:sz w:val="20"/>
              </w:rPr>
            </w:pPr>
            <w:r>
              <w:rPr>
                <w:sz w:val="20"/>
              </w:rPr>
              <w:t>Net assets available for benefits per the financial statements</w:t>
            </w:r>
          </w:p>
        </w:tc>
        <w:tc>
          <w:tcPr>
            <w:tcW w:w="286" w:type="dxa"/>
            <w:tcBorders/>
            <w:shd w:fill="E6E6E6" w:val="clear"/>
            <w:vAlign w:val="bottom"/>
          </w:tcPr>
          <w:p>
            <w:pPr>
              <w:pStyle w:val="TableContents"/>
              <w:spacing w:before="0" w:after="283"/>
              <w:rPr/>
            </w:pPr>
            <w:r>
              <w:rPr/>
              <w:t> </w:t>
            </w:r>
          </w:p>
        </w:tc>
        <w:tc>
          <w:tcPr>
            <w:tcW w:w="125" w:type="dxa"/>
            <w:tcBorders/>
            <w:shd w:fill="E6E6E6" w:val="clear"/>
            <w:vAlign w:val="bottom"/>
          </w:tcPr>
          <w:p>
            <w:pPr>
              <w:pStyle w:val="TableContents"/>
              <w:spacing w:before="0" w:after="283"/>
              <w:rPr>
                <w:sz w:val="20"/>
              </w:rPr>
            </w:pPr>
            <w:r>
              <w:rPr>
                <w:sz w:val="20"/>
              </w:rPr>
              <w:t>$</w:t>
            </w:r>
          </w:p>
        </w:tc>
        <w:tc>
          <w:tcPr>
            <w:tcW w:w="859" w:type="dxa"/>
            <w:tcBorders/>
            <w:shd w:fill="E6E6E6" w:val="clear"/>
            <w:vAlign w:val="bottom"/>
          </w:tcPr>
          <w:p>
            <w:pPr>
              <w:pStyle w:val="TableContents"/>
              <w:spacing w:before="0" w:after="283"/>
              <w:jc w:val="right"/>
              <w:rPr>
                <w:sz w:val="20"/>
              </w:rPr>
            </w:pPr>
            <w:r>
              <w:rPr>
                <w:sz w:val="20"/>
              </w:rPr>
              <w:t>8,271</w:t>
            </w:r>
          </w:p>
        </w:tc>
        <w:tc>
          <w:tcPr>
            <w:tcW w:w="292" w:type="dxa"/>
            <w:tcBorders/>
            <w:shd w:fill="E6E6E6" w:val="clear"/>
            <w:vAlign w:val="bottom"/>
          </w:tcPr>
          <w:p>
            <w:pPr>
              <w:pStyle w:val="TableContents"/>
              <w:spacing w:before="0" w:after="283"/>
              <w:rPr/>
            </w:pPr>
            <w:r>
              <w:rPr/>
              <w:t> </w:t>
            </w:r>
          </w:p>
        </w:tc>
        <w:tc>
          <w:tcPr>
            <w:tcW w:w="125" w:type="dxa"/>
            <w:tcBorders/>
            <w:shd w:fill="E6E6E6" w:val="clear"/>
            <w:vAlign w:val="bottom"/>
          </w:tcPr>
          <w:p>
            <w:pPr>
              <w:pStyle w:val="TableContents"/>
              <w:spacing w:before="0" w:after="283"/>
              <w:rPr>
                <w:sz w:val="20"/>
              </w:rPr>
            </w:pPr>
            <w:r>
              <w:rPr>
                <w:sz w:val="20"/>
              </w:rPr>
              <w:t>$</w:t>
            </w:r>
          </w:p>
        </w:tc>
        <w:tc>
          <w:tcPr>
            <w:tcW w:w="859" w:type="dxa"/>
            <w:tcBorders/>
            <w:shd w:fill="E6E6E6" w:val="clear"/>
            <w:vAlign w:val="bottom"/>
          </w:tcPr>
          <w:p>
            <w:pPr>
              <w:pStyle w:val="TableContents"/>
              <w:spacing w:before="0" w:after="283"/>
              <w:jc w:val="right"/>
              <w:rPr>
                <w:sz w:val="20"/>
              </w:rPr>
            </w:pPr>
            <w:r>
              <w:rPr>
                <w:sz w:val="20"/>
              </w:rPr>
              <w:t xml:space="preserve">7,373 </w:t>
            </w:r>
          </w:p>
        </w:tc>
        <w:tc>
          <w:tcPr>
            <w:tcW w:w="117" w:type="dxa"/>
            <w:tcBorders/>
            <w:shd w:fill="E6E6E6" w:val="clear"/>
            <w:vAlign w:val="bottom"/>
          </w:tcPr>
          <w:p>
            <w:pPr>
              <w:pStyle w:val="TableContents"/>
              <w:spacing w:before="0" w:after="283"/>
              <w:rPr/>
            </w:pPr>
            <w:r>
              <w:rPr/>
              <w:t> </w:t>
            </w:r>
          </w:p>
        </w:tc>
      </w:tr>
      <w:tr>
        <w:trPr/>
        <w:tc>
          <w:tcPr>
            <w:tcW w:w="7031" w:type="dxa"/>
            <w:tcBorders/>
            <w:shd w:fill="auto" w:val="clear"/>
            <w:vAlign w:val="bottom"/>
          </w:tcPr>
          <w:p>
            <w:pPr>
              <w:pStyle w:val="TableContents"/>
              <w:spacing w:before="0" w:after="283"/>
              <w:ind w:left="173" w:right="0" w:hanging="173"/>
              <w:rPr>
                <w:sz w:val="20"/>
              </w:rPr>
            </w:pPr>
            <w:r>
              <w:rPr>
                <w:sz w:val="20"/>
              </w:rPr>
              <w:t>Amounts allocated to withdrawing participants</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sz w:val="20"/>
              </w:rPr>
            </w:pPr>
            <w:r>
              <w:rPr>
                <w:sz w:val="20"/>
              </w:rPr>
              <w:t>(4</w:t>
            </w:r>
          </w:p>
        </w:tc>
        <w:tc>
          <w:tcPr>
            <w:tcW w:w="292" w:type="dxa"/>
            <w:tcBorders/>
            <w:shd w:fill="auto" w:val="clear"/>
            <w:vAlign w:val="bottom"/>
          </w:tcPr>
          <w:p>
            <w:pPr>
              <w:pStyle w:val="TableContents"/>
              <w:spacing w:before="0" w:after="283"/>
              <w:rPr>
                <w:sz w:val="20"/>
              </w:rPr>
            </w:pPr>
            <w:r>
              <w:rPr>
                <w:sz w:val="20"/>
              </w:rPr>
              <w:t>)</w:t>
            </w:r>
          </w:p>
        </w:tc>
        <w:tc>
          <w:tcPr>
            <w:tcW w:w="12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sz w:val="20"/>
              </w:rPr>
            </w:pPr>
            <w:r>
              <w:rPr>
                <w:sz w:val="20"/>
              </w:rPr>
              <w:t>(2</w:t>
            </w:r>
          </w:p>
        </w:tc>
        <w:tc>
          <w:tcPr>
            <w:tcW w:w="117" w:type="dxa"/>
            <w:tcBorders/>
            <w:shd w:fill="auto" w:val="clear"/>
            <w:vAlign w:val="bottom"/>
          </w:tcPr>
          <w:p>
            <w:pPr>
              <w:pStyle w:val="TableContents"/>
              <w:spacing w:before="0" w:after="283"/>
              <w:rPr>
                <w:sz w:val="20"/>
              </w:rPr>
            </w:pPr>
            <w:r>
              <w:rPr>
                <w:sz w:val="20"/>
              </w:rPr>
              <w:t>)</w:t>
            </w:r>
          </w:p>
        </w:tc>
      </w:tr>
      <w:tr>
        <w:trPr/>
        <w:tc>
          <w:tcPr>
            <w:tcW w:w="7031" w:type="dxa"/>
            <w:tcBorders/>
            <w:shd w:fill="E6E6E6" w:val="clear"/>
            <w:vAlign w:val="bottom"/>
          </w:tcPr>
          <w:p>
            <w:pPr>
              <w:pStyle w:val="TableContents"/>
              <w:spacing w:before="0" w:after="283"/>
              <w:ind w:left="173" w:right="0" w:hanging="173"/>
              <w:rPr>
                <w:sz w:val="20"/>
              </w:rPr>
            </w:pPr>
            <w:r>
              <w:rPr>
                <w:sz w:val="20"/>
              </w:rPr>
              <w:t>Adjustment from fair value to contract value for benefit-responsive contracts</w:t>
            </w:r>
          </w:p>
        </w:tc>
        <w:tc>
          <w:tcPr>
            <w:tcW w:w="286" w:type="dxa"/>
            <w:tcBorders/>
            <w:shd w:fill="E6E6E6" w:val="clear"/>
            <w:vAlign w:val="bottom"/>
          </w:tcPr>
          <w:p>
            <w:pPr>
              <w:pStyle w:val="TableContents"/>
              <w:spacing w:before="0" w:after="283"/>
              <w:rPr/>
            </w:pPr>
            <w:r>
              <w:rPr/>
              <w:t> </w:t>
            </w:r>
          </w:p>
        </w:tc>
        <w:tc>
          <w:tcPr>
            <w:tcW w:w="125" w:type="dxa"/>
            <w:tcBorders/>
            <w:shd w:fill="E6E6E6" w:val="clear"/>
            <w:vAlign w:val="bottom"/>
          </w:tcPr>
          <w:p>
            <w:pPr>
              <w:pStyle w:val="TableContents"/>
              <w:spacing w:before="0" w:after="283"/>
              <w:rPr/>
            </w:pPr>
            <w:r>
              <w:rPr/>
              <w:t> </w:t>
            </w:r>
          </w:p>
        </w:tc>
        <w:tc>
          <w:tcPr>
            <w:tcW w:w="859" w:type="dxa"/>
            <w:tcBorders/>
            <w:shd w:fill="E6E6E6" w:val="clear"/>
            <w:vAlign w:val="bottom"/>
          </w:tcPr>
          <w:p>
            <w:pPr>
              <w:pStyle w:val="TableContents"/>
              <w:spacing w:before="0" w:after="283"/>
              <w:jc w:val="right"/>
              <w:rPr>
                <w:sz w:val="20"/>
              </w:rPr>
            </w:pPr>
            <w:r>
              <w:rPr>
                <w:sz w:val="20"/>
              </w:rPr>
              <w:t>(4</w:t>
            </w:r>
          </w:p>
        </w:tc>
        <w:tc>
          <w:tcPr>
            <w:tcW w:w="292" w:type="dxa"/>
            <w:tcBorders/>
            <w:shd w:fill="E6E6E6" w:val="clear"/>
            <w:vAlign w:val="bottom"/>
          </w:tcPr>
          <w:p>
            <w:pPr>
              <w:pStyle w:val="TableContents"/>
              <w:spacing w:before="0" w:after="283"/>
              <w:rPr>
                <w:sz w:val="20"/>
              </w:rPr>
            </w:pPr>
            <w:r>
              <w:rPr>
                <w:sz w:val="20"/>
              </w:rPr>
              <w:t>)</w:t>
            </w:r>
          </w:p>
        </w:tc>
        <w:tc>
          <w:tcPr>
            <w:tcW w:w="125" w:type="dxa"/>
            <w:tcBorders/>
            <w:shd w:fill="E6E6E6" w:val="clear"/>
            <w:vAlign w:val="bottom"/>
          </w:tcPr>
          <w:p>
            <w:pPr>
              <w:pStyle w:val="TableContents"/>
              <w:spacing w:before="0" w:after="283"/>
              <w:rPr/>
            </w:pPr>
            <w:r>
              <w:rPr/>
              <w:t> </w:t>
            </w:r>
          </w:p>
        </w:tc>
        <w:tc>
          <w:tcPr>
            <w:tcW w:w="859" w:type="dxa"/>
            <w:tcBorders/>
            <w:shd w:fill="E6E6E6" w:val="clear"/>
            <w:vAlign w:val="bottom"/>
          </w:tcPr>
          <w:p>
            <w:pPr>
              <w:pStyle w:val="TableContents"/>
              <w:spacing w:before="0" w:after="283"/>
              <w:jc w:val="right"/>
              <w:rPr>
                <w:sz w:val="20"/>
              </w:rPr>
            </w:pPr>
            <w:r>
              <w:rPr>
                <w:sz w:val="20"/>
              </w:rPr>
              <w:t></w:t>
            </w:r>
          </w:p>
        </w:tc>
        <w:tc>
          <w:tcPr>
            <w:tcW w:w="117" w:type="dxa"/>
            <w:tcBorders/>
            <w:shd w:fill="E6E6E6" w:val="clear"/>
            <w:vAlign w:val="bottom"/>
          </w:tcPr>
          <w:p>
            <w:pPr>
              <w:pStyle w:val="TableContents"/>
              <w:spacing w:before="0" w:after="283"/>
              <w:rPr/>
            </w:pPr>
            <w:r>
              <w:rPr/>
              <w:t> </w:t>
            </w:r>
          </w:p>
        </w:tc>
      </w:tr>
      <w:tr>
        <w:trPr/>
        <w:tc>
          <w:tcPr>
            <w:tcW w:w="7031" w:type="dxa"/>
            <w:tcBorders/>
            <w:shd w:fill="auto" w:val="clear"/>
            <w:vAlign w:val="bottom"/>
          </w:tcPr>
          <w:p>
            <w:pPr>
              <w:pStyle w:val="TableContents"/>
              <w:spacing w:before="0" w:after="283"/>
              <w:ind w:left="173" w:right="0" w:hanging="17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808080"/>
              </w:pBdr>
              <w:spacing w:before="0" w:after="283"/>
              <w:rPr/>
            </w:pPr>
            <w:r>
              <w:rPr/>
            </w:r>
          </w:p>
        </w:tc>
        <w:tc>
          <w:tcPr>
            <w:tcW w:w="859" w:type="dxa"/>
            <w:tcBorders/>
            <w:shd w:fill="auto" w:val="clear"/>
            <w:vAlign w:val="bottom"/>
          </w:tcPr>
          <w:p>
            <w:pPr>
              <w:pStyle w:val="HorizontalLine"/>
              <w:pBdr>
                <w:bottom w:val="single" w:sz="6" w:space="0" w:color="808080"/>
              </w:pBdr>
              <w:spacing w:before="0" w:after="283"/>
              <w:rPr/>
            </w:pPr>
            <w:r>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808080"/>
              </w:pBdr>
              <w:spacing w:before="0" w:after="283"/>
              <w:rPr/>
            </w:pPr>
            <w:r>
              <w:rPr/>
            </w:r>
          </w:p>
        </w:tc>
        <w:tc>
          <w:tcPr>
            <w:tcW w:w="859" w:type="dxa"/>
            <w:tcBorders/>
            <w:shd w:fill="auto" w:val="clear"/>
            <w:vAlign w:val="bottom"/>
          </w:tcPr>
          <w:p>
            <w:pPr>
              <w:pStyle w:val="HorizontalLine"/>
              <w:pBdr>
                <w:bottom w:val="single" w:sz="6" w:space="0" w:color="808080"/>
              </w:pBdr>
              <w:spacing w:before="0" w:after="283"/>
              <w:rPr/>
            </w:pPr>
            <w:r>
              <w:rPr/>
            </w:r>
          </w:p>
        </w:tc>
        <w:tc>
          <w:tcPr>
            <w:tcW w:w="117" w:type="dxa"/>
            <w:tcBorders/>
            <w:shd w:fill="auto" w:val="clear"/>
            <w:vAlign w:val="bottom"/>
          </w:tcPr>
          <w:p>
            <w:pPr>
              <w:pStyle w:val="TableContents"/>
              <w:spacing w:before="0" w:after="283"/>
              <w:rPr/>
            </w:pPr>
            <w:r>
              <w:rPr/>
              <w:t> </w:t>
            </w:r>
          </w:p>
        </w:tc>
      </w:tr>
      <w:tr>
        <w:trPr/>
        <w:tc>
          <w:tcPr>
            <w:tcW w:w="7031" w:type="dxa"/>
            <w:tcBorders/>
            <w:shd w:fill="auto" w:val="clear"/>
            <w:vAlign w:val="bottom"/>
          </w:tcPr>
          <w:p>
            <w:pPr>
              <w:pStyle w:val="TableContents"/>
              <w:spacing w:before="0" w:after="283"/>
              <w:ind w:left="173" w:right="0" w:hanging="173"/>
              <w:rPr>
                <w:sz w:val="20"/>
              </w:rPr>
            </w:pPr>
            <w:r>
              <w:rPr>
                <w:sz w:val="20"/>
              </w:rPr>
              <w:t>Net assets available for benefits per the Form 5500</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20"/>
              </w:rPr>
            </w:pPr>
            <w:r>
              <w:rPr>
                <w:sz w:val="20"/>
              </w:rPr>
              <w:t>$</w:t>
            </w:r>
          </w:p>
        </w:tc>
        <w:tc>
          <w:tcPr>
            <w:tcW w:w="859" w:type="dxa"/>
            <w:tcBorders/>
            <w:shd w:fill="auto" w:val="clear"/>
            <w:vAlign w:val="bottom"/>
          </w:tcPr>
          <w:p>
            <w:pPr>
              <w:pStyle w:val="TableContents"/>
              <w:spacing w:before="0" w:after="283"/>
              <w:jc w:val="right"/>
              <w:rPr>
                <w:sz w:val="20"/>
              </w:rPr>
            </w:pPr>
            <w:r>
              <w:rPr>
                <w:sz w:val="20"/>
              </w:rPr>
              <w:t>8,263</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20"/>
              </w:rPr>
            </w:pPr>
            <w:r>
              <w:rPr>
                <w:sz w:val="20"/>
              </w:rPr>
              <w:t>$</w:t>
            </w:r>
          </w:p>
        </w:tc>
        <w:tc>
          <w:tcPr>
            <w:tcW w:w="859" w:type="dxa"/>
            <w:tcBorders/>
            <w:shd w:fill="auto" w:val="clear"/>
            <w:vAlign w:val="bottom"/>
          </w:tcPr>
          <w:p>
            <w:pPr>
              <w:pStyle w:val="TableContents"/>
              <w:spacing w:before="0" w:after="283"/>
              <w:jc w:val="right"/>
              <w:rPr>
                <w:sz w:val="20"/>
              </w:rPr>
            </w:pPr>
            <w:r>
              <w:rPr>
                <w:sz w:val="20"/>
              </w:rPr>
              <w:t xml:space="preserve">7,371 </w:t>
            </w:r>
          </w:p>
        </w:tc>
        <w:tc>
          <w:tcPr>
            <w:tcW w:w="117" w:type="dxa"/>
            <w:tcBorders/>
            <w:shd w:fill="auto" w:val="clear"/>
            <w:vAlign w:val="bottom"/>
          </w:tcPr>
          <w:p>
            <w:pPr>
              <w:pStyle w:val="TableContents"/>
              <w:spacing w:before="0" w:after="283"/>
              <w:rPr/>
            </w:pPr>
            <w:r>
              <w:rPr/>
              <w:t> </w:t>
            </w:r>
          </w:p>
        </w:tc>
      </w:tr>
      <w:tr>
        <w:trPr/>
        <w:tc>
          <w:tcPr>
            <w:tcW w:w="7031" w:type="dxa"/>
            <w:tcBorders/>
            <w:shd w:fill="auto" w:val="clear"/>
            <w:vAlign w:val="bottom"/>
          </w:tcPr>
          <w:p>
            <w:pPr>
              <w:pStyle w:val="TableContents"/>
              <w:spacing w:before="0" w:after="283"/>
              <w:ind w:left="173" w:right="0" w:hanging="17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808080"/>
              </w:pBdr>
              <w:spacing w:before="0" w:after="283"/>
              <w:rPr/>
            </w:pPr>
            <w:r>
              <w:rPr/>
            </w:r>
          </w:p>
        </w:tc>
        <w:tc>
          <w:tcPr>
            <w:tcW w:w="859" w:type="dxa"/>
            <w:tcBorders/>
            <w:shd w:fill="auto" w:val="clear"/>
            <w:vAlign w:val="bottom"/>
          </w:tcPr>
          <w:p>
            <w:pPr>
              <w:pStyle w:val="HorizontalLine"/>
              <w:pBdr>
                <w:bottom w:val="single" w:sz="18" w:space="0" w:color="808080"/>
              </w:pBdr>
              <w:spacing w:before="0" w:after="283"/>
              <w:rPr/>
            </w:pPr>
            <w:r>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808080"/>
              </w:pBdr>
              <w:spacing w:before="0" w:after="283"/>
              <w:rPr/>
            </w:pPr>
            <w:r>
              <w:rPr/>
            </w:r>
          </w:p>
        </w:tc>
        <w:tc>
          <w:tcPr>
            <w:tcW w:w="859" w:type="dxa"/>
            <w:tcBorders/>
            <w:shd w:fill="auto" w:val="clear"/>
            <w:vAlign w:val="bottom"/>
          </w:tcPr>
          <w:p>
            <w:pPr>
              <w:pStyle w:val="HorizontalLine"/>
              <w:pBdr>
                <w:bottom w:val="single" w:sz="18" w:space="0" w:color="808080"/>
              </w:pBdr>
              <w:spacing w:before="0" w:after="283"/>
              <w:rPr/>
            </w:pPr>
            <w:r>
              <w:rPr/>
            </w:r>
          </w:p>
        </w:tc>
        <w:tc>
          <w:tcPr>
            <w:tcW w:w="117" w:type="dxa"/>
            <w:tcBorders/>
            <w:shd w:fill="auto" w:val="clear"/>
            <w:vAlign w:val="bottom"/>
          </w:tcPr>
          <w:p>
            <w:pPr>
              <w:pStyle w:val="TableContents"/>
              <w:spacing w:before="0" w:after="283"/>
              <w:rPr/>
            </w:pPr>
            <w:r>
              <w:rPr/>
              <w:t> </w:t>
            </w:r>
          </w:p>
        </w:tc>
      </w:tr>
    </w:tbl>
    <w:p>
      <w:pPr>
        <w:pStyle w:val="TextBody"/>
        <w:jc w:val="center"/>
        <w:rPr>
          <w:sz w:val="20"/>
        </w:rPr>
      </w:pPr>
      <w:r>
        <w:rPr>
          <w:sz w:val="20"/>
        </w:rPr>
        <w:t>12</w:t>
      </w:r>
    </w:p>
    <w:p>
      <w:pPr>
        <w:pStyle w:val="HorizontalLine"/>
        <w:pBdr>
          <w:bottom w:val="single" w:sz="24" w:space="0" w:color="808080"/>
        </w:pBdr>
        <w:rPr/>
      </w:pPr>
      <w:r>
        <w:rPr/>
      </w:r>
      <w:r>
        <w:br w:type="page"/>
      </w:r>
    </w:p>
    <w:p>
      <w:pPr>
        <w:pStyle w:val="TextBody"/>
        <w:rPr>
          <w:rFonts w:ascii="ARIAL" w:hAnsi="ARIAL"/>
          <w:b/>
          <w:sz w:val="28"/>
        </w:rPr>
      </w:pPr>
      <w:r>
        <w:rPr>
          <w:rFonts w:ascii="ARIAL" w:hAnsi="ARIAL"/>
          <w:b/>
          <w:sz w:val="28"/>
        </w:rPr>
        <w:t xml:space="preserve">Honeywell Savings and Ownership Plan </w:t>
      </w:r>
    </w:p>
    <w:tbl>
      <w:tblPr>
        <w:tblW w:w="5000" w:type="pct"/>
        <w:jc w:val="center"/>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283"/>
              <w:rPr/>
            </w:pPr>
            <w:r>
              <w:rPr/>
              <w:t> </w:t>
            </w:r>
          </w:p>
        </w:tc>
        <w:tc>
          <w:tcPr>
            <w:tcW w:w="9484" w:type="dxa"/>
            <w:tcBorders/>
            <w:shd w:fill="auto" w:val="clear"/>
          </w:tcPr>
          <w:p>
            <w:pPr>
              <w:pStyle w:val="TableContents"/>
              <w:spacing w:before="0" w:after="283"/>
              <w:rPr/>
            </w:pPr>
            <w:r>
              <w:rPr/>
              <w:t> </w:t>
            </w:r>
          </w:p>
        </w:tc>
      </w:tr>
      <w:tr>
        <w:trPr/>
        <w:tc>
          <w:tcPr>
            <w:tcW w:w="10205" w:type="dxa"/>
            <w:gridSpan w:val="2"/>
            <w:tcBorders/>
            <w:shd w:fill="auto" w:val="clear"/>
          </w:tcPr>
          <w:p>
            <w:pPr>
              <w:pStyle w:val="TableContents"/>
              <w:spacing w:before="0" w:after="283"/>
              <w:rPr>
                <w:rFonts w:ascii="ARIAL" w:hAnsi="ARIAL"/>
                <w:b/>
                <w:sz w:val="24"/>
              </w:rPr>
            </w:pPr>
            <w:r>
              <w:rPr>
                <w:rFonts w:ascii="ARIAL" w:hAnsi="ARIAL"/>
                <w:b/>
                <w:sz w:val="24"/>
              </w:rPr>
              <w:t>Notes to Financial Statements</w:t>
            </w:r>
          </w:p>
        </w:tc>
      </w:tr>
      <w:tr>
        <w:trPr/>
        <w:tc>
          <w:tcPr>
            <w:tcW w:w="10205" w:type="dxa"/>
            <w:gridSpan w:val="2"/>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283"/>
              <w:rPr/>
            </w:pPr>
            <w:r>
              <w:rPr/>
              <w:t> </w:t>
            </w:r>
          </w:p>
        </w:tc>
        <w:tc>
          <w:tcPr>
            <w:tcW w:w="9700" w:type="dxa"/>
            <w:tcBorders/>
            <w:shd w:fill="auto" w:val="clear"/>
          </w:tcPr>
          <w:p>
            <w:pPr>
              <w:pStyle w:val="TableContents"/>
              <w:spacing w:before="0" w:after="283"/>
              <w:rPr/>
            </w:pPr>
            <w:r>
              <w:rPr/>
              <w:t> </w:t>
            </w:r>
          </w:p>
        </w:tc>
      </w:tr>
      <w:tr>
        <w:trPr/>
        <w:tc>
          <w:tcPr>
            <w:tcW w:w="505" w:type="dxa"/>
            <w:tcBorders/>
            <w:shd w:fill="auto" w:val="clear"/>
          </w:tcPr>
          <w:p>
            <w:pPr>
              <w:pStyle w:val="TableContents"/>
              <w:spacing w:before="0" w:after="283"/>
              <w:rPr/>
            </w:pPr>
            <w:r>
              <w:rPr/>
              <w:t> </w:t>
            </w:r>
          </w:p>
        </w:tc>
        <w:tc>
          <w:tcPr>
            <w:tcW w:w="9700" w:type="dxa"/>
            <w:tcBorders/>
            <w:shd w:fill="auto" w:val="clear"/>
          </w:tcPr>
          <w:p>
            <w:pPr>
              <w:pStyle w:val="TableContents"/>
              <w:spacing w:before="0" w:after="283"/>
              <w:rPr>
                <w:sz w:val="20"/>
              </w:rPr>
            </w:pPr>
            <w:r>
              <w:rPr>
                <w:sz w:val="20"/>
              </w:rPr>
              <w:t>The following is a reconciliation of benefits paid to participants per the financial statements for the year ended December 31, 2006 to Form 5500:</w:t>
            </w:r>
          </w:p>
        </w:tc>
      </w:tr>
    </w:tbl>
    <w:p>
      <w:pPr>
        <w:pStyle w:val="TextBody"/>
        <w:spacing w:before="0" w:after="0"/>
        <w:rPr/>
      </w:pPr>
      <w:r>
        <w:rPr/>
      </w:r>
    </w:p>
    <w:tbl>
      <w:tblPr>
        <w:tblW w:w="4750" w:type="pct"/>
        <w:jc w:val="center"/>
        <w:tblInd w:w="0" w:type="dxa"/>
        <w:tblCellMar>
          <w:top w:w="0" w:type="dxa"/>
          <w:left w:w="0" w:type="dxa"/>
          <w:bottom w:w="0" w:type="dxa"/>
          <w:right w:w="0" w:type="dxa"/>
        </w:tblCellMar>
      </w:tblPr>
      <w:tblGrid>
        <w:gridCol w:w="7990"/>
        <w:gridCol w:w="206"/>
        <w:gridCol w:w="139"/>
        <w:gridCol w:w="1243"/>
        <w:gridCol w:w="116"/>
      </w:tblGrid>
      <w:tr>
        <w:trPr/>
        <w:tc>
          <w:tcPr>
            <w:tcW w:w="799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 </w:t>
            </w:r>
          </w:p>
        </w:tc>
        <w:tc>
          <w:tcPr>
            <w:tcW w:w="116" w:type="dxa"/>
            <w:tcBorders/>
            <w:shd w:fill="auto" w:val="clear"/>
            <w:vAlign w:val="bottom"/>
          </w:tcPr>
          <w:p>
            <w:pPr>
              <w:pStyle w:val="TableContents"/>
              <w:spacing w:before="0" w:after="283"/>
              <w:rPr/>
            </w:pPr>
            <w:r>
              <w:rPr/>
              <w:t> </w:t>
            </w:r>
          </w:p>
        </w:tc>
      </w:tr>
      <w:tr>
        <w:trPr/>
        <w:tc>
          <w:tcPr>
            <w:tcW w:w="7990"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jc w:val="center"/>
              <w:rPr/>
            </w:pPr>
            <w:r>
              <w:rPr/>
              <w:t> </w:t>
            </w:r>
          </w:p>
        </w:tc>
        <w:tc>
          <w:tcPr>
            <w:tcW w:w="1382" w:type="dxa"/>
            <w:gridSpan w:val="2"/>
            <w:tcBorders/>
            <w:shd w:fill="auto" w:val="clear"/>
            <w:vAlign w:val="bottom"/>
          </w:tcPr>
          <w:p>
            <w:pPr>
              <w:pStyle w:val="TableContents"/>
              <w:spacing w:before="0" w:after="283"/>
              <w:jc w:val="center"/>
              <w:rPr>
                <w:b/>
                <w:sz w:val="14"/>
              </w:rPr>
            </w:pPr>
            <w:r>
              <w:rPr>
                <w:b/>
                <w:sz w:val="14"/>
              </w:rPr>
              <w:t>2006</w:t>
            </w:r>
          </w:p>
        </w:tc>
        <w:tc>
          <w:tcPr>
            <w:tcW w:w="116" w:type="dxa"/>
            <w:tcBorders/>
            <w:shd w:fill="auto" w:val="clear"/>
            <w:vAlign w:val="bottom"/>
          </w:tcPr>
          <w:p>
            <w:pPr>
              <w:pStyle w:val="TableContents"/>
              <w:spacing w:before="0" w:after="283"/>
              <w:jc w:val="center"/>
              <w:rPr/>
            </w:pPr>
            <w:r>
              <w:rPr/>
              <w:t> </w:t>
            </w:r>
          </w:p>
        </w:tc>
      </w:tr>
      <w:tr>
        <w:trPr/>
        <w:tc>
          <w:tcPr>
            <w:tcW w:w="7990"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jc w:val="center"/>
              <w:rPr/>
            </w:pPr>
            <w:r>
              <w:rPr/>
              <w:t> </w:t>
            </w:r>
          </w:p>
        </w:tc>
        <w:tc>
          <w:tcPr>
            <w:tcW w:w="1382" w:type="dxa"/>
            <w:gridSpan w:val="2"/>
            <w:tcBorders/>
            <w:shd w:fill="auto" w:val="clear"/>
            <w:vAlign w:val="bottom"/>
          </w:tcPr>
          <w:p>
            <w:pPr>
              <w:pStyle w:val="HorizontalLine"/>
              <w:pBdr>
                <w:bottom w:val="single" w:sz="6" w:space="0" w:color="000000"/>
              </w:pBdr>
              <w:spacing w:before="0" w:after="283"/>
              <w:rPr/>
            </w:pPr>
            <w:r>
              <w:rPr/>
            </w:r>
          </w:p>
        </w:tc>
        <w:tc>
          <w:tcPr>
            <w:tcW w:w="116" w:type="dxa"/>
            <w:tcBorders/>
            <w:shd w:fill="auto" w:val="clear"/>
            <w:vAlign w:val="bottom"/>
          </w:tcPr>
          <w:p>
            <w:pPr>
              <w:pStyle w:val="TableContents"/>
              <w:spacing w:before="0" w:after="283"/>
              <w:jc w:val="center"/>
              <w:rPr/>
            </w:pPr>
            <w:r>
              <w:rPr/>
              <w:t> </w:t>
            </w:r>
          </w:p>
        </w:tc>
      </w:tr>
      <w:tr>
        <w:trPr/>
        <w:tc>
          <w:tcPr>
            <w:tcW w:w="7990"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jc w:val="center"/>
              <w:rPr/>
            </w:pPr>
            <w:r>
              <w:rPr/>
              <w:t> </w:t>
            </w:r>
          </w:p>
        </w:tc>
        <w:tc>
          <w:tcPr>
            <w:tcW w:w="1382" w:type="dxa"/>
            <w:gridSpan w:val="2"/>
            <w:tcBorders/>
            <w:shd w:fill="auto" w:val="clear"/>
            <w:vAlign w:val="bottom"/>
          </w:tcPr>
          <w:p>
            <w:pPr>
              <w:pStyle w:val="TableContents"/>
              <w:spacing w:before="0" w:after="283"/>
              <w:jc w:val="center"/>
              <w:rPr>
                <w:b/>
                <w:i/>
                <w:sz w:val="14"/>
              </w:rPr>
            </w:pPr>
            <w:r>
              <w:rPr>
                <w:b/>
                <w:i/>
                <w:sz w:val="14"/>
              </w:rPr>
              <w:t>(dollars in millions)</w:t>
            </w:r>
          </w:p>
        </w:tc>
        <w:tc>
          <w:tcPr>
            <w:tcW w:w="116" w:type="dxa"/>
            <w:tcBorders/>
            <w:shd w:fill="auto" w:val="clear"/>
            <w:vAlign w:val="bottom"/>
          </w:tcPr>
          <w:p>
            <w:pPr>
              <w:pStyle w:val="TableContents"/>
              <w:spacing w:before="0" w:after="283"/>
              <w:jc w:val="center"/>
              <w:rPr/>
            </w:pPr>
            <w:r>
              <w:rPr/>
              <w:t> </w:t>
            </w:r>
          </w:p>
        </w:tc>
      </w:tr>
      <w:tr>
        <w:trPr/>
        <w:tc>
          <w:tcPr>
            <w:tcW w:w="7990" w:type="dxa"/>
            <w:tcBorders/>
            <w:shd w:fill="E6E6E6" w:val="clear"/>
            <w:vAlign w:val="bottom"/>
          </w:tcPr>
          <w:p>
            <w:pPr>
              <w:pStyle w:val="TableContents"/>
              <w:spacing w:before="0" w:after="283"/>
              <w:rPr>
                <w:sz w:val="20"/>
              </w:rPr>
            </w:pPr>
            <w:r>
              <w:rPr>
                <w:sz w:val="20"/>
              </w:rPr>
              <w:t>Benefits paid to participants per the financial statements</w:t>
            </w:r>
          </w:p>
        </w:tc>
        <w:tc>
          <w:tcPr>
            <w:tcW w:w="206" w:type="dxa"/>
            <w:tcBorders/>
            <w:shd w:fill="E6E6E6" w:val="clear"/>
            <w:vAlign w:val="bottom"/>
          </w:tcPr>
          <w:p>
            <w:pPr>
              <w:pStyle w:val="TableContents"/>
              <w:spacing w:before="0" w:after="283"/>
              <w:rPr/>
            </w:pPr>
            <w:r>
              <w:rPr/>
              <w:t> </w:t>
            </w:r>
          </w:p>
        </w:tc>
        <w:tc>
          <w:tcPr>
            <w:tcW w:w="139" w:type="dxa"/>
            <w:tcBorders/>
            <w:shd w:fill="E6E6E6" w:val="clear"/>
            <w:vAlign w:val="bottom"/>
          </w:tcPr>
          <w:p>
            <w:pPr>
              <w:pStyle w:val="TableContents"/>
              <w:spacing w:before="0" w:after="283"/>
              <w:rPr>
                <w:sz w:val="20"/>
              </w:rPr>
            </w:pPr>
            <w:r>
              <w:rPr>
                <w:sz w:val="20"/>
              </w:rPr>
              <w:t>$</w:t>
            </w:r>
          </w:p>
        </w:tc>
        <w:tc>
          <w:tcPr>
            <w:tcW w:w="1243" w:type="dxa"/>
            <w:tcBorders/>
            <w:shd w:fill="E6E6E6" w:val="clear"/>
            <w:vAlign w:val="bottom"/>
          </w:tcPr>
          <w:p>
            <w:pPr>
              <w:pStyle w:val="TableContents"/>
              <w:spacing w:before="0" w:after="283"/>
              <w:jc w:val="right"/>
              <w:rPr>
                <w:sz w:val="20"/>
              </w:rPr>
            </w:pPr>
            <w:r>
              <w:rPr>
                <w:sz w:val="20"/>
              </w:rPr>
              <w:t xml:space="preserve">770 </w:t>
            </w:r>
          </w:p>
        </w:tc>
        <w:tc>
          <w:tcPr>
            <w:tcW w:w="116" w:type="dxa"/>
            <w:tcBorders/>
            <w:shd w:fill="E6E6E6" w:val="clear"/>
            <w:vAlign w:val="bottom"/>
          </w:tcPr>
          <w:p>
            <w:pPr>
              <w:pStyle w:val="TableContents"/>
              <w:spacing w:before="0" w:after="283"/>
              <w:rPr/>
            </w:pPr>
            <w:r>
              <w:rPr/>
              <w:t> </w:t>
            </w:r>
          </w:p>
        </w:tc>
      </w:tr>
      <w:tr>
        <w:trPr/>
        <w:tc>
          <w:tcPr>
            <w:tcW w:w="7990" w:type="dxa"/>
            <w:tcBorders/>
            <w:shd w:fill="auto" w:val="clear"/>
            <w:vAlign w:val="bottom"/>
          </w:tcPr>
          <w:p>
            <w:pPr>
              <w:pStyle w:val="TableContents"/>
              <w:spacing w:before="0" w:after="283"/>
              <w:rPr>
                <w:sz w:val="20"/>
              </w:rPr>
            </w:pPr>
            <w:r>
              <w:rPr>
                <w:sz w:val="20"/>
              </w:rPr>
              <w:t>Add: Amounts allocated to withdrawing participants at December 31, 2006</w:t>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sz w:val="20"/>
              </w:rPr>
            </w:pPr>
            <w:r>
              <w:rPr>
                <w:sz w:val="20"/>
              </w:rPr>
              <w:t xml:space="preserve">4 </w:t>
            </w:r>
          </w:p>
        </w:tc>
        <w:tc>
          <w:tcPr>
            <w:tcW w:w="116" w:type="dxa"/>
            <w:tcBorders/>
            <w:shd w:fill="auto" w:val="clear"/>
            <w:vAlign w:val="bottom"/>
          </w:tcPr>
          <w:p>
            <w:pPr>
              <w:pStyle w:val="TableContents"/>
              <w:spacing w:before="0" w:after="283"/>
              <w:rPr/>
            </w:pPr>
            <w:r>
              <w:rPr/>
              <w:t> </w:t>
            </w:r>
          </w:p>
        </w:tc>
      </w:tr>
      <w:tr>
        <w:trPr/>
        <w:tc>
          <w:tcPr>
            <w:tcW w:w="7990" w:type="dxa"/>
            <w:tcBorders/>
            <w:shd w:fill="E6E6E6" w:val="clear"/>
            <w:vAlign w:val="bottom"/>
          </w:tcPr>
          <w:p>
            <w:pPr>
              <w:pStyle w:val="TableContents"/>
              <w:spacing w:before="0" w:after="283"/>
              <w:rPr>
                <w:sz w:val="20"/>
              </w:rPr>
            </w:pPr>
            <w:r>
              <w:rPr>
                <w:sz w:val="20"/>
              </w:rPr>
              <w:t>Less: Amounts allocated to withdrawing participants at December 31, 2005</w:t>
            </w:r>
          </w:p>
        </w:tc>
        <w:tc>
          <w:tcPr>
            <w:tcW w:w="206" w:type="dxa"/>
            <w:tcBorders/>
            <w:shd w:fill="E6E6E6" w:val="clear"/>
            <w:vAlign w:val="bottom"/>
          </w:tcPr>
          <w:p>
            <w:pPr>
              <w:pStyle w:val="TableContents"/>
              <w:spacing w:before="0" w:after="283"/>
              <w:rPr/>
            </w:pPr>
            <w:r>
              <w:rPr/>
              <w:t> </w:t>
            </w:r>
          </w:p>
        </w:tc>
        <w:tc>
          <w:tcPr>
            <w:tcW w:w="139" w:type="dxa"/>
            <w:tcBorders/>
            <w:shd w:fill="E6E6E6" w:val="clear"/>
            <w:vAlign w:val="bottom"/>
          </w:tcPr>
          <w:p>
            <w:pPr>
              <w:pStyle w:val="TableContents"/>
              <w:spacing w:before="0" w:after="283"/>
              <w:rPr/>
            </w:pPr>
            <w:r>
              <w:rPr/>
              <w:t> </w:t>
            </w:r>
          </w:p>
        </w:tc>
        <w:tc>
          <w:tcPr>
            <w:tcW w:w="1243" w:type="dxa"/>
            <w:tcBorders/>
            <w:shd w:fill="E6E6E6" w:val="clear"/>
            <w:vAlign w:val="bottom"/>
          </w:tcPr>
          <w:p>
            <w:pPr>
              <w:pStyle w:val="TableContents"/>
              <w:spacing w:before="0" w:after="283"/>
              <w:jc w:val="right"/>
              <w:rPr>
                <w:sz w:val="20"/>
              </w:rPr>
            </w:pPr>
            <w:r>
              <w:rPr>
                <w:sz w:val="20"/>
              </w:rPr>
              <w:t xml:space="preserve">2 </w:t>
            </w:r>
          </w:p>
        </w:tc>
        <w:tc>
          <w:tcPr>
            <w:tcW w:w="116" w:type="dxa"/>
            <w:tcBorders/>
            <w:shd w:fill="E6E6E6" w:val="clear"/>
            <w:vAlign w:val="bottom"/>
          </w:tcPr>
          <w:p>
            <w:pPr>
              <w:pStyle w:val="TableContents"/>
              <w:spacing w:before="0" w:after="283"/>
              <w:rPr/>
            </w:pPr>
            <w:r>
              <w:rPr/>
              <w:t> </w:t>
            </w:r>
          </w:p>
        </w:tc>
      </w:tr>
      <w:tr>
        <w:trPr/>
        <w:tc>
          <w:tcPr>
            <w:tcW w:w="799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808080"/>
              </w:pBdr>
              <w:spacing w:before="0" w:after="283"/>
              <w:rPr/>
            </w:pPr>
            <w:r>
              <w:rPr/>
            </w:r>
          </w:p>
        </w:tc>
        <w:tc>
          <w:tcPr>
            <w:tcW w:w="1243" w:type="dxa"/>
            <w:tcBorders/>
            <w:shd w:fill="auto" w:val="clear"/>
            <w:vAlign w:val="bottom"/>
          </w:tcPr>
          <w:p>
            <w:pPr>
              <w:pStyle w:val="HorizontalLine"/>
              <w:pBdr>
                <w:bottom w:val="single" w:sz="6" w:space="0" w:color="808080"/>
              </w:pBdr>
              <w:spacing w:before="0" w:after="283"/>
              <w:rPr/>
            </w:pPr>
            <w:r>
              <w:rPr/>
            </w:r>
          </w:p>
        </w:tc>
        <w:tc>
          <w:tcPr>
            <w:tcW w:w="116" w:type="dxa"/>
            <w:tcBorders/>
            <w:shd w:fill="auto" w:val="clear"/>
            <w:vAlign w:val="bottom"/>
          </w:tcPr>
          <w:p>
            <w:pPr>
              <w:pStyle w:val="TableContents"/>
              <w:spacing w:before="0" w:after="283"/>
              <w:rPr/>
            </w:pPr>
            <w:r>
              <w:rPr/>
              <w:t> </w:t>
            </w:r>
          </w:p>
        </w:tc>
      </w:tr>
      <w:tr>
        <w:trPr/>
        <w:tc>
          <w:tcPr>
            <w:tcW w:w="7990" w:type="dxa"/>
            <w:tcBorders/>
            <w:shd w:fill="auto" w:val="clear"/>
            <w:vAlign w:val="bottom"/>
          </w:tcPr>
          <w:p>
            <w:pPr>
              <w:pStyle w:val="TableContents"/>
              <w:spacing w:before="0" w:after="283"/>
              <w:rPr>
                <w:sz w:val="20"/>
              </w:rPr>
            </w:pPr>
            <w:r>
              <w:rPr>
                <w:sz w:val="20"/>
              </w:rPr>
              <w:t>Benefits paid to participants per the Form 5500</w:t>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20"/>
              </w:rPr>
            </w:pPr>
            <w:r>
              <w:rPr>
                <w:sz w:val="20"/>
              </w:rPr>
              <w:t>$</w:t>
            </w:r>
          </w:p>
        </w:tc>
        <w:tc>
          <w:tcPr>
            <w:tcW w:w="1243" w:type="dxa"/>
            <w:tcBorders/>
            <w:shd w:fill="auto" w:val="clear"/>
            <w:vAlign w:val="bottom"/>
          </w:tcPr>
          <w:p>
            <w:pPr>
              <w:pStyle w:val="TableContents"/>
              <w:spacing w:before="0" w:after="283"/>
              <w:jc w:val="right"/>
              <w:rPr>
                <w:sz w:val="20"/>
              </w:rPr>
            </w:pPr>
            <w:r>
              <w:rPr>
                <w:sz w:val="20"/>
              </w:rPr>
              <w:t xml:space="preserve">772 </w:t>
            </w:r>
          </w:p>
        </w:tc>
        <w:tc>
          <w:tcPr>
            <w:tcW w:w="116" w:type="dxa"/>
            <w:tcBorders/>
            <w:shd w:fill="auto" w:val="clear"/>
            <w:vAlign w:val="bottom"/>
          </w:tcPr>
          <w:p>
            <w:pPr>
              <w:pStyle w:val="TableContents"/>
              <w:spacing w:before="0" w:after="283"/>
              <w:rPr/>
            </w:pPr>
            <w:r>
              <w:rPr/>
              <w:t> </w:t>
            </w:r>
          </w:p>
        </w:tc>
      </w:tr>
      <w:tr>
        <w:trPr/>
        <w:tc>
          <w:tcPr>
            <w:tcW w:w="799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808080"/>
              </w:pBdr>
              <w:spacing w:before="0" w:after="283"/>
              <w:rPr/>
            </w:pPr>
            <w:r>
              <w:rPr/>
            </w:r>
          </w:p>
        </w:tc>
        <w:tc>
          <w:tcPr>
            <w:tcW w:w="1243" w:type="dxa"/>
            <w:tcBorders/>
            <w:shd w:fill="auto" w:val="clear"/>
            <w:vAlign w:val="bottom"/>
          </w:tcPr>
          <w:p>
            <w:pPr>
              <w:pStyle w:val="HorizontalLine"/>
              <w:pBdr>
                <w:bottom w:val="single" w:sz="18" w:space="0" w:color="808080"/>
              </w:pBdr>
              <w:spacing w:before="0" w:after="283"/>
              <w:rPr/>
            </w:pPr>
            <w:r>
              <w:rPr/>
            </w:r>
          </w:p>
        </w:tc>
        <w:tc>
          <w:tcPr>
            <w:tcW w:w="116"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283"/>
              <w:rPr/>
            </w:pPr>
            <w:r>
              <w:rPr/>
              <w:t> </w:t>
            </w:r>
          </w:p>
        </w:tc>
        <w:tc>
          <w:tcPr>
            <w:tcW w:w="9700" w:type="dxa"/>
            <w:tcBorders/>
            <w:shd w:fill="auto" w:val="clear"/>
          </w:tcPr>
          <w:p>
            <w:pPr>
              <w:pStyle w:val="TableContents"/>
              <w:spacing w:before="0" w:after="283"/>
              <w:rPr/>
            </w:pPr>
            <w:r>
              <w:rPr/>
              <w:t> </w:t>
            </w:r>
          </w:p>
        </w:tc>
      </w:tr>
      <w:tr>
        <w:trPr/>
        <w:tc>
          <w:tcPr>
            <w:tcW w:w="505" w:type="dxa"/>
            <w:tcBorders/>
            <w:shd w:fill="auto" w:val="clear"/>
          </w:tcPr>
          <w:p>
            <w:pPr>
              <w:pStyle w:val="TableContents"/>
              <w:spacing w:before="0" w:after="283"/>
              <w:rPr/>
            </w:pPr>
            <w:r>
              <w:rPr/>
              <w:t> </w:t>
            </w:r>
          </w:p>
        </w:tc>
        <w:tc>
          <w:tcPr>
            <w:tcW w:w="9700" w:type="dxa"/>
            <w:tcBorders/>
            <w:shd w:fill="auto" w:val="clear"/>
          </w:tcPr>
          <w:p>
            <w:pPr>
              <w:pStyle w:val="TableContents"/>
              <w:spacing w:before="0" w:after="283"/>
              <w:rPr>
                <w:sz w:val="20"/>
              </w:rPr>
            </w:pPr>
            <w:r>
              <w:rPr>
                <w:sz w:val="20"/>
              </w:rPr>
              <w:t>The following is a reconciliation of investment income per the financial statements for the year ended December 31, 2006 to the Form 5500:</w:t>
            </w:r>
          </w:p>
        </w:tc>
      </w:tr>
    </w:tbl>
    <w:p>
      <w:pPr>
        <w:pStyle w:val="TextBody"/>
        <w:spacing w:before="0" w:after="0"/>
        <w:rPr/>
      </w:pPr>
      <w:r>
        <w:rPr/>
      </w:r>
    </w:p>
    <w:tbl>
      <w:tblPr>
        <w:tblW w:w="4750" w:type="pct"/>
        <w:jc w:val="center"/>
        <w:tblInd w:w="0" w:type="dxa"/>
        <w:tblCellMar>
          <w:top w:w="0" w:type="dxa"/>
          <w:left w:w="0" w:type="dxa"/>
          <w:bottom w:w="0" w:type="dxa"/>
          <w:right w:w="0" w:type="dxa"/>
        </w:tblCellMar>
      </w:tblPr>
      <w:tblGrid>
        <w:gridCol w:w="8010"/>
        <w:gridCol w:w="201"/>
        <w:gridCol w:w="125"/>
        <w:gridCol w:w="1241"/>
        <w:gridCol w:w="117"/>
      </w:tblGrid>
      <w:tr>
        <w:trPr/>
        <w:tc>
          <w:tcPr>
            <w:tcW w:w="801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 </w:t>
            </w:r>
          </w:p>
        </w:tc>
        <w:tc>
          <w:tcPr>
            <w:tcW w:w="117" w:type="dxa"/>
            <w:tcBorders/>
            <w:shd w:fill="auto" w:val="clear"/>
            <w:vAlign w:val="bottom"/>
          </w:tcPr>
          <w:p>
            <w:pPr>
              <w:pStyle w:val="TableContents"/>
              <w:spacing w:before="0" w:after="283"/>
              <w:rPr/>
            </w:pPr>
            <w:r>
              <w:rPr/>
              <w:t> </w:t>
            </w:r>
          </w:p>
        </w:tc>
      </w:tr>
      <w:tr>
        <w:trPr/>
        <w:tc>
          <w:tcPr>
            <w:tcW w:w="8010" w:type="dxa"/>
            <w:tcBorders/>
            <w:shd w:fill="auto" w:val="clear"/>
            <w:vAlign w:val="bottom"/>
          </w:tcPr>
          <w:p>
            <w:pPr>
              <w:pStyle w:val="TableContents"/>
              <w:spacing w:before="0" w:after="283"/>
              <w:jc w:val="center"/>
              <w:rPr/>
            </w:pPr>
            <w:r>
              <w:rPr/>
              <w:t> </w:t>
            </w:r>
          </w:p>
        </w:tc>
        <w:tc>
          <w:tcPr>
            <w:tcW w:w="201" w:type="dxa"/>
            <w:tcBorders/>
            <w:shd w:fill="auto" w:val="clear"/>
            <w:vAlign w:val="bottom"/>
          </w:tcPr>
          <w:p>
            <w:pPr>
              <w:pStyle w:val="TableContents"/>
              <w:spacing w:before="0" w:after="283"/>
              <w:jc w:val="center"/>
              <w:rPr/>
            </w:pPr>
            <w:r>
              <w:rPr/>
              <w:t> </w:t>
            </w:r>
          </w:p>
        </w:tc>
        <w:tc>
          <w:tcPr>
            <w:tcW w:w="1366" w:type="dxa"/>
            <w:gridSpan w:val="2"/>
            <w:tcBorders/>
            <w:shd w:fill="auto" w:val="clear"/>
            <w:vAlign w:val="bottom"/>
          </w:tcPr>
          <w:p>
            <w:pPr>
              <w:pStyle w:val="TableContents"/>
              <w:spacing w:before="0" w:after="283"/>
              <w:jc w:val="center"/>
              <w:rPr>
                <w:b/>
                <w:sz w:val="14"/>
              </w:rPr>
            </w:pPr>
            <w:r>
              <w:rPr>
                <w:b/>
                <w:sz w:val="14"/>
              </w:rPr>
              <w:t>2006</w:t>
            </w:r>
          </w:p>
        </w:tc>
        <w:tc>
          <w:tcPr>
            <w:tcW w:w="117" w:type="dxa"/>
            <w:tcBorders/>
            <w:shd w:fill="auto" w:val="clear"/>
            <w:vAlign w:val="bottom"/>
          </w:tcPr>
          <w:p>
            <w:pPr>
              <w:pStyle w:val="TableContents"/>
              <w:spacing w:before="0" w:after="283"/>
              <w:jc w:val="center"/>
              <w:rPr/>
            </w:pPr>
            <w:r>
              <w:rPr/>
              <w:t> </w:t>
            </w:r>
          </w:p>
        </w:tc>
      </w:tr>
      <w:tr>
        <w:trPr/>
        <w:tc>
          <w:tcPr>
            <w:tcW w:w="8010" w:type="dxa"/>
            <w:tcBorders/>
            <w:shd w:fill="auto" w:val="clear"/>
            <w:vAlign w:val="bottom"/>
          </w:tcPr>
          <w:p>
            <w:pPr>
              <w:pStyle w:val="TableContents"/>
              <w:spacing w:before="0" w:after="283"/>
              <w:jc w:val="center"/>
              <w:rPr/>
            </w:pPr>
            <w:r>
              <w:rPr/>
              <w:t> </w:t>
            </w:r>
          </w:p>
        </w:tc>
        <w:tc>
          <w:tcPr>
            <w:tcW w:w="201" w:type="dxa"/>
            <w:tcBorders/>
            <w:shd w:fill="auto" w:val="clear"/>
            <w:vAlign w:val="bottom"/>
          </w:tcPr>
          <w:p>
            <w:pPr>
              <w:pStyle w:val="TableContents"/>
              <w:spacing w:before="0" w:after="283"/>
              <w:jc w:val="center"/>
              <w:rPr/>
            </w:pPr>
            <w:r>
              <w:rPr/>
              <w:t> </w:t>
            </w:r>
          </w:p>
        </w:tc>
        <w:tc>
          <w:tcPr>
            <w:tcW w:w="1366" w:type="dxa"/>
            <w:gridSpan w:val="2"/>
            <w:tcBorders/>
            <w:shd w:fill="auto" w:val="clear"/>
            <w:vAlign w:val="bottom"/>
          </w:tcPr>
          <w:p>
            <w:pPr>
              <w:pStyle w:val="HorizontalLine"/>
              <w:pBdr>
                <w:bottom w:val="single" w:sz="6" w:space="0" w:color="000000"/>
              </w:pBdr>
              <w:spacing w:before="0" w:after="283"/>
              <w:rPr/>
            </w:pPr>
            <w:r>
              <w:rPr/>
            </w:r>
          </w:p>
        </w:tc>
        <w:tc>
          <w:tcPr>
            <w:tcW w:w="117" w:type="dxa"/>
            <w:tcBorders/>
            <w:shd w:fill="auto" w:val="clear"/>
            <w:vAlign w:val="bottom"/>
          </w:tcPr>
          <w:p>
            <w:pPr>
              <w:pStyle w:val="TableContents"/>
              <w:spacing w:before="0" w:after="283"/>
              <w:jc w:val="center"/>
              <w:rPr/>
            </w:pPr>
            <w:r>
              <w:rPr/>
              <w:t> </w:t>
            </w:r>
          </w:p>
        </w:tc>
      </w:tr>
      <w:tr>
        <w:trPr/>
        <w:tc>
          <w:tcPr>
            <w:tcW w:w="8010" w:type="dxa"/>
            <w:tcBorders/>
            <w:shd w:fill="auto" w:val="clear"/>
            <w:vAlign w:val="bottom"/>
          </w:tcPr>
          <w:p>
            <w:pPr>
              <w:pStyle w:val="TableContents"/>
              <w:spacing w:before="0" w:after="283"/>
              <w:jc w:val="center"/>
              <w:rPr/>
            </w:pPr>
            <w:r>
              <w:rPr/>
              <w:t> </w:t>
            </w:r>
          </w:p>
        </w:tc>
        <w:tc>
          <w:tcPr>
            <w:tcW w:w="201" w:type="dxa"/>
            <w:tcBorders/>
            <w:shd w:fill="auto" w:val="clear"/>
            <w:vAlign w:val="bottom"/>
          </w:tcPr>
          <w:p>
            <w:pPr>
              <w:pStyle w:val="TableContents"/>
              <w:spacing w:before="0" w:after="283"/>
              <w:jc w:val="center"/>
              <w:rPr/>
            </w:pPr>
            <w:r>
              <w:rPr/>
              <w:t> </w:t>
            </w:r>
          </w:p>
        </w:tc>
        <w:tc>
          <w:tcPr>
            <w:tcW w:w="1366" w:type="dxa"/>
            <w:gridSpan w:val="2"/>
            <w:tcBorders/>
            <w:shd w:fill="auto" w:val="clear"/>
            <w:vAlign w:val="bottom"/>
          </w:tcPr>
          <w:p>
            <w:pPr>
              <w:pStyle w:val="TableContents"/>
              <w:spacing w:before="0" w:after="283"/>
              <w:jc w:val="center"/>
              <w:rPr>
                <w:b/>
                <w:i/>
                <w:sz w:val="14"/>
              </w:rPr>
            </w:pPr>
            <w:r>
              <w:rPr>
                <w:b/>
                <w:i/>
                <w:sz w:val="14"/>
              </w:rPr>
              <w:t>(dollars in millions)</w:t>
            </w:r>
          </w:p>
        </w:tc>
        <w:tc>
          <w:tcPr>
            <w:tcW w:w="117" w:type="dxa"/>
            <w:tcBorders/>
            <w:shd w:fill="auto" w:val="clear"/>
            <w:vAlign w:val="bottom"/>
          </w:tcPr>
          <w:p>
            <w:pPr>
              <w:pStyle w:val="TableContents"/>
              <w:spacing w:before="0" w:after="283"/>
              <w:jc w:val="center"/>
              <w:rPr/>
            </w:pPr>
            <w:r>
              <w:rPr/>
              <w:t> </w:t>
            </w:r>
          </w:p>
        </w:tc>
      </w:tr>
      <w:tr>
        <w:trPr/>
        <w:tc>
          <w:tcPr>
            <w:tcW w:w="8010" w:type="dxa"/>
            <w:tcBorders/>
            <w:shd w:fill="E6E6E6" w:val="clear"/>
            <w:vAlign w:val="bottom"/>
          </w:tcPr>
          <w:p>
            <w:pPr>
              <w:pStyle w:val="TableContents"/>
              <w:spacing w:before="0" w:after="283"/>
              <w:rPr>
                <w:sz w:val="20"/>
              </w:rPr>
            </w:pPr>
            <w:r>
              <w:rPr>
                <w:sz w:val="20"/>
              </w:rPr>
              <w:t>Total investment income per the financial statements</w:t>
            </w:r>
          </w:p>
        </w:tc>
        <w:tc>
          <w:tcPr>
            <w:tcW w:w="201" w:type="dxa"/>
            <w:tcBorders/>
            <w:shd w:fill="E6E6E6" w:val="clear"/>
            <w:vAlign w:val="bottom"/>
          </w:tcPr>
          <w:p>
            <w:pPr>
              <w:pStyle w:val="TableContents"/>
              <w:spacing w:before="0" w:after="283"/>
              <w:rPr/>
            </w:pPr>
            <w:r>
              <w:rPr/>
              <w:t> </w:t>
            </w:r>
          </w:p>
        </w:tc>
        <w:tc>
          <w:tcPr>
            <w:tcW w:w="125" w:type="dxa"/>
            <w:tcBorders/>
            <w:shd w:fill="E6E6E6" w:val="clear"/>
            <w:vAlign w:val="bottom"/>
          </w:tcPr>
          <w:p>
            <w:pPr>
              <w:pStyle w:val="TableContents"/>
              <w:spacing w:before="0" w:after="283"/>
              <w:rPr>
                <w:sz w:val="20"/>
              </w:rPr>
            </w:pPr>
            <w:r>
              <w:rPr>
                <w:sz w:val="20"/>
              </w:rPr>
              <w:t>$</w:t>
            </w:r>
          </w:p>
        </w:tc>
        <w:tc>
          <w:tcPr>
            <w:tcW w:w="1241" w:type="dxa"/>
            <w:tcBorders/>
            <w:shd w:fill="E6E6E6" w:val="clear"/>
            <w:vAlign w:val="bottom"/>
          </w:tcPr>
          <w:p>
            <w:pPr>
              <w:pStyle w:val="TableContents"/>
              <w:spacing w:before="0" w:after="283"/>
              <w:jc w:val="right"/>
              <w:rPr>
                <w:sz w:val="20"/>
              </w:rPr>
            </w:pPr>
            <w:r>
              <w:rPr>
                <w:sz w:val="20"/>
              </w:rPr>
              <w:t>1,164</w:t>
            </w:r>
          </w:p>
        </w:tc>
        <w:tc>
          <w:tcPr>
            <w:tcW w:w="117" w:type="dxa"/>
            <w:tcBorders/>
            <w:shd w:fill="E6E6E6" w:val="clear"/>
            <w:vAlign w:val="bottom"/>
          </w:tcPr>
          <w:p>
            <w:pPr>
              <w:pStyle w:val="TableContents"/>
              <w:spacing w:before="0" w:after="283"/>
              <w:rPr/>
            </w:pPr>
            <w:r>
              <w:rPr/>
              <w:t> </w:t>
            </w:r>
          </w:p>
        </w:tc>
      </w:tr>
      <w:tr>
        <w:trPr/>
        <w:tc>
          <w:tcPr>
            <w:tcW w:w="8010" w:type="dxa"/>
            <w:tcBorders/>
            <w:shd w:fill="auto" w:val="clear"/>
            <w:vAlign w:val="bottom"/>
          </w:tcPr>
          <w:p>
            <w:pPr>
              <w:pStyle w:val="TableContents"/>
              <w:spacing w:before="0" w:after="283"/>
              <w:rPr>
                <w:sz w:val="20"/>
              </w:rPr>
            </w:pPr>
            <w:r>
              <w:rPr>
                <w:sz w:val="20"/>
              </w:rPr>
              <w:t>Adjustment from fair to contract value for fully benefit-responsive contracts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sz w:val="20"/>
              </w:rPr>
            </w:pPr>
            <w:r>
              <w:rPr>
                <w:sz w:val="20"/>
              </w:rPr>
              <w:t>(4</w:t>
            </w:r>
          </w:p>
        </w:tc>
        <w:tc>
          <w:tcPr>
            <w:tcW w:w="117" w:type="dxa"/>
            <w:tcBorders/>
            <w:shd w:fill="auto" w:val="clear"/>
            <w:vAlign w:val="bottom"/>
          </w:tcPr>
          <w:p>
            <w:pPr>
              <w:pStyle w:val="TableContents"/>
              <w:spacing w:before="0" w:after="283"/>
              <w:rPr>
                <w:sz w:val="20"/>
              </w:rPr>
            </w:pPr>
            <w:r>
              <w:rPr>
                <w:sz w:val="20"/>
              </w:rPr>
              <w:t>)</w:t>
            </w:r>
          </w:p>
        </w:tc>
      </w:tr>
      <w:tr>
        <w:trPr/>
        <w:tc>
          <w:tcPr>
            <w:tcW w:w="801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808080"/>
              </w:pBdr>
              <w:spacing w:before="0" w:after="283"/>
              <w:rPr/>
            </w:pPr>
            <w:r>
              <w:rPr/>
            </w:r>
          </w:p>
        </w:tc>
        <w:tc>
          <w:tcPr>
            <w:tcW w:w="1241" w:type="dxa"/>
            <w:tcBorders/>
            <w:shd w:fill="auto" w:val="clear"/>
            <w:vAlign w:val="bottom"/>
          </w:tcPr>
          <w:p>
            <w:pPr>
              <w:pStyle w:val="HorizontalLine"/>
              <w:pBdr>
                <w:bottom w:val="single" w:sz="6" w:space="0" w:color="808080"/>
              </w:pBdr>
              <w:spacing w:before="0" w:after="283"/>
              <w:rPr/>
            </w:pPr>
            <w:r>
              <w:rPr/>
            </w:r>
          </w:p>
        </w:tc>
        <w:tc>
          <w:tcPr>
            <w:tcW w:w="117" w:type="dxa"/>
            <w:tcBorders/>
            <w:shd w:fill="auto" w:val="clear"/>
            <w:vAlign w:val="bottom"/>
          </w:tcPr>
          <w:p>
            <w:pPr>
              <w:pStyle w:val="TableContents"/>
              <w:spacing w:before="0" w:after="283"/>
              <w:rPr/>
            </w:pPr>
            <w:r>
              <w:rPr/>
              <w:t> </w:t>
            </w:r>
          </w:p>
        </w:tc>
      </w:tr>
      <w:tr>
        <w:trPr/>
        <w:tc>
          <w:tcPr>
            <w:tcW w:w="8010" w:type="dxa"/>
            <w:tcBorders/>
            <w:shd w:fill="E6E6E6" w:val="clear"/>
            <w:vAlign w:val="bottom"/>
          </w:tcPr>
          <w:p>
            <w:pPr>
              <w:pStyle w:val="TableContents"/>
              <w:spacing w:before="0" w:after="283"/>
              <w:rPr>
                <w:sz w:val="20"/>
              </w:rPr>
            </w:pPr>
            <w:r>
              <w:rPr>
                <w:sz w:val="20"/>
              </w:rPr>
              <w:t>Total investment income per the Form 5500</w:t>
            </w:r>
          </w:p>
        </w:tc>
        <w:tc>
          <w:tcPr>
            <w:tcW w:w="201" w:type="dxa"/>
            <w:tcBorders/>
            <w:shd w:fill="E6E6E6" w:val="clear"/>
            <w:vAlign w:val="bottom"/>
          </w:tcPr>
          <w:p>
            <w:pPr>
              <w:pStyle w:val="TableContents"/>
              <w:spacing w:before="0" w:after="283"/>
              <w:rPr/>
            </w:pPr>
            <w:r>
              <w:rPr/>
              <w:t> </w:t>
            </w:r>
          </w:p>
        </w:tc>
        <w:tc>
          <w:tcPr>
            <w:tcW w:w="125" w:type="dxa"/>
            <w:tcBorders/>
            <w:shd w:fill="E6E6E6" w:val="clear"/>
            <w:vAlign w:val="bottom"/>
          </w:tcPr>
          <w:p>
            <w:pPr>
              <w:pStyle w:val="TableContents"/>
              <w:spacing w:before="0" w:after="283"/>
              <w:rPr>
                <w:sz w:val="20"/>
              </w:rPr>
            </w:pPr>
            <w:r>
              <w:rPr>
                <w:sz w:val="20"/>
              </w:rPr>
              <w:t>$</w:t>
            </w:r>
          </w:p>
        </w:tc>
        <w:tc>
          <w:tcPr>
            <w:tcW w:w="1241" w:type="dxa"/>
            <w:tcBorders/>
            <w:shd w:fill="E6E6E6" w:val="clear"/>
            <w:vAlign w:val="bottom"/>
          </w:tcPr>
          <w:p>
            <w:pPr>
              <w:pStyle w:val="TableContents"/>
              <w:spacing w:before="0" w:after="283"/>
              <w:jc w:val="right"/>
              <w:rPr>
                <w:sz w:val="20"/>
              </w:rPr>
            </w:pPr>
            <w:r>
              <w:rPr>
                <w:sz w:val="20"/>
              </w:rPr>
              <w:t>1,160</w:t>
            </w:r>
          </w:p>
        </w:tc>
        <w:tc>
          <w:tcPr>
            <w:tcW w:w="117" w:type="dxa"/>
            <w:tcBorders/>
            <w:shd w:fill="E6E6E6" w:val="clear"/>
            <w:vAlign w:val="bottom"/>
          </w:tcPr>
          <w:p>
            <w:pPr>
              <w:pStyle w:val="TableContents"/>
              <w:spacing w:before="0" w:after="283"/>
              <w:rPr/>
            </w:pPr>
            <w:r>
              <w:rPr/>
              <w:t> </w:t>
            </w:r>
          </w:p>
        </w:tc>
      </w:tr>
      <w:tr>
        <w:trPr/>
        <w:tc>
          <w:tcPr>
            <w:tcW w:w="801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808080"/>
              </w:pBdr>
              <w:spacing w:before="0" w:after="283"/>
              <w:rPr/>
            </w:pPr>
            <w:r>
              <w:rPr/>
            </w:r>
          </w:p>
        </w:tc>
        <w:tc>
          <w:tcPr>
            <w:tcW w:w="1241" w:type="dxa"/>
            <w:tcBorders/>
            <w:shd w:fill="auto" w:val="clear"/>
            <w:vAlign w:val="bottom"/>
          </w:tcPr>
          <w:p>
            <w:pPr>
              <w:pStyle w:val="HorizontalLine"/>
              <w:pBdr>
                <w:bottom w:val="single" w:sz="18" w:space="0" w:color="808080"/>
              </w:pBdr>
              <w:spacing w:before="0" w:after="283"/>
              <w:rPr/>
            </w:pPr>
            <w:r>
              <w:rPr/>
            </w:r>
          </w:p>
        </w:tc>
        <w:tc>
          <w:tcPr>
            <w:tcW w:w="117" w:type="dxa"/>
            <w:tcBorders/>
            <w:shd w:fill="auto" w:val="clear"/>
            <w:vAlign w:val="bottom"/>
          </w:tcPr>
          <w:p>
            <w:pPr>
              <w:pStyle w:val="TableContents"/>
              <w:spacing w:before="0" w:after="283"/>
              <w:rPr/>
            </w:pPr>
            <w:r>
              <w:rPr/>
              <w:t> </w:t>
            </w:r>
          </w:p>
        </w:tc>
      </w:tr>
    </w:tbl>
    <w:p>
      <w:pPr>
        <w:pStyle w:val="TextBody"/>
        <w:jc w:val="center"/>
        <w:rPr>
          <w:sz w:val="20"/>
        </w:rPr>
      </w:pPr>
      <w:r>
        <w:rPr>
          <w:sz w:val="20"/>
        </w:rPr>
        <w:t>13</w:t>
      </w:r>
    </w:p>
    <w:p>
      <w:pPr>
        <w:pStyle w:val="HorizontalLine"/>
        <w:pBdr>
          <w:bottom w:val="single" w:sz="24" w:space="0" w:color="808080"/>
        </w:pBdr>
        <w:rPr/>
      </w:pPr>
      <w:r>
        <w:rPr/>
      </w:r>
      <w:r>
        <w:br w:type="page"/>
      </w:r>
    </w:p>
    <w:p>
      <w:pPr>
        <w:pStyle w:val="TextBody"/>
        <w:rPr>
          <w:rFonts w:ascii="ARIAL" w:hAnsi="ARIAL"/>
          <w:b/>
          <w:sz w:val="28"/>
        </w:rPr>
      </w:pPr>
      <w:r>
        <w:rPr>
          <w:rFonts w:ascii="ARIAL" w:hAnsi="ARIAL"/>
          <w:b/>
          <w:sz w:val="28"/>
        </w:rPr>
        <w:t>Honeywell Savings and Ownership Plan</w:t>
      </w:r>
    </w:p>
    <w:tbl>
      <w:tblPr>
        <w:tblW w:w="5000" w:type="pct"/>
        <w:jc w:val="center"/>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283"/>
              <w:rPr/>
            </w:pPr>
            <w:r>
              <w:rPr/>
              <w:t> </w:t>
            </w:r>
          </w:p>
        </w:tc>
        <w:tc>
          <w:tcPr>
            <w:tcW w:w="9484" w:type="dxa"/>
            <w:tcBorders/>
            <w:shd w:fill="auto" w:val="clear"/>
          </w:tcPr>
          <w:p>
            <w:pPr>
              <w:pStyle w:val="TableContents"/>
              <w:spacing w:before="0" w:after="283"/>
              <w:rPr/>
            </w:pPr>
            <w:r>
              <w:rPr/>
              <w:t> </w:t>
            </w:r>
          </w:p>
        </w:tc>
      </w:tr>
      <w:tr>
        <w:trPr/>
        <w:tc>
          <w:tcPr>
            <w:tcW w:w="10205" w:type="dxa"/>
            <w:gridSpan w:val="2"/>
            <w:tcBorders/>
            <w:shd w:fill="auto" w:val="clear"/>
          </w:tcPr>
          <w:p>
            <w:pPr>
              <w:pStyle w:val="TableContents"/>
              <w:spacing w:before="0" w:after="283"/>
              <w:rPr>
                <w:rFonts w:ascii="ARIAL" w:hAnsi="ARIAL"/>
                <w:b/>
                <w:sz w:val="24"/>
              </w:rPr>
            </w:pPr>
            <w:bookmarkStart w:id="8" w:name="A005"/>
            <w:bookmarkEnd w:id="8"/>
            <w:r>
              <w:rPr>
                <w:rFonts w:ascii="ARIAL" w:hAnsi="ARIAL"/>
                <w:b/>
                <w:sz w:val="24"/>
              </w:rPr>
              <w:t>Schedule H, Line 4(i)  Schedule of Assets (Held at End of Year)</w:t>
              <w:br/>
              <w:t>December 31, 2006</w:t>
            </w:r>
          </w:p>
        </w:tc>
      </w:tr>
      <w:tr>
        <w:trPr/>
        <w:tc>
          <w:tcPr>
            <w:tcW w:w="10205" w:type="dxa"/>
            <w:gridSpan w:val="2"/>
            <w:tcBorders/>
            <w:shd w:fill="auto" w:val="clear"/>
          </w:tcPr>
          <w:p>
            <w:pPr>
              <w:pStyle w:val="HorizontalLine"/>
              <w:pBdr>
                <w:bottom w:val="single" w:sz="6" w:space="0" w:color="808080"/>
              </w:pBdr>
              <w:spacing w:before="0" w:after="283"/>
              <w:rPr/>
            </w:pPr>
            <w:r>
              <w:rPr/>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3722"/>
        <w:gridCol w:w="105"/>
        <w:gridCol w:w="4042"/>
        <w:gridCol w:w="105"/>
        <w:gridCol w:w="1063"/>
        <w:gridCol w:w="105"/>
        <w:gridCol w:w="851"/>
        <w:gridCol w:w="212"/>
      </w:tblGrid>
      <w:tr>
        <w:trPr/>
        <w:tc>
          <w:tcPr>
            <w:tcW w:w="3722" w:type="dxa"/>
            <w:tcBorders/>
            <w:shd w:fill="auto" w:val="clear"/>
          </w:tcPr>
          <w:p>
            <w:pPr>
              <w:pStyle w:val="TableContents"/>
              <w:spacing w:before="0" w:after="283"/>
              <w:ind w:left="173" w:right="0" w:hanging="173"/>
              <w:rPr/>
            </w:pPr>
            <w:r>
              <w:rPr/>
              <w:t> </w:t>
            </w:r>
          </w:p>
        </w:tc>
        <w:tc>
          <w:tcPr>
            <w:tcW w:w="105" w:type="dxa"/>
            <w:tcBorders/>
            <w:shd w:fill="auto" w:val="clear"/>
          </w:tcPr>
          <w:p>
            <w:pPr>
              <w:pStyle w:val="TableContents"/>
              <w:spacing w:before="0" w:after="283"/>
              <w:rPr/>
            </w:pPr>
            <w:r>
              <w:rPr/>
              <w:t> </w:t>
            </w:r>
          </w:p>
        </w:tc>
        <w:tc>
          <w:tcPr>
            <w:tcW w:w="4042"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c>
          <w:tcPr>
            <w:tcW w:w="1063" w:type="dxa"/>
            <w:tcBorders/>
            <w:shd w:fill="auto" w:val="clear"/>
          </w:tcPr>
          <w:p>
            <w:pPr>
              <w:pStyle w:val="TableContents"/>
              <w:spacing w:before="0" w:after="283"/>
              <w:jc w:val="center"/>
              <w:rPr/>
            </w:pPr>
            <w:r>
              <w:rPr/>
              <w:t> </w:t>
            </w:r>
          </w:p>
        </w:tc>
        <w:tc>
          <w:tcPr>
            <w:tcW w:w="105" w:type="dxa"/>
            <w:tcBorders/>
            <w:shd w:fill="auto" w:val="clear"/>
          </w:tcPr>
          <w:p>
            <w:pPr>
              <w:pStyle w:val="TableContents"/>
              <w:spacing w:before="0" w:after="283"/>
              <w:jc w:val="center"/>
              <w:rPr/>
            </w:pPr>
            <w:r>
              <w:rPr/>
              <w:t> </w:t>
            </w:r>
          </w:p>
        </w:tc>
        <w:tc>
          <w:tcPr>
            <w:tcW w:w="851" w:type="dxa"/>
            <w:tcBorders/>
            <w:shd w:fill="auto" w:val="clear"/>
          </w:tcPr>
          <w:p>
            <w:pPr>
              <w:pStyle w:val="TableContents"/>
              <w:spacing w:before="0" w:after="283"/>
              <w:jc w:val="right"/>
              <w:rPr/>
            </w:pPr>
            <w:r>
              <w:rPr/>
              <w:t> </w:t>
            </w:r>
          </w:p>
        </w:tc>
        <w:tc>
          <w:tcPr>
            <w:tcW w:w="212" w:type="dxa"/>
            <w:tcBorders/>
            <w:shd w:fill="auto" w:val="clear"/>
          </w:tcPr>
          <w:p>
            <w:pPr>
              <w:pStyle w:val="TableContents"/>
              <w:spacing w:before="0" w:after="283"/>
              <w:jc w:val="right"/>
              <w:rPr/>
            </w:pPr>
            <w:r>
              <w:rPr/>
              <w:t> </w:t>
            </w:r>
          </w:p>
        </w:tc>
      </w:tr>
      <w:tr>
        <w:trPr/>
        <w:tc>
          <w:tcPr>
            <w:tcW w:w="3722" w:type="dxa"/>
            <w:tcBorders/>
            <w:shd w:fill="auto" w:val="clear"/>
            <w:vAlign w:val="bottom"/>
          </w:tcPr>
          <w:p>
            <w:pPr>
              <w:pStyle w:val="TableContents"/>
              <w:spacing w:before="0" w:after="283"/>
              <w:rPr>
                <w:b/>
                <w:sz w:val="14"/>
              </w:rPr>
            </w:pPr>
            <w:r>
              <w:rPr>
                <w:b/>
                <w:sz w:val="14"/>
              </w:rPr>
              <w:t>Identity of Issue</w:t>
            </w:r>
          </w:p>
        </w:tc>
        <w:tc>
          <w:tcPr>
            <w:tcW w:w="105" w:type="dxa"/>
            <w:tcBorders/>
            <w:shd w:fill="auto" w:val="clear"/>
            <w:vAlign w:val="bottom"/>
          </w:tcPr>
          <w:p>
            <w:pPr>
              <w:pStyle w:val="TableContents"/>
              <w:spacing w:before="0" w:after="283"/>
              <w:jc w:val="center"/>
              <w:rPr/>
            </w:pPr>
            <w:r>
              <w:rPr/>
              <w:t> </w:t>
            </w:r>
          </w:p>
        </w:tc>
        <w:tc>
          <w:tcPr>
            <w:tcW w:w="4042" w:type="dxa"/>
            <w:tcBorders/>
            <w:shd w:fill="auto" w:val="clear"/>
            <w:vAlign w:val="bottom"/>
          </w:tcPr>
          <w:p>
            <w:pPr>
              <w:pStyle w:val="TableContents"/>
              <w:spacing w:before="0" w:after="283"/>
              <w:jc w:val="center"/>
              <w:rPr>
                <w:b/>
                <w:sz w:val="14"/>
              </w:rPr>
            </w:pPr>
            <w:r>
              <w:rPr>
                <w:b/>
                <w:sz w:val="14"/>
              </w:rPr>
              <w:t>Description</w:t>
            </w:r>
          </w:p>
        </w:tc>
        <w:tc>
          <w:tcPr>
            <w:tcW w:w="105" w:type="dxa"/>
            <w:tcBorders/>
            <w:shd w:fill="auto" w:val="clear"/>
            <w:vAlign w:val="bottom"/>
          </w:tcPr>
          <w:p>
            <w:pPr>
              <w:pStyle w:val="TableContents"/>
              <w:spacing w:before="0" w:after="283"/>
              <w:jc w:val="center"/>
              <w:rPr/>
            </w:pPr>
            <w:r>
              <w:rPr/>
              <w:t> </w:t>
            </w:r>
          </w:p>
        </w:tc>
        <w:tc>
          <w:tcPr>
            <w:tcW w:w="1063" w:type="dxa"/>
            <w:tcBorders/>
            <w:shd w:fill="auto" w:val="clear"/>
            <w:vAlign w:val="bottom"/>
          </w:tcPr>
          <w:p>
            <w:pPr>
              <w:pStyle w:val="TableContents"/>
              <w:spacing w:before="0" w:after="283"/>
              <w:jc w:val="center"/>
              <w:rPr>
                <w:b/>
                <w:sz w:val="14"/>
              </w:rPr>
            </w:pPr>
            <w:r>
              <w:rPr>
                <w:b/>
                <w:sz w:val="14"/>
              </w:rPr>
              <w:t>Cost</w:t>
            </w:r>
          </w:p>
        </w:tc>
        <w:tc>
          <w:tcPr>
            <w:tcW w:w="105" w:type="dxa"/>
            <w:tcBorders/>
            <w:shd w:fill="auto" w:val="clear"/>
            <w:vAlign w:val="bottom"/>
          </w:tcPr>
          <w:p>
            <w:pPr>
              <w:pStyle w:val="TableContents"/>
              <w:spacing w:before="0" w:after="283"/>
              <w:jc w:val="center"/>
              <w:rPr/>
            </w:pPr>
            <w:r>
              <w:rPr/>
              <w:t> </w:t>
            </w:r>
          </w:p>
        </w:tc>
        <w:tc>
          <w:tcPr>
            <w:tcW w:w="1063" w:type="dxa"/>
            <w:gridSpan w:val="2"/>
            <w:tcBorders/>
            <w:shd w:fill="auto" w:val="clear"/>
            <w:vAlign w:val="bottom"/>
          </w:tcPr>
          <w:p>
            <w:pPr>
              <w:pStyle w:val="TableContents"/>
              <w:spacing w:before="0" w:after="283"/>
              <w:jc w:val="center"/>
              <w:rPr>
                <w:b/>
                <w:sz w:val="14"/>
              </w:rPr>
            </w:pPr>
            <w:r>
              <w:rPr>
                <w:b/>
                <w:sz w:val="14"/>
              </w:rPr>
              <w:t>Current Value</w:t>
            </w:r>
          </w:p>
        </w:tc>
      </w:tr>
      <w:tr>
        <w:trPr/>
        <w:tc>
          <w:tcPr>
            <w:tcW w:w="3722" w:type="dxa"/>
            <w:tcBorders/>
            <w:shd w:fill="auto" w:val="clear"/>
          </w:tcPr>
          <w:p>
            <w:pPr>
              <w:pStyle w:val="HorizontalLine"/>
              <w:pBdr>
                <w:bottom w:val="single" w:sz="6" w:space="0" w:color="000000"/>
              </w:pBdr>
              <w:spacing w:before="0" w:after="283"/>
              <w:rPr/>
            </w:pPr>
            <w:r>
              <w:rPr/>
            </w:r>
          </w:p>
        </w:tc>
        <w:tc>
          <w:tcPr>
            <w:tcW w:w="105" w:type="dxa"/>
            <w:tcBorders/>
            <w:shd w:fill="auto" w:val="clear"/>
          </w:tcPr>
          <w:p>
            <w:pPr>
              <w:pStyle w:val="HorizontalLine"/>
              <w:pBdr>
                <w:bottom w:val="single" w:sz="6" w:space="0" w:color="000000"/>
              </w:pBdr>
              <w:spacing w:before="0" w:after="283"/>
              <w:rPr/>
            </w:pPr>
            <w:r>
              <w:rPr/>
            </w:r>
          </w:p>
        </w:tc>
        <w:tc>
          <w:tcPr>
            <w:tcW w:w="4042" w:type="dxa"/>
            <w:tcBorders/>
            <w:shd w:fill="auto" w:val="clear"/>
          </w:tcPr>
          <w:p>
            <w:pPr>
              <w:pStyle w:val="HorizontalLine"/>
              <w:pBdr>
                <w:bottom w:val="single" w:sz="6" w:space="0" w:color="000000"/>
              </w:pBdr>
              <w:spacing w:before="0" w:after="283"/>
              <w:rPr/>
            </w:pPr>
            <w:r>
              <w:rPr/>
            </w:r>
          </w:p>
        </w:tc>
        <w:tc>
          <w:tcPr>
            <w:tcW w:w="105" w:type="dxa"/>
            <w:tcBorders/>
            <w:shd w:fill="auto" w:val="clear"/>
          </w:tcPr>
          <w:p>
            <w:pPr>
              <w:pStyle w:val="HorizontalLine"/>
              <w:pBdr>
                <w:bottom w:val="single" w:sz="6" w:space="0" w:color="000000"/>
              </w:pBdr>
              <w:spacing w:before="0" w:after="283"/>
              <w:rPr/>
            </w:pPr>
            <w:r>
              <w:rPr/>
            </w:r>
          </w:p>
        </w:tc>
        <w:tc>
          <w:tcPr>
            <w:tcW w:w="1063" w:type="dxa"/>
            <w:tcBorders/>
            <w:shd w:fill="auto" w:val="clear"/>
          </w:tcPr>
          <w:p>
            <w:pPr>
              <w:pStyle w:val="HorizontalLine"/>
              <w:pBdr>
                <w:bottom w:val="single" w:sz="6" w:space="0" w:color="000000"/>
              </w:pBdr>
              <w:spacing w:before="0" w:after="283"/>
              <w:rPr/>
            </w:pPr>
            <w:r>
              <w:rPr/>
            </w:r>
          </w:p>
        </w:tc>
        <w:tc>
          <w:tcPr>
            <w:tcW w:w="105" w:type="dxa"/>
            <w:tcBorders/>
            <w:shd w:fill="auto" w:val="clear"/>
          </w:tcPr>
          <w:p>
            <w:pPr>
              <w:pStyle w:val="HorizontalLine"/>
              <w:pBdr>
                <w:bottom w:val="single" w:sz="6" w:space="0" w:color="000000"/>
              </w:pBdr>
              <w:spacing w:before="0" w:after="283"/>
              <w:rPr/>
            </w:pPr>
            <w:r>
              <w:rPr/>
            </w:r>
          </w:p>
        </w:tc>
        <w:tc>
          <w:tcPr>
            <w:tcW w:w="851" w:type="dxa"/>
            <w:tcBorders/>
            <w:shd w:fill="auto" w:val="clear"/>
          </w:tcPr>
          <w:p>
            <w:pPr>
              <w:pStyle w:val="HorizontalLine"/>
              <w:pBdr>
                <w:bottom w:val="single" w:sz="6" w:space="0" w:color="000000"/>
              </w:pBdr>
              <w:spacing w:before="0" w:after="283"/>
              <w:rPr/>
            </w:pPr>
            <w:r>
              <w:rPr/>
            </w:r>
          </w:p>
        </w:tc>
        <w:tc>
          <w:tcPr>
            <w:tcW w:w="212" w:type="dxa"/>
            <w:tcBorders/>
            <w:shd w:fill="auto" w:val="clear"/>
            <w:vAlign w:val="center"/>
          </w:tcPr>
          <w:p>
            <w:pPr>
              <w:pStyle w:val="HorizontalLine"/>
              <w:pBdr>
                <w:bottom w:val="single" w:sz="6" w:space="0" w:color="000000"/>
              </w:pBdr>
              <w:spacing w:before="0" w:after="283"/>
              <w:rPr/>
            </w:pPr>
            <w:r>
              <w:rPr/>
            </w:r>
          </w:p>
        </w:tc>
      </w:tr>
      <w:tr>
        <w:trPr/>
        <w:tc>
          <w:tcPr>
            <w:tcW w:w="3722" w:type="dxa"/>
            <w:tcBorders/>
            <w:shd w:fill="auto" w:val="clear"/>
          </w:tcPr>
          <w:p>
            <w:pPr>
              <w:pStyle w:val="TableContents"/>
              <w:spacing w:before="0" w:after="283"/>
              <w:rPr/>
            </w:pPr>
            <w:r>
              <w:rPr/>
              <w:t> </w:t>
            </w:r>
          </w:p>
        </w:tc>
        <w:tc>
          <w:tcPr>
            <w:tcW w:w="6483" w:type="dxa"/>
            <w:gridSpan w:val="7"/>
            <w:tcBorders/>
            <w:shd w:fill="auto" w:val="clear"/>
          </w:tcPr>
          <w:p>
            <w:pPr>
              <w:pStyle w:val="TableContents"/>
              <w:spacing w:before="0" w:after="283"/>
              <w:rPr>
                <w:sz w:val="4"/>
                <w:szCs w:val="4"/>
              </w:rPr>
            </w:pPr>
            <w:r>
              <w:rPr>
                <w:sz w:val="4"/>
                <w:szCs w:val="4"/>
              </w:rPr>
            </w:r>
          </w:p>
        </w:tc>
      </w:tr>
      <w:tr>
        <w:trPr/>
        <w:tc>
          <w:tcPr>
            <w:tcW w:w="3722" w:type="dxa"/>
            <w:tcBorders/>
            <w:shd w:fill="E6E6E6" w:val="clear"/>
          </w:tcPr>
          <w:p>
            <w:pPr>
              <w:pStyle w:val="TableContents"/>
              <w:spacing w:before="0" w:after="283"/>
              <w:ind w:left="100" w:right="0" w:hanging="100"/>
              <w:rPr>
                <w:sz w:val="20"/>
              </w:rPr>
            </w:pPr>
            <w:r>
              <w:rPr>
                <w:sz w:val="20"/>
              </w:rPr>
              <w:t>*Interest in Honeywell Savings and Ownership Plan Master Trust</w:t>
            </w:r>
          </w:p>
        </w:tc>
        <w:tc>
          <w:tcPr>
            <w:tcW w:w="105" w:type="dxa"/>
            <w:tcBorders/>
            <w:shd w:fill="E6E6E6" w:val="clear"/>
          </w:tcPr>
          <w:p>
            <w:pPr>
              <w:pStyle w:val="TableContents"/>
              <w:spacing w:before="0" w:after="283"/>
              <w:rPr/>
            </w:pPr>
            <w:r>
              <w:rPr/>
              <w:t> </w:t>
            </w:r>
          </w:p>
        </w:tc>
        <w:tc>
          <w:tcPr>
            <w:tcW w:w="4042" w:type="dxa"/>
            <w:tcBorders/>
            <w:shd w:fill="E6E6E6" w:val="clear"/>
            <w:vAlign w:val="bottom"/>
          </w:tcPr>
          <w:p>
            <w:pPr>
              <w:pStyle w:val="TableContents"/>
              <w:spacing w:before="0" w:after="283"/>
              <w:jc w:val="center"/>
              <w:rPr>
                <w:sz w:val="20"/>
              </w:rPr>
            </w:pPr>
            <w:r>
              <w:rPr>
                <w:sz w:val="20"/>
              </w:rPr>
              <w:t>Various investments</w:t>
            </w:r>
          </w:p>
        </w:tc>
        <w:tc>
          <w:tcPr>
            <w:tcW w:w="105" w:type="dxa"/>
            <w:tcBorders/>
            <w:shd w:fill="E6E6E6" w:val="clear"/>
          </w:tcPr>
          <w:p>
            <w:pPr>
              <w:pStyle w:val="TableContents"/>
              <w:spacing w:before="0" w:after="283"/>
              <w:rPr/>
            </w:pPr>
            <w:r>
              <w:rPr/>
              <w:t> </w:t>
            </w:r>
          </w:p>
        </w:tc>
        <w:tc>
          <w:tcPr>
            <w:tcW w:w="1063" w:type="dxa"/>
            <w:tcBorders/>
            <w:shd w:fill="E6E6E6" w:val="clear"/>
            <w:vAlign w:val="bottom"/>
          </w:tcPr>
          <w:p>
            <w:pPr>
              <w:pStyle w:val="TableContents"/>
              <w:spacing w:before="0" w:after="283"/>
              <w:jc w:val="center"/>
              <w:rPr>
                <w:sz w:val="20"/>
              </w:rPr>
            </w:pPr>
            <w:r>
              <w:rPr>
                <w:sz w:val="20"/>
              </w:rPr>
              <w:t>**</w:t>
            </w:r>
          </w:p>
        </w:tc>
        <w:tc>
          <w:tcPr>
            <w:tcW w:w="105" w:type="dxa"/>
            <w:tcBorders/>
            <w:shd w:fill="E6E6E6" w:val="clear"/>
          </w:tcPr>
          <w:p>
            <w:pPr>
              <w:pStyle w:val="TableContents"/>
              <w:spacing w:before="0" w:after="283"/>
              <w:jc w:val="center"/>
              <w:rPr/>
            </w:pPr>
            <w:r>
              <w:rPr/>
              <w:t> </w:t>
            </w:r>
          </w:p>
        </w:tc>
        <w:tc>
          <w:tcPr>
            <w:tcW w:w="851" w:type="dxa"/>
            <w:tcBorders/>
            <w:shd w:fill="E6E6E6" w:val="clear"/>
            <w:vAlign w:val="bottom"/>
          </w:tcPr>
          <w:p>
            <w:pPr>
              <w:pStyle w:val="TableContents"/>
              <w:spacing w:before="0" w:after="283"/>
              <w:jc w:val="right"/>
              <w:rPr>
                <w:sz w:val="20"/>
              </w:rPr>
            </w:pPr>
            <w:r>
              <w:rPr>
                <w:sz w:val="20"/>
              </w:rPr>
              <w:t>$8,123</w:t>
            </w:r>
          </w:p>
        </w:tc>
        <w:tc>
          <w:tcPr>
            <w:tcW w:w="212" w:type="dxa"/>
            <w:tcBorders/>
            <w:shd w:fill="E6E6E6" w:val="clear"/>
            <w:vAlign w:val="center"/>
          </w:tcPr>
          <w:p>
            <w:pPr>
              <w:pStyle w:val="TableContents"/>
              <w:spacing w:before="0" w:after="283"/>
              <w:rPr/>
            </w:pPr>
            <w:r>
              <w:rPr/>
              <w:t> </w:t>
            </w:r>
          </w:p>
        </w:tc>
      </w:tr>
      <w:tr>
        <w:trPr/>
        <w:tc>
          <w:tcPr>
            <w:tcW w:w="3722" w:type="dxa"/>
            <w:tcBorders/>
            <w:shd w:fill="auto" w:val="clear"/>
          </w:tcPr>
          <w:p>
            <w:pPr>
              <w:pStyle w:val="TableContents"/>
              <w:spacing w:before="0" w:after="283"/>
              <w:ind w:left="173" w:right="0" w:hanging="173"/>
              <w:rPr/>
            </w:pPr>
            <w:r>
              <w:rPr/>
              <w:t> </w:t>
            </w:r>
          </w:p>
        </w:tc>
        <w:tc>
          <w:tcPr>
            <w:tcW w:w="105" w:type="dxa"/>
            <w:tcBorders/>
            <w:shd w:fill="auto" w:val="clear"/>
          </w:tcPr>
          <w:p>
            <w:pPr>
              <w:pStyle w:val="TableContents"/>
              <w:spacing w:before="0" w:after="283"/>
              <w:rPr/>
            </w:pPr>
            <w:r>
              <w:rPr/>
              <w:t> </w:t>
            </w:r>
          </w:p>
        </w:tc>
        <w:tc>
          <w:tcPr>
            <w:tcW w:w="4042"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c>
          <w:tcPr>
            <w:tcW w:w="1063" w:type="dxa"/>
            <w:tcBorders/>
            <w:shd w:fill="auto" w:val="clear"/>
          </w:tcPr>
          <w:p>
            <w:pPr>
              <w:pStyle w:val="TableContents"/>
              <w:spacing w:before="0" w:after="283"/>
              <w:jc w:val="center"/>
              <w:rPr/>
            </w:pPr>
            <w:r>
              <w:rPr/>
              <w:t> </w:t>
            </w:r>
          </w:p>
        </w:tc>
        <w:tc>
          <w:tcPr>
            <w:tcW w:w="105" w:type="dxa"/>
            <w:tcBorders/>
            <w:shd w:fill="auto" w:val="clear"/>
          </w:tcPr>
          <w:p>
            <w:pPr>
              <w:pStyle w:val="TableContents"/>
              <w:spacing w:before="0" w:after="283"/>
              <w:jc w:val="center"/>
              <w:rPr/>
            </w:pPr>
            <w:r>
              <w:rPr/>
              <w:t> </w:t>
            </w:r>
          </w:p>
        </w:tc>
        <w:tc>
          <w:tcPr>
            <w:tcW w:w="851" w:type="dxa"/>
            <w:tcBorders/>
            <w:shd w:fill="auto" w:val="clear"/>
          </w:tcPr>
          <w:p>
            <w:pPr>
              <w:pStyle w:val="TableContents"/>
              <w:spacing w:before="0" w:after="283"/>
              <w:jc w:val="right"/>
              <w:rPr/>
            </w:pPr>
            <w:r>
              <w:rPr/>
              <w:t> </w:t>
            </w:r>
          </w:p>
        </w:tc>
        <w:tc>
          <w:tcPr>
            <w:tcW w:w="212" w:type="dxa"/>
            <w:tcBorders/>
            <w:shd w:fill="auto" w:val="clear"/>
            <w:vAlign w:val="center"/>
          </w:tcPr>
          <w:p>
            <w:pPr>
              <w:pStyle w:val="TableContents"/>
              <w:spacing w:before="0" w:after="283"/>
              <w:rPr/>
            </w:pPr>
            <w:r>
              <w:rPr/>
              <w:t> </w:t>
            </w:r>
          </w:p>
        </w:tc>
      </w:tr>
      <w:tr>
        <w:trPr/>
        <w:tc>
          <w:tcPr>
            <w:tcW w:w="3722" w:type="dxa"/>
            <w:tcBorders/>
            <w:shd w:fill="auto" w:val="clear"/>
          </w:tcPr>
          <w:p>
            <w:pPr>
              <w:pStyle w:val="TableContents"/>
              <w:spacing w:before="0" w:after="283"/>
              <w:ind w:left="173" w:right="0" w:hanging="173"/>
              <w:rPr>
                <w:sz w:val="20"/>
              </w:rPr>
            </w:pPr>
            <w:r>
              <w:rPr>
                <w:sz w:val="20"/>
              </w:rPr>
              <w:t>*Participant Loans</w:t>
            </w:r>
          </w:p>
        </w:tc>
        <w:tc>
          <w:tcPr>
            <w:tcW w:w="105" w:type="dxa"/>
            <w:tcBorders/>
            <w:shd w:fill="auto" w:val="clear"/>
          </w:tcPr>
          <w:p>
            <w:pPr>
              <w:pStyle w:val="TableContents"/>
              <w:spacing w:before="0" w:after="283"/>
              <w:rPr/>
            </w:pPr>
            <w:r>
              <w:rPr/>
              <w:t> </w:t>
            </w:r>
          </w:p>
        </w:tc>
        <w:tc>
          <w:tcPr>
            <w:tcW w:w="4042" w:type="dxa"/>
            <w:tcBorders/>
            <w:shd w:fill="auto" w:val="clear"/>
            <w:vAlign w:val="bottom"/>
          </w:tcPr>
          <w:p>
            <w:pPr>
              <w:pStyle w:val="TableContents"/>
              <w:spacing w:before="0" w:after="283"/>
              <w:jc w:val="center"/>
              <w:rPr>
                <w:sz w:val="20"/>
              </w:rPr>
            </w:pPr>
            <w:r>
              <w:rPr>
                <w:sz w:val="20"/>
              </w:rPr>
              <w:t>(Interest rates range from 4.0% - 11.0%, maturing through November 30, 2031)</w:t>
            </w:r>
          </w:p>
        </w:tc>
        <w:tc>
          <w:tcPr>
            <w:tcW w:w="105" w:type="dxa"/>
            <w:tcBorders/>
            <w:shd w:fill="auto" w:val="clear"/>
          </w:tcPr>
          <w:p>
            <w:pPr>
              <w:pStyle w:val="TableContents"/>
              <w:spacing w:before="0" w:after="283"/>
              <w:rPr/>
            </w:pPr>
            <w:r>
              <w:rPr/>
              <w:t> </w:t>
            </w:r>
          </w:p>
        </w:tc>
        <w:tc>
          <w:tcPr>
            <w:tcW w:w="1063" w:type="dxa"/>
            <w:tcBorders/>
            <w:shd w:fill="auto" w:val="clear"/>
            <w:vAlign w:val="bottom"/>
          </w:tcPr>
          <w:p>
            <w:pPr>
              <w:pStyle w:val="TableContents"/>
              <w:spacing w:before="0" w:after="283"/>
              <w:jc w:val="center"/>
              <w:rPr>
                <w:sz w:val="20"/>
              </w:rPr>
            </w:pPr>
            <w:r>
              <w:rPr>
                <w:sz w:val="20"/>
              </w:rPr>
              <w:t>**</w:t>
            </w:r>
          </w:p>
        </w:tc>
        <w:tc>
          <w:tcPr>
            <w:tcW w:w="105" w:type="dxa"/>
            <w:tcBorders/>
            <w:shd w:fill="auto" w:val="clear"/>
          </w:tcPr>
          <w:p>
            <w:pPr>
              <w:pStyle w:val="TableContents"/>
              <w:spacing w:before="0" w:after="283"/>
              <w:jc w:val="center"/>
              <w:rPr/>
            </w:pPr>
            <w:r>
              <w:rPr/>
              <w:t> </w:t>
            </w:r>
          </w:p>
        </w:tc>
        <w:tc>
          <w:tcPr>
            <w:tcW w:w="851" w:type="dxa"/>
            <w:tcBorders/>
            <w:shd w:fill="auto" w:val="clear"/>
            <w:vAlign w:val="bottom"/>
          </w:tcPr>
          <w:p>
            <w:pPr>
              <w:pStyle w:val="TableContents"/>
              <w:spacing w:before="0" w:after="283"/>
              <w:jc w:val="right"/>
              <w:rPr>
                <w:sz w:val="20"/>
              </w:rPr>
            </w:pPr>
            <w:r>
              <w:rPr>
                <w:sz w:val="20"/>
              </w:rPr>
              <w:t>144</w:t>
            </w:r>
          </w:p>
        </w:tc>
        <w:tc>
          <w:tcPr>
            <w:tcW w:w="212" w:type="dxa"/>
            <w:tcBorders/>
            <w:shd w:fill="auto" w:val="clear"/>
            <w:vAlign w:val="center"/>
          </w:tcPr>
          <w:p>
            <w:pPr>
              <w:pStyle w:val="TableContents"/>
              <w:spacing w:before="0" w:after="283"/>
              <w:rPr/>
            </w:pPr>
            <w:r>
              <w:rPr/>
              <w:t> </w:t>
            </w:r>
          </w:p>
        </w:tc>
      </w:tr>
      <w:tr>
        <w:trPr/>
        <w:tc>
          <w:tcPr>
            <w:tcW w:w="3722" w:type="dxa"/>
            <w:tcBorders/>
            <w:shd w:fill="auto" w:val="clear"/>
          </w:tcPr>
          <w:p>
            <w:pPr>
              <w:pStyle w:val="TableContents"/>
              <w:spacing w:before="0" w:after="283"/>
              <w:ind w:left="173" w:right="0" w:hanging="173"/>
              <w:rPr/>
            </w:pPr>
            <w:r>
              <w:rPr/>
              <w:t> </w:t>
            </w:r>
          </w:p>
        </w:tc>
        <w:tc>
          <w:tcPr>
            <w:tcW w:w="105" w:type="dxa"/>
            <w:tcBorders/>
            <w:shd w:fill="auto" w:val="clear"/>
          </w:tcPr>
          <w:p>
            <w:pPr>
              <w:pStyle w:val="TableContents"/>
              <w:spacing w:before="0" w:after="283"/>
              <w:rPr/>
            </w:pPr>
            <w:r>
              <w:rPr/>
              <w:t> </w:t>
            </w:r>
          </w:p>
        </w:tc>
        <w:tc>
          <w:tcPr>
            <w:tcW w:w="4042" w:type="dxa"/>
            <w:tcBorders/>
            <w:shd w:fill="auto" w:val="clear"/>
          </w:tcPr>
          <w:p>
            <w:pPr>
              <w:pStyle w:val="TableContents"/>
              <w:spacing w:before="0" w:after="283"/>
              <w:ind w:left="173" w:right="0" w:hanging="173"/>
              <w:rPr/>
            </w:pPr>
            <w:r>
              <w:rPr/>
              <w:t> </w:t>
            </w:r>
          </w:p>
        </w:tc>
        <w:tc>
          <w:tcPr>
            <w:tcW w:w="105" w:type="dxa"/>
            <w:tcBorders/>
            <w:shd w:fill="auto" w:val="clear"/>
          </w:tcPr>
          <w:p>
            <w:pPr>
              <w:pStyle w:val="TableContents"/>
              <w:spacing w:before="0" w:after="283"/>
              <w:rPr/>
            </w:pPr>
            <w:r>
              <w:rPr/>
              <w:t> </w:t>
            </w:r>
          </w:p>
        </w:tc>
        <w:tc>
          <w:tcPr>
            <w:tcW w:w="1063" w:type="dxa"/>
            <w:tcBorders/>
            <w:shd w:fill="auto" w:val="clear"/>
          </w:tcPr>
          <w:p>
            <w:pPr>
              <w:pStyle w:val="TableContents"/>
              <w:spacing w:before="0" w:after="283"/>
              <w:jc w:val="center"/>
              <w:rPr/>
            </w:pPr>
            <w:r>
              <w:rPr/>
              <w:t> </w:t>
            </w:r>
          </w:p>
        </w:tc>
        <w:tc>
          <w:tcPr>
            <w:tcW w:w="105" w:type="dxa"/>
            <w:tcBorders/>
            <w:shd w:fill="auto" w:val="clear"/>
          </w:tcPr>
          <w:p>
            <w:pPr>
              <w:pStyle w:val="TableContents"/>
              <w:spacing w:before="0" w:after="283"/>
              <w:jc w:val="center"/>
              <w:rPr/>
            </w:pPr>
            <w:r>
              <w:rPr/>
              <w:t> </w:t>
            </w:r>
          </w:p>
        </w:tc>
        <w:tc>
          <w:tcPr>
            <w:tcW w:w="851" w:type="dxa"/>
            <w:tcBorders/>
            <w:shd w:fill="auto" w:val="clear"/>
          </w:tcPr>
          <w:p>
            <w:pPr>
              <w:pStyle w:val="HorizontalLine"/>
              <w:pBdr>
                <w:bottom w:val="single" w:sz="6" w:space="0" w:color="808080"/>
              </w:pBdr>
              <w:spacing w:before="0" w:after="283"/>
              <w:rPr/>
            </w:pPr>
            <w:r>
              <w:rPr/>
            </w:r>
          </w:p>
        </w:tc>
        <w:tc>
          <w:tcPr>
            <w:tcW w:w="212" w:type="dxa"/>
            <w:tcBorders/>
            <w:shd w:fill="auto" w:val="clear"/>
            <w:vAlign w:val="center"/>
          </w:tcPr>
          <w:p>
            <w:pPr>
              <w:pStyle w:val="TableContents"/>
              <w:spacing w:before="0" w:after="283"/>
              <w:rPr/>
            </w:pPr>
            <w:r>
              <w:rPr/>
              <w:t> </w:t>
            </w:r>
          </w:p>
        </w:tc>
      </w:tr>
      <w:tr>
        <w:trPr/>
        <w:tc>
          <w:tcPr>
            <w:tcW w:w="3722" w:type="dxa"/>
            <w:tcBorders/>
            <w:shd w:fill="E6E6E6" w:val="clear"/>
          </w:tcPr>
          <w:p>
            <w:pPr>
              <w:pStyle w:val="TableContents"/>
              <w:spacing w:before="0" w:after="283"/>
              <w:ind w:left="173" w:right="0" w:hanging="173"/>
              <w:rPr/>
            </w:pPr>
            <w:r>
              <w:rPr/>
              <w:t> </w:t>
            </w:r>
          </w:p>
        </w:tc>
        <w:tc>
          <w:tcPr>
            <w:tcW w:w="105" w:type="dxa"/>
            <w:tcBorders/>
            <w:shd w:fill="E6E6E6" w:val="clear"/>
          </w:tcPr>
          <w:p>
            <w:pPr>
              <w:pStyle w:val="TableContents"/>
              <w:spacing w:before="0" w:after="283"/>
              <w:rPr/>
            </w:pPr>
            <w:r>
              <w:rPr/>
              <w:t> </w:t>
            </w:r>
          </w:p>
        </w:tc>
        <w:tc>
          <w:tcPr>
            <w:tcW w:w="4042" w:type="dxa"/>
            <w:tcBorders/>
            <w:shd w:fill="E6E6E6" w:val="clear"/>
          </w:tcPr>
          <w:p>
            <w:pPr>
              <w:pStyle w:val="TableContents"/>
              <w:spacing w:before="0" w:after="283"/>
              <w:ind w:left="173" w:right="0" w:hanging="173"/>
              <w:rPr/>
            </w:pPr>
            <w:r>
              <w:rPr/>
              <w:t> </w:t>
            </w:r>
          </w:p>
        </w:tc>
        <w:tc>
          <w:tcPr>
            <w:tcW w:w="105" w:type="dxa"/>
            <w:tcBorders/>
            <w:shd w:fill="E6E6E6" w:val="clear"/>
          </w:tcPr>
          <w:p>
            <w:pPr>
              <w:pStyle w:val="TableContents"/>
              <w:spacing w:before="0" w:after="283"/>
              <w:rPr/>
            </w:pPr>
            <w:r>
              <w:rPr/>
              <w:t> </w:t>
            </w:r>
          </w:p>
        </w:tc>
        <w:tc>
          <w:tcPr>
            <w:tcW w:w="1063" w:type="dxa"/>
            <w:tcBorders/>
            <w:shd w:fill="E6E6E6" w:val="clear"/>
          </w:tcPr>
          <w:p>
            <w:pPr>
              <w:pStyle w:val="TableContents"/>
              <w:spacing w:before="0" w:after="283"/>
              <w:jc w:val="center"/>
              <w:rPr/>
            </w:pPr>
            <w:r>
              <w:rPr/>
              <w:t> </w:t>
            </w:r>
          </w:p>
        </w:tc>
        <w:tc>
          <w:tcPr>
            <w:tcW w:w="105" w:type="dxa"/>
            <w:tcBorders/>
            <w:shd w:fill="E6E6E6" w:val="clear"/>
          </w:tcPr>
          <w:p>
            <w:pPr>
              <w:pStyle w:val="TableContents"/>
              <w:spacing w:before="0" w:after="283"/>
              <w:jc w:val="center"/>
              <w:rPr/>
            </w:pPr>
            <w:r>
              <w:rPr/>
              <w:t> </w:t>
            </w:r>
          </w:p>
        </w:tc>
        <w:tc>
          <w:tcPr>
            <w:tcW w:w="851" w:type="dxa"/>
            <w:tcBorders/>
            <w:shd w:fill="E6E6E6" w:val="clear"/>
          </w:tcPr>
          <w:p>
            <w:pPr>
              <w:pStyle w:val="TableContents"/>
              <w:spacing w:before="0" w:after="283"/>
              <w:jc w:val="right"/>
              <w:rPr>
                <w:sz w:val="20"/>
              </w:rPr>
            </w:pPr>
            <w:r>
              <w:rPr>
                <w:sz w:val="20"/>
              </w:rPr>
              <w:t>8,267</w:t>
            </w:r>
          </w:p>
        </w:tc>
        <w:tc>
          <w:tcPr>
            <w:tcW w:w="212" w:type="dxa"/>
            <w:tcBorders/>
            <w:shd w:fill="E6E6E6" w:val="clear"/>
            <w:vAlign w:val="center"/>
          </w:tcPr>
          <w:p>
            <w:pPr>
              <w:pStyle w:val="TableContents"/>
              <w:spacing w:before="0" w:after="283"/>
              <w:rPr/>
            </w:pPr>
            <w:r>
              <w:rPr/>
              <w:t> </w:t>
            </w:r>
          </w:p>
        </w:tc>
      </w:tr>
      <w:tr>
        <w:trPr/>
        <w:tc>
          <w:tcPr>
            <w:tcW w:w="3722" w:type="dxa"/>
            <w:tcBorders/>
            <w:shd w:fill="auto" w:val="clear"/>
          </w:tcPr>
          <w:p>
            <w:pPr>
              <w:pStyle w:val="TableContents"/>
              <w:spacing w:before="0" w:after="283"/>
              <w:ind w:left="173" w:right="0" w:hanging="173"/>
              <w:rPr/>
            </w:pPr>
            <w:r>
              <w:rPr/>
              <w:t> </w:t>
            </w:r>
          </w:p>
        </w:tc>
        <w:tc>
          <w:tcPr>
            <w:tcW w:w="105" w:type="dxa"/>
            <w:tcBorders/>
            <w:shd w:fill="auto" w:val="clear"/>
          </w:tcPr>
          <w:p>
            <w:pPr>
              <w:pStyle w:val="TableContents"/>
              <w:spacing w:before="0" w:after="283"/>
              <w:rPr/>
            </w:pPr>
            <w:r>
              <w:rPr/>
              <w:t> </w:t>
            </w:r>
          </w:p>
        </w:tc>
        <w:tc>
          <w:tcPr>
            <w:tcW w:w="4042" w:type="dxa"/>
            <w:tcBorders/>
            <w:shd w:fill="auto" w:val="clear"/>
          </w:tcPr>
          <w:p>
            <w:pPr>
              <w:pStyle w:val="TableContents"/>
              <w:spacing w:before="0" w:after="283"/>
              <w:ind w:left="173" w:right="0" w:hanging="173"/>
              <w:rPr/>
            </w:pPr>
            <w:r>
              <w:rPr/>
              <w:t> </w:t>
            </w:r>
          </w:p>
        </w:tc>
        <w:tc>
          <w:tcPr>
            <w:tcW w:w="105" w:type="dxa"/>
            <w:tcBorders/>
            <w:shd w:fill="auto" w:val="clear"/>
          </w:tcPr>
          <w:p>
            <w:pPr>
              <w:pStyle w:val="TableContents"/>
              <w:spacing w:before="0" w:after="283"/>
              <w:rPr/>
            </w:pPr>
            <w:r>
              <w:rPr/>
              <w:t> </w:t>
            </w:r>
          </w:p>
        </w:tc>
        <w:tc>
          <w:tcPr>
            <w:tcW w:w="1063" w:type="dxa"/>
            <w:tcBorders/>
            <w:shd w:fill="auto" w:val="clear"/>
          </w:tcPr>
          <w:p>
            <w:pPr>
              <w:pStyle w:val="TableContents"/>
              <w:spacing w:before="0" w:after="283"/>
              <w:jc w:val="center"/>
              <w:rPr/>
            </w:pPr>
            <w:r>
              <w:rPr/>
              <w:t> </w:t>
            </w:r>
          </w:p>
        </w:tc>
        <w:tc>
          <w:tcPr>
            <w:tcW w:w="105" w:type="dxa"/>
            <w:tcBorders/>
            <w:shd w:fill="auto" w:val="clear"/>
          </w:tcPr>
          <w:p>
            <w:pPr>
              <w:pStyle w:val="TableContents"/>
              <w:spacing w:before="0" w:after="283"/>
              <w:jc w:val="center"/>
              <w:rPr/>
            </w:pPr>
            <w:r>
              <w:rPr/>
              <w:t> </w:t>
            </w:r>
          </w:p>
        </w:tc>
        <w:tc>
          <w:tcPr>
            <w:tcW w:w="851" w:type="dxa"/>
            <w:tcBorders/>
            <w:shd w:fill="auto" w:val="clear"/>
          </w:tcPr>
          <w:p>
            <w:pPr>
              <w:pStyle w:val="HorizontalLine"/>
              <w:pBdr>
                <w:bottom w:val="single" w:sz="6" w:space="0" w:color="808080"/>
              </w:pBdr>
              <w:spacing w:before="0" w:after="283"/>
              <w:rPr/>
            </w:pPr>
            <w:r>
              <w:rPr/>
            </w:r>
          </w:p>
        </w:tc>
        <w:tc>
          <w:tcPr>
            <w:tcW w:w="212" w:type="dxa"/>
            <w:tcBorders/>
            <w:shd w:fill="auto" w:val="clear"/>
            <w:vAlign w:val="center"/>
          </w:tcPr>
          <w:p>
            <w:pPr>
              <w:pStyle w:val="TableContents"/>
              <w:spacing w:before="0" w:after="283"/>
              <w:rPr/>
            </w:pPr>
            <w:r>
              <w:rPr/>
              <w:t> </w:t>
            </w:r>
          </w:p>
        </w:tc>
      </w:tr>
    </w:tbl>
    <w:p>
      <w:pPr>
        <w:pStyle w:val="TextBody"/>
        <w:rPr>
          <w:sz w:val="20"/>
        </w:rPr>
      </w:pPr>
      <w:r>
        <w:rPr>
          <w:sz w:val="20"/>
        </w:rPr>
        <w:t>* Party-in-interest.</w:t>
      </w:r>
    </w:p>
    <w:p>
      <w:pPr>
        <w:pStyle w:val="TextBody"/>
        <w:rPr>
          <w:sz w:val="20"/>
        </w:rPr>
      </w:pPr>
      <w:r>
        <w:rPr>
          <w:sz w:val="20"/>
        </w:rPr>
        <w:t>** Cost information not required for participant-directed investments.</w:t>
      </w:r>
    </w:p>
    <w:p>
      <w:pPr>
        <w:pStyle w:val="TextBody"/>
        <w:jc w:val="center"/>
        <w:rPr>
          <w:sz w:val="20"/>
        </w:rPr>
      </w:pPr>
      <w:r>
        <w:rPr>
          <w:sz w:val="20"/>
        </w:rPr>
        <w:t>14</w:t>
      </w:r>
    </w:p>
    <w:p>
      <w:pPr>
        <w:pStyle w:val="HorizontalLine"/>
        <w:pBdr>
          <w:bottom w:val="single" w:sz="24" w:space="0" w:color="808080"/>
        </w:pBdr>
        <w:rPr/>
      </w:pPr>
      <w:r>
        <w:rPr/>
      </w:r>
      <w:r>
        <w:br w:type="page"/>
      </w:r>
    </w:p>
    <w:p>
      <w:pPr>
        <w:pStyle w:val="TextBody"/>
        <w:jc w:val="center"/>
        <w:rPr>
          <w:b/>
          <w:sz w:val="20"/>
          <w:u w:val="single"/>
        </w:rPr>
      </w:pPr>
      <w:bookmarkStart w:id="9" w:name="A006"/>
      <w:bookmarkEnd w:id="9"/>
      <w:r>
        <w:rPr>
          <w:b/>
          <w:sz w:val="20"/>
          <w:u w:val="single"/>
        </w:rPr>
        <w:t>Signatures</w:t>
      </w:r>
    </w:p>
    <w:p>
      <w:pPr>
        <w:pStyle w:val="TextBody"/>
        <w:rPr>
          <w:sz w:val="20"/>
        </w:rPr>
      </w:pPr>
      <w:r>
        <w:rPr>
          <w:i/>
          <w:sz w:val="20"/>
        </w:rPr>
        <w:t>The Plan</w:t>
      </w:r>
      <w:r>
        <w:rPr>
          <w:sz w:val="20"/>
        </w:rPr>
        <w:t>. Pursuant to the requirements of the Securities Exchange Act of 1934, the Plan administrator has duly caused this Annual Report to be signed on its behalf by the undersigned hereunto duly authorized.</w:t>
      </w:r>
    </w:p>
    <w:tbl>
      <w:tblPr>
        <w:tblW w:w="5000" w:type="pct"/>
        <w:jc w:val="center"/>
        <w:tblInd w:w="0" w:type="dxa"/>
        <w:tblCellMar>
          <w:top w:w="0" w:type="dxa"/>
          <w:left w:w="0" w:type="dxa"/>
          <w:bottom w:w="0" w:type="dxa"/>
          <w:right w:w="0" w:type="dxa"/>
        </w:tblCellMar>
      </w:tblPr>
      <w:tblGrid>
        <w:gridCol w:w="5071"/>
        <w:gridCol w:w="452"/>
        <w:gridCol w:w="4682"/>
      </w:tblGrid>
      <w:tr>
        <w:trPr/>
        <w:tc>
          <w:tcPr>
            <w:tcW w:w="5071"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4682" w:type="dxa"/>
            <w:tcBorders/>
            <w:shd w:fill="auto" w:val="clear"/>
            <w:vAlign w:val="bottom"/>
          </w:tcPr>
          <w:p>
            <w:pPr>
              <w:pStyle w:val="TableContents"/>
              <w:spacing w:before="0" w:after="283"/>
              <w:rPr/>
            </w:pPr>
            <w:r>
              <w:rPr/>
              <w:t> </w:t>
            </w:r>
          </w:p>
        </w:tc>
      </w:tr>
      <w:tr>
        <w:trPr/>
        <w:tc>
          <w:tcPr>
            <w:tcW w:w="5071" w:type="dxa"/>
            <w:tcBorders/>
            <w:shd w:fill="auto" w:val="clear"/>
            <w:vAlign w:val="bottom"/>
          </w:tcPr>
          <w:p>
            <w:pPr>
              <w:pStyle w:val="TableContents"/>
              <w:spacing w:before="0" w:after="283"/>
              <w:rPr/>
            </w:pPr>
            <w:r>
              <w:rPr/>
              <w:t> </w:t>
            </w:r>
          </w:p>
        </w:tc>
        <w:tc>
          <w:tcPr>
            <w:tcW w:w="5134" w:type="dxa"/>
            <w:gridSpan w:val="2"/>
            <w:tcBorders/>
            <w:shd w:fill="auto" w:val="clear"/>
            <w:vAlign w:val="bottom"/>
          </w:tcPr>
          <w:p>
            <w:pPr>
              <w:pStyle w:val="TableContents"/>
              <w:spacing w:before="0" w:after="283"/>
              <w:rPr>
                <w:sz w:val="20"/>
              </w:rPr>
            </w:pPr>
            <w:r>
              <w:rPr>
                <w:sz w:val="20"/>
              </w:rPr>
              <w:t xml:space="preserve">Honeywell Savings and Ownership Plan </w:t>
            </w:r>
          </w:p>
        </w:tc>
      </w:tr>
      <w:tr>
        <w:trPr/>
        <w:tc>
          <w:tcPr>
            <w:tcW w:w="5071" w:type="dxa"/>
            <w:tcBorders/>
            <w:shd w:fill="auto" w:val="clear"/>
            <w:vAlign w:val="bottom"/>
          </w:tcPr>
          <w:p>
            <w:pPr>
              <w:pStyle w:val="TableContents"/>
              <w:spacing w:before="0" w:after="283"/>
              <w:rPr/>
            </w:pPr>
            <w:r>
              <w:rPr/>
              <w:t> </w:t>
            </w:r>
          </w:p>
        </w:tc>
        <w:tc>
          <w:tcPr>
            <w:tcW w:w="5134" w:type="dxa"/>
            <w:gridSpan w:val="2"/>
            <w:tcBorders/>
            <w:shd w:fill="auto" w:val="clear"/>
            <w:vAlign w:val="bottom"/>
          </w:tcPr>
          <w:p>
            <w:pPr>
              <w:pStyle w:val="TableContents"/>
              <w:spacing w:before="0" w:after="283"/>
              <w:rPr/>
            </w:pPr>
            <w:r>
              <w:rPr/>
              <w:t> </w:t>
            </w:r>
          </w:p>
        </w:tc>
      </w:tr>
      <w:tr>
        <w:trPr/>
        <w:tc>
          <w:tcPr>
            <w:tcW w:w="5071" w:type="dxa"/>
            <w:tcBorders/>
            <w:shd w:fill="auto" w:val="clear"/>
            <w:vAlign w:val="bottom"/>
          </w:tcPr>
          <w:p>
            <w:pPr>
              <w:pStyle w:val="TableContents"/>
              <w:spacing w:before="0" w:after="283"/>
              <w:rPr/>
            </w:pPr>
            <w:r>
              <w:rPr/>
              <w:t> </w:t>
            </w:r>
          </w:p>
        </w:tc>
        <w:tc>
          <w:tcPr>
            <w:tcW w:w="5134" w:type="dxa"/>
            <w:gridSpan w:val="2"/>
            <w:tcBorders/>
            <w:shd w:fill="auto" w:val="clear"/>
            <w:vAlign w:val="bottom"/>
          </w:tcPr>
          <w:p>
            <w:pPr>
              <w:pStyle w:val="TableContents"/>
              <w:spacing w:before="0" w:after="283"/>
              <w:rPr>
                <w:sz w:val="20"/>
              </w:rPr>
            </w:pPr>
            <w:r>
              <w:rPr>
                <w:sz w:val="20"/>
              </w:rPr>
              <w:t>By: /s/ Brian Marcotte</w:t>
            </w:r>
          </w:p>
        </w:tc>
      </w:tr>
      <w:tr>
        <w:trPr/>
        <w:tc>
          <w:tcPr>
            <w:tcW w:w="5071"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4682" w:type="dxa"/>
            <w:tcBorders/>
            <w:shd w:fill="auto" w:val="clear"/>
            <w:vAlign w:val="bottom"/>
          </w:tcPr>
          <w:p>
            <w:pPr>
              <w:pStyle w:val="HorizontalLine"/>
              <w:pBdr>
                <w:bottom w:val="single" w:sz="6" w:space="0" w:color="808080"/>
              </w:pBdr>
              <w:spacing w:before="0" w:after="283"/>
              <w:rPr/>
            </w:pPr>
            <w:r>
              <w:rPr/>
            </w:r>
          </w:p>
        </w:tc>
      </w:tr>
      <w:tr>
        <w:trPr/>
        <w:tc>
          <w:tcPr>
            <w:tcW w:w="5071" w:type="dxa"/>
            <w:tcBorders/>
            <w:shd w:fill="auto" w:val="clear"/>
            <w:vAlign w:val="bottom"/>
          </w:tcPr>
          <w:p>
            <w:pPr>
              <w:pStyle w:val="TableContents"/>
              <w:spacing w:before="0" w:after="283"/>
              <w:rPr/>
            </w:pPr>
            <w:r>
              <w:rPr/>
              <w:t> </w:t>
            </w:r>
          </w:p>
        </w:tc>
        <w:tc>
          <w:tcPr>
            <w:tcW w:w="5134" w:type="dxa"/>
            <w:gridSpan w:val="2"/>
            <w:tcBorders/>
            <w:shd w:fill="auto" w:val="clear"/>
            <w:vAlign w:val="bottom"/>
          </w:tcPr>
          <w:p>
            <w:pPr>
              <w:pStyle w:val="TableContents"/>
              <w:spacing w:before="0" w:after="283"/>
              <w:ind w:left="518" w:right="0" w:hanging="173"/>
              <w:rPr>
                <w:sz w:val="20"/>
              </w:rPr>
            </w:pPr>
            <w:r>
              <w:rPr>
                <w:sz w:val="20"/>
              </w:rPr>
              <w:t>Brian Marcotte</w:t>
            </w:r>
          </w:p>
        </w:tc>
      </w:tr>
      <w:tr>
        <w:trPr/>
        <w:tc>
          <w:tcPr>
            <w:tcW w:w="5071" w:type="dxa"/>
            <w:tcBorders/>
            <w:shd w:fill="auto" w:val="clear"/>
            <w:vAlign w:val="bottom"/>
          </w:tcPr>
          <w:p>
            <w:pPr>
              <w:pStyle w:val="TableContents"/>
              <w:spacing w:before="0" w:after="283"/>
              <w:rPr/>
            </w:pPr>
            <w:r>
              <w:rPr/>
              <w:t> </w:t>
            </w:r>
          </w:p>
        </w:tc>
        <w:tc>
          <w:tcPr>
            <w:tcW w:w="5134" w:type="dxa"/>
            <w:gridSpan w:val="2"/>
            <w:tcBorders/>
            <w:shd w:fill="auto" w:val="clear"/>
            <w:vAlign w:val="bottom"/>
          </w:tcPr>
          <w:p>
            <w:pPr>
              <w:pStyle w:val="TableContents"/>
              <w:spacing w:before="0" w:after="283"/>
              <w:ind w:left="518" w:right="0" w:hanging="173"/>
              <w:rPr>
                <w:sz w:val="20"/>
              </w:rPr>
            </w:pPr>
            <w:r>
              <w:rPr>
                <w:sz w:val="20"/>
              </w:rPr>
              <w:t>Vice President, Compensation and Benefits</w:t>
            </w:r>
          </w:p>
        </w:tc>
      </w:tr>
      <w:tr>
        <w:trPr/>
        <w:tc>
          <w:tcPr>
            <w:tcW w:w="5071" w:type="dxa"/>
            <w:tcBorders/>
            <w:shd w:fill="auto" w:val="clear"/>
            <w:vAlign w:val="bottom"/>
          </w:tcPr>
          <w:p>
            <w:pPr>
              <w:pStyle w:val="TableContents"/>
              <w:spacing w:before="0" w:after="283"/>
              <w:rPr/>
            </w:pPr>
            <w:r>
              <w:rPr/>
              <w:t> </w:t>
            </w:r>
          </w:p>
        </w:tc>
        <w:tc>
          <w:tcPr>
            <w:tcW w:w="5134" w:type="dxa"/>
            <w:gridSpan w:val="2"/>
            <w:tcBorders/>
            <w:shd w:fill="auto" w:val="clear"/>
            <w:vAlign w:val="bottom"/>
          </w:tcPr>
          <w:p>
            <w:pPr>
              <w:pStyle w:val="TableContents"/>
              <w:spacing w:before="0" w:after="283"/>
              <w:rPr/>
            </w:pPr>
            <w:r>
              <w:rPr/>
              <w:t> </w:t>
            </w:r>
          </w:p>
        </w:tc>
      </w:tr>
      <w:tr>
        <w:trPr/>
        <w:tc>
          <w:tcPr>
            <w:tcW w:w="5071" w:type="dxa"/>
            <w:tcBorders/>
            <w:shd w:fill="auto" w:val="clear"/>
            <w:vAlign w:val="bottom"/>
          </w:tcPr>
          <w:p>
            <w:pPr>
              <w:pStyle w:val="TableContents"/>
              <w:spacing w:before="0" w:after="283"/>
              <w:rPr>
                <w:sz w:val="20"/>
              </w:rPr>
            </w:pPr>
            <w:r>
              <w:rPr>
                <w:sz w:val="20"/>
              </w:rPr>
              <w:t>Date: June 27, 2007</w:t>
            </w:r>
          </w:p>
        </w:tc>
        <w:tc>
          <w:tcPr>
            <w:tcW w:w="5134" w:type="dxa"/>
            <w:gridSpan w:val="2"/>
            <w:tcBorders/>
            <w:shd w:fill="auto" w:val="clear"/>
            <w:vAlign w:val="bottom"/>
          </w:tcPr>
          <w:p>
            <w:pPr>
              <w:pStyle w:val="TableContents"/>
              <w:spacing w:before="0" w:after="283"/>
              <w:rPr/>
            </w:pPr>
            <w:r>
              <w:rPr/>
              <w:t> </w:t>
            </w:r>
          </w:p>
        </w:tc>
      </w:tr>
    </w:tbl>
    <w:p>
      <w:pPr>
        <w:pStyle w:val="TextBody"/>
        <w:jc w:val="center"/>
        <w:rPr>
          <w:sz w:val="20"/>
        </w:rPr>
      </w:pPr>
      <w:r>
        <w:rPr>
          <w:sz w:val="20"/>
        </w:rPr>
        <w:t>15</w:t>
      </w:r>
    </w:p>
    <w:p>
      <w:pPr>
        <w:pStyle w:val="HorizontalLine"/>
        <w:pBdr>
          <w:bottom w:val="single" w:sz="24" w:space="0" w:color="808080"/>
        </w:pBdr>
        <w:rPr/>
      </w:pPr>
      <w:r>
        <w:rPr/>
      </w:r>
      <w:r>
        <w:br w:type="page"/>
      </w:r>
    </w:p>
    <w:p>
      <w:pPr>
        <w:pStyle w:val="TextBody"/>
        <w:jc w:val="right"/>
        <w:rPr>
          <w:b/>
          <w:sz w:val="20"/>
        </w:rPr>
      </w:pPr>
      <w:bookmarkStart w:id="10" w:name="A007"/>
      <w:bookmarkEnd w:id="10"/>
      <w:r>
        <w:rPr>
          <w:b/>
          <w:sz w:val="20"/>
        </w:rPr>
        <w:t>Exhibit I</w:t>
      </w:r>
    </w:p>
    <w:p>
      <w:pPr>
        <w:pStyle w:val="TextBody"/>
        <w:jc w:val="center"/>
        <w:rPr>
          <w:b/>
          <w:sz w:val="20"/>
        </w:rPr>
      </w:pPr>
      <w:r>
        <w:rPr>
          <w:b/>
          <w:sz w:val="20"/>
        </w:rPr>
        <w:t>Consent of Independent Registered Public Accounting Firm</w:t>
      </w:r>
    </w:p>
    <w:p>
      <w:pPr>
        <w:pStyle w:val="TextBody"/>
        <w:rPr>
          <w:sz w:val="20"/>
        </w:rPr>
      </w:pPr>
      <w:r>
        <w:rPr>
          <w:sz w:val="20"/>
        </w:rPr>
        <w:t>We hereby consent to the incorporation by reference in the Registration Statement on Form S-8 (No. 333-91582) of Honeywell International Inc. of our report dated June 20, 2007 relating to the financial statements of the Honeywell Savings and Ownership Plan, which appears in this Form 11-K.</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283"/>
              <w:rPr/>
            </w:pPr>
            <w:r>
              <w:rPr/>
              <w:t> </w:t>
            </w:r>
          </w:p>
        </w:tc>
      </w:tr>
      <w:tr>
        <w:trPr/>
        <w:tc>
          <w:tcPr>
            <w:tcW w:w="10205" w:type="dxa"/>
            <w:tcBorders/>
            <w:shd w:fill="auto" w:val="clear"/>
            <w:vAlign w:val="bottom"/>
          </w:tcPr>
          <w:p>
            <w:pPr>
              <w:pStyle w:val="TableContents"/>
              <w:spacing w:before="0" w:after="283"/>
              <w:rPr>
                <w:sz w:val="20"/>
              </w:rPr>
            </w:pPr>
            <w:r>
              <w:rPr>
                <w:sz w:val="20"/>
              </w:rPr>
              <w:t>/s/ PricewaterhouseCoopers LLP</w:t>
            </w:r>
          </w:p>
        </w:tc>
      </w:tr>
      <w:tr>
        <w:trPr/>
        <w:tc>
          <w:tcPr>
            <w:tcW w:w="10205" w:type="dxa"/>
            <w:tcBorders/>
            <w:shd w:fill="auto" w:val="clear"/>
            <w:vAlign w:val="bottom"/>
          </w:tcPr>
          <w:p>
            <w:pPr>
              <w:pStyle w:val="HorizontalLine"/>
              <w:pBdr>
                <w:bottom w:val="single" w:sz="6" w:space="0" w:color="808080"/>
              </w:pBdr>
              <w:spacing w:before="0" w:after="283"/>
              <w:rPr/>
            </w:pPr>
            <w:r>
              <w:rPr/>
            </w:r>
          </w:p>
        </w:tc>
      </w:tr>
      <w:tr>
        <w:trPr/>
        <w:tc>
          <w:tcPr>
            <w:tcW w:w="10205" w:type="dxa"/>
            <w:tcBorders/>
            <w:shd w:fill="auto" w:val="clear"/>
            <w:vAlign w:val="bottom"/>
          </w:tcPr>
          <w:p>
            <w:pPr>
              <w:pStyle w:val="TableContents"/>
              <w:spacing w:before="0" w:after="283"/>
              <w:rPr>
                <w:sz w:val="20"/>
              </w:rPr>
            </w:pPr>
            <w:r>
              <w:rPr>
                <w:sz w:val="20"/>
              </w:rPr>
              <w:t>PricewaterhouseCoopers LLP</w:t>
            </w:r>
          </w:p>
        </w:tc>
      </w:tr>
      <w:tr>
        <w:trPr/>
        <w:tc>
          <w:tcPr>
            <w:tcW w:w="10205" w:type="dxa"/>
            <w:tcBorders/>
            <w:shd w:fill="auto" w:val="clear"/>
            <w:vAlign w:val="bottom"/>
          </w:tcPr>
          <w:p>
            <w:pPr>
              <w:pStyle w:val="TableContents"/>
              <w:spacing w:before="0" w:after="283"/>
              <w:rPr>
                <w:sz w:val="20"/>
              </w:rPr>
            </w:pPr>
            <w:r>
              <w:rPr>
                <w:sz w:val="20"/>
              </w:rPr>
              <w:t>Florham Park, New Jersey</w:t>
            </w:r>
          </w:p>
        </w:tc>
      </w:tr>
      <w:tr>
        <w:trPr/>
        <w:tc>
          <w:tcPr>
            <w:tcW w:w="10205" w:type="dxa"/>
            <w:tcBorders/>
            <w:shd w:fill="auto" w:val="clear"/>
            <w:vAlign w:val="bottom"/>
          </w:tcPr>
          <w:p>
            <w:pPr>
              <w:pStyle w:val="TableContents"/>
              <w:spacing w:before="0" w:after="283"/>
              <w:rPr>
                <w:sz w:val="20"/>
              </w:rPr>
            </w:pPr>
            <w:r>
              <w:rPr>
                <w:sz w:val="20"/>
              </w:rPr>
              <w:t>June 27, 2007</w:t>
            </w:r>
          </w:p>
        </w:tc>
      </w:tr>
    </w:tbl>
    <w:p>
      <w:pPr>
        <w:pStyle w:val="TextBody"/>
        <w:spacing w:before="0" w:after="283"/>
        <w:jc w:val="center"/>
        <w:rPr>
          <w:sz w:val="20"/>
        </w:rPr>
      </w:pPr>
      <w:r>
        <w:rPr>
          <w:sz w:val="20"/>
        </w:rPr>
        <w:t>16</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4309</Words>
  <CharactersWithSpaces>27677</CharactersWithSpaces>
  <Paragraphs>1209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