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655836ds3asr.htm"/>
        <w:bookmarkStart w:id="1" w:name="ksd655836ds3asr"/>
        <w:bookmarkEnd w:id="0"/>
        <w:bookmarkEnd w:id="1"/>
        <w:r>
          <w:rPr>
            <w:rStyle w:val="InternetLink"/>
          </w:rPr>
          <w:t>Table of Contents</w:t>
        </w:r>
      </w:hyperlink>
    </w:p>
    <w:p>
      <w:pPr>
        <w:pStyle w:val="TextBody"/>
        <w:spacing w:before="0" w:after="0"/>
        <w:jc w:val="center"/>
        <w:rPr>
          <w:rFonts w:ascii="Times New Roman" w:hAnsi="Times New Roman"/>
          <w:b/>
          <w:sz w:val="13"/>
        </w:rPr>
      </w:pPr>
      <w:r>
        <w:rPr>
          <w:rFonts w:ascii="Times New Roman" w:hAnsi="Times New Roman"/>
          <w:b/>
          <w:sz w:val="13"/>
        </w:rPr>
        <w:t xml:space="preserve">As filed with the Securities and Exchange Commission on December 10, 2018 </w:t>
      </w:r>
    </w:p>
    <w:p>
      <w:pPr>
        <w:pStyle w:val="TextBody"/>
        <w:spacing w:before="0" w:after="0"/>
        <w:jc w:val="right"/>
        <w:rPr>
          <w:rFonts w:ascii="Times New Roman" w:hAnsi="Times New Roman"/>
          <w:b/>
          <w:sz w:val="13"/>
        </w:rPr>
      </w:pPr>
      <w:r>
        <w:rPr>
          <w:rFonts w:ascii="Times New Roman" w:hAnsi="Times New Roman"/>
          <w:b/>
          <w:sz w:val="13"/>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27"/>
        </w:rPr>
      </w:pPr>
      <w:r>
        <w:rPr>
          <w:rFonts w:ascii="Times New Roman" w:hAnsi="Times New Roman"/>
          <w:b/>
          <w:sz w:val="27"/>
        </w:rPr>
        <w:t xml:space="preserve">UNITED STATES </w:t>
      </w:r>
    </w:p>
    <w:p>
      <w:pPr>
        <w:pStyle w:val="TextBody"/>
        <w:spacing w:before="0" w:after="0"/>
        <w:jc w:val="center"/>
        <w:rPr>
          <w:rFonts w:ascii="Times New Roman" w:hAnsi="Times New Roman"/>
          <w:b/>
          <w:sz w:val="27"/>
        </w:rPr>
      </w:pPr>
      <w:r>
        <w:rPr>
          <w:rFonts w:ascii="Times New Roman" w:hAnsi="Times New Roman"/>
          <w:b/>
          <w:sz w:val="27"/>
        </w:rPr>
        <w:t xml:space="preserve">SECURITIES AND EXCHANGE COMMISSION </w:t>
      </w:r>
    </w:p>
    <w:p>
      <w:pPr>
        <w:pStyle w:val="TextBody"/>
        <w:spacing w:before="0" w:after="0"/>
        <w:jc w:val="center"/>
        <w:rPr>
          <w:rFonts w:ascii="Times New Roman" w:hAnsi="Times New Roman"/>
          <w:b/>
          <w:sz w:val="17"/>
        </w:rPr>
      </w:pPr>
      <w:r>
        <w:rPr>
          <w:rFonts w:ascii="Times New Roman" w:hAnsi="Times New Roman"/>
          <w:b/>
          <w:sz w:val="17"/>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80" w:after="0"/>
        <w:jc w:val="center"/>
        <w:rPr>
          <w:rFonts w:ascii="Times New Roman" w:hAnsi="Times New Roman"/>
          <w:b/>
          <w:sz w:val="27"/>
        </w:rPr>
      </w:pPr>
      <w:r>
        <w:rPr>
          <w:rFonts w:ascii="Times New Roman" w:hAnsi="Times New Roman"/>
          <w:b/>
          <w:sz w:val="27"/>
        </w:rPr>
        <w:t xml:space="preserve">FORM S-3 </w:t>
      </w:r>
    </w:p>
    <w:p>
      <w:pPr>
        <w:pStyle w:val="TextBody"/>
        <w:spacing w:before="0" w:after="0"/>
        <w:jc w:val="center"/>
        <w:rPr>
          <w:rFonts w:ascii="Times New Roman" w:hAnsi="Times New Roman"/>
          <w:b/>
          <w:sz w:val="27"/>
        </w:rPr>
      </w:pPr>
      <w:r>
        <w:rPr>
          <w:rFonts w:ascii="Times New Roman" w:hAnsi="Times New Roman"/>
          <w:b/>
          <w:sz w:val="27"/>
        </w:rPr>
        <w:t xml:space="preserve">REGISTRATION STATEMENT </w:t>
      </w:r>
    </w:p>
    <w:p>
      <w:pPr>
        <w:pStyle w:val="TextBody"/>
        <w:spacing w:before="0" w:after="0"/>
        <w:jc w:val="center"/>
        <w:rPr>
          <w:rFonts w:ascii="Times New Roman" w:hAnsi="Times New Roman"/>
          <w:b/>
          <w:i/>
          <w:sz w:val="17"/>
        </w:rPr>
      </w:pPr>
      <w:r>
        <w:rPr>
          <w:rFonts w:ascii="Times New Roman" w:hAnsi="Times New Roman"/>
          <w:b/>
          <w:i/>
          <w:sz w:val="17"/>
        </w:rPr>
        <w:t xml:space="preserve">UNDER </w:t>
      </w:r>
    </w:p>
    <w:p>
      <w:pPr>
        <w:pStyle w:val="TextBody"/>
        <w:spacing w:before="0" w:after="0"/>
        <w:jc w:val="center"/>
        <w:rPr>
          <w:rFonts w:ascii="Times New Roman" w:hAnsi="Times New Roman"/>
          <w:b/>
          <w:i/>
          <w:sz w:val="17"/>
        </w:rPr>
      </w:pPr>
      <w:r>
        <w:rPr>
          <w:rFonts w:ascii="Times New Roman" w:hAnsi="Times New Roman"/>
          <w:b/>
          <w:i/>
          <w:sz w:val="17"/>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80" w:after="0"/>
        <w:jc w:val="center"/>
        <w:rPr>
          <w:rFonts w:ascii="Times New Roman" w:hAnsi="Times New Roman"/>
          <w:b/>
          <w:sz w:val="37"/>
        </w:rPr>
      </w:pPr>
      <w:r>
        <w:rPr>
          <w:rFonts w:ascii="Times New Roman" w:hAnsi="Times New Roman"/>
          <w:b/>
          <w:sz w:val="37"/>
        </w:rPr>
        <w:t xml:space="preserve">HONEYWELL INTERNATIONAL INC. </w:t>
      </w:r>
    </w:p>
    <w:p>
      <w:pPr>
        <w:pStyle w:val="TextBody"/>
        <w:spacing w:before="0" w:after="0"/>
        <w:jc w:val="center"/>
        <w:rPr>
          <w:rFonts w:ascii="Times New Roman" w:hAnsi="Times New Roman"/>
          <w:b/>
          <w:sz w:val="13"/>
        </w:rPr>
      </w:pPr>
      <w:r>
        <w:rPr>
          <w:rFonts w:ascii="Times New Roman" w:hAnsi="Times New Roman"/>
          <w:b/>
          <w:sz w:val="13"/>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4"/>
        <w:gridCol w:w="205"/>
        <w:gridCol w:w="4896"/>
      </w:tblGrid>
      <w:tr>
        <w:trPr/>
        <w:tc>
          <w:tcPr>
            <w:tcW w:w="510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4896"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b/>
              </w:rPr>
            </w:pPr>
            <w:r>
              <w:rPr>
                <w:b/>
              </w:rPr>
              <w:t>Delaware</w:t>
            </w:r>
          </w:p>
        </w:tc>
        <w:tc>
          <w:tcPr>
            <w:tcW w:w="205"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center"/>
              <w:rPr>
                <w:b/>
              </w:rPr>
            </w:pPr>
            <w:r>
              <w:rPr>
                <w:b/>
              </w:rPr>
              <w:t>22-2640650</w:t>
            </w:r>
          </w:p>
        </w:tc>
      </w:tr>
      <w:tr>
        <w:trPr/>
        <w:tc>
          <w:tcPr>
            <w:tcW w:w="5104"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 of</w:t>
            </w:r>
          </w:p>
          <w:p>
            <w:pPr>
              <w:pStyle w:val="TableContents"/>
              <w:spacing w:before="0" w:after="20"/>
              <w:jc w:val="center"/>
              <w:rPr>
                <w:rFonts w:ascii="Times New Roman" w:hAnsi="Times New Roman"/>
                <w:b/>
                <w:sz w:val="13"/>
              </w:rPr>
            </w:pPr>
            <w:r>
              <w:rPr>
                <w:rFonts w:ascii="Times New Roman" w:hAnsi="Times New Roman"/>
                <w:b/>
                <w:sz w:val="13"/>
              </w:rPr>
              <w:t>Incorporation or Organization)</w:t>
            </w:r>
          </w:p>
        </w:tc>
        <w:tc>
          <w:tcPr>
            <w:tcW w:w="205"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80" w:after="0"/>
        <w:jc w:val="center"/>
        <w:rPr>
          <w:rFonts w:ascii="Times New Roman" w:hAnsi="Times New Roman"/>
          <w:b/>
          <w:sz w:val="15"/>
        </w:rPr>
      </w:pPr>
      <w:r>
        <w:rPr>
          <w:rFonts w:ascii="Times New Roman" w:hAnsi="Times New Roman"/>
          <w:b/>
          <w:sz w:val="15"/>
        </w:rPr>
        <w:t xml:space="preserve">115 Tabor Road </w:t>
      </w:r>
    </w:p>
    <w:p>
      <w:pPr>
        <w:pStyle w:val="TextBody"/>
        <w:spacing w:before="0" w:after="0"/>
        <w:jc w:val="center"/>
        <w:rPr>
          <w:rFonts w:ascii="Times New Roman" w:hAnsi="Times New Roman"/>
          <w:b/>
          <w:sz w:val="15"/>
        </w:rPr>
      </w:pPr>
      <w:r>
        <w:rPr>
          <w:rFonts w:ascii="Times New Roman" w:hAnsi="Times New Roman"/>
          <w:b/>
          <w:sz w:val="15"/>
        </w:rPr>
        <w:t xml:space="preserve">Morris Plains, New Jersey 07950 </w:t>
      </w:r>
    </w:p>
    <w:p>
      <w:pPr>
        <w:pStyle w:val="TextBody"/>
        <w:spacing w:before="0" w:after="0"/>
        <w:jc w:val="center"/>
        <w:rPr>
          <w:rFonts w:ascii="Times New Roman" w:hAnsi="Times New Roman"/>
          <w:b/>
          <w:sz w:val="15"/>
        </w:rPr>
      </w:pPr>
      <w:r>
        <w:rPr>
          <w:rFonts w:ascii="Times New Roman" w:hAnsi="Times New Roman"/>
          <w:b/>
          <w:sz w:val="15"/>
        </w:rPr>
        <w:t xml:space="preserve">(973) 455-2000 </w:t>
      </w:r>
    </w:p>
    <w:p>
      <w:pPr>
        <w:pStyle w:val="TextBody"/>
        <w:spacing w:before="0" w:after="0"/>
        <w:jc w:val="center"/>
        <w:rPr>
          <w:rFonts w:ascii="Times New Roman" w:hAnsi="Times New Roman"/>
          <w:b/>
          <w:sz w:val="13"/>
        </w:rPr>
      </w:pPr>
      <w:r>
        <w:rPr>
          <w:rFonts w:ascii="Times New Roman" w:hAnsi="Times New Roman"/>
          <w:b/>
          <w:sz w:val="13"/>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80" w:after="0"/>
        <w:jc w:val="center"/>
        <w:rPr>
          <w:rFonts w:ascii="Times New Roman" w:hAnsi="Times New Roman"/>
          <w:b/>
          <w:sz w:val="15"/>
        </w:rPr>
      </w:pPr>
      <w:r>
        <w:rPr>
          <w:rFonts w:ascii="Times New Roman" w:hAnsi="Times New Roman"/>
          <w:b/>
          <w:sz w:val="15"/>
        </w:rPr>
        <w:t xml:space="preserve">Anne T. Madden, Esq. </w:t>
      </w:r>
    </w:p>
    <w:p>
      <w:pPr>
        <w:pStyle w:val="TextBody"/>
        <w:spacing w:before="0" w:after="0"/>
        <w:jc w:val="center"/>
        <w:rPr>
          <w:rFonts w:ascii="Times New Roman" w:hAnsi="Times New Roman"/>
          <w:b/>
          <w:sz w:val="15"/>
        </w:rPr>
      </w:pPr>
      <w:r>
        <w:rPr>
          <w:rFonts w:ascii="Times New Roman" w:hAnsi="Times New Roman"/>
          <w:b/>
          <w:sz w:val="15"/>
        </w:rPr>
        <w:t xml:space="preserve">Senior Vice President, General Counsel and </w:t>
      </w:r>
    </w:p>
    <w:p>
      <w:pPr>
        <w:pStyle w:val="TextBody"/>
        <w:spacing w:before="0" w:after="0"/>
        <w:jc w:val="center"/>
        <w:rPr>
          <w:rFonts w:ascii="Times New Roman" w:hAnsi="Times New Roman"/>
          <w:b/>
          <w:sz w:val="15"/>
        </w:rPr>
      </w:pPr>
      <w:r>
        <w:rPr>
          <w:rFonts w:ascii="Times New Roman" w:hAnsi="Times New Roman"/>
          <w:b/>
          <w:sz w:val="15"/>
        </w:rPr>
        <w:t xml:space="preserve">Corporate Secretary </w:t>
      </w:r>
    </w:p>
    <w:p>
      <w:pPr>
        <w:pStyle w:val="TextBody"/>
        <w:spacing w:before="0" w:after="0"/>
        <w:jc w:val="center"/>
        <w:rPr>
          <w:rFonts w:ascii="Times New Roman" w:hAnsi="Times New Roman"/>
          <w:b/>
          <w:sz w:val="15"/>
        </w:rPr>
      </w:pPr>
      <w:r>
        <w:rPr>
          <w:rFonts w:ascii="Times New Roman" w:hAnsi="Times New Roman"/>
          <w:b/>
          <w:sz w:val="15"/>
        </w:rPr>
        <w:t xml:space="preserve">Honeywell International Inc. </w:t>
      </w:r>
    </w:p>
    <w:p>
      <w:pPr>
        <w:pStyle w:val="TextBody"/>
        <w:spacing w:before="0" w:after="0"/>
        <w:jc w:val="center"/>
        <w:rPr>
          <w:rFonts w:ascii="Times New Roman" w:hAnsi="Times New Roman"/>
          <w:b/>
          <w:sz w:val="15"/>
        </w:rPr>
      </w:pPr>
      <w:r>
        <w:rPr>
          <w:rFonts w:ascii="Times New Roman" w:hAnsi="Times New Roman"/>
          <w:b/>
          <w:sz w:val="15"/>
        </w:rPr>
        <w:t xml:space="preserve">115 Tabor Road </w:t>
      </w:r>
    </w:p>
    <w:p>
      <w:pPr>
        <w:pStyle w:val="TextBody"/>
        <w:spacing w:before="0" w:after="0"/>
        <w:jc w:val="center"/>
        <w:rPr>
          <w:rFonts w:ascii="Times New Roman" w:hAnsi="Times New Roman"/>
          <w:b/>
          <w:sz w:val="15"/>
        </w:rPr>
      </w:pPr>
      <w:r>
        <w:rPr>
          <w:rFonts w:ascii="Times New Roman" w:hAnsi="Times New Roman"/>
          <w:b/>
          <w:sz w:val="15"/>
        </w:rPr>
        <w:t xml:space="preserve">Morris Plains, New Jersey 07950 </w:t>
      </w:r>
    </w:p>
    <w:p>
      <w:pPr>
        <w:pStyle w:val="TextBody"/>
        <w:spacing w:before="0" w:after="0"/>
        <w:jc w:val="center"/>
        <w:rPr>
          <w:rFonts w:ascii="Times New Roman" w:hAnsi="Times New Roman"/>
          <w:b/>
          <w:sz w:val="13"/>
        </w:rPr>
      </w:pPr>
      <w:r>
        <w:rPr>
          <w:rFonts w:ascii="Times New Roman" w:hAnsi="Times New Roman"/>
          <w:b/>
          <w:sz w:val="13"/>
        </w:rPr>
        <w:t xml:space="preserve">(973) 455-2000 </w:t>
      </w:r>
    </w:p>
    <w:p>
      <w:pPr>
        <w:pStyle w:val="TextBody"/>
        <w:spacing w:before="0" w:after="0"/>
        <w:jc w:val="center"/>
        <w:rPr>
          <w:rFonts w:ascii="Times New Roman" w:hAnsi="Times New Roman"/>
          <w:b/>
          <w:sz w:val="13"/>
        </w:rPr>
      </w:pPr>
      <w:r>
        <w:rPr>
          <w:rFonts w:ascii="Times New Roman" w:hAnsi="Times New Roman"/>
          <w:b/>
          <w:sz w:val="13"/>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80" w:after="0"/>
        <w:jc w:val="left"/>
        <w:rPr>
          <w:rFonts w:ascii="Times New Roman" w:hAnsi="Times New Roman"/>
          <w:sz w:val="15"/>
        </w:rPr>
      </w:pPr>
      <w:r>
        <w:rPr>
          <w:rFonts w:ascii="Times New Roman" w:hAnsi="Times New Roman"/>
          <w:b/>
          <w:i/>
          <w:sz w:val="15"/>
        </w:rPr>
        <w:t>Approximate date of commencement of proposed sale to the public</w:t>
      </w:r>
      <w:r>
        <w:rPr>
          <w:rFonts w:ascii="Times New Roman" w:hAnsi="Times New Roman"/>
          <w:sz w:val="15"/>
        </w:rPr>
        <w:t xml:space="preserve">: From time to time after the effective date of this registration statement. </w:t>
      </w:r>
    </w:p>
    <w:p>
      <w:pPr>
        <w:pStyle w:val="TextBody"/>
        <w:spacing w:before="120" w:after="0"/>
        <w:jc w:val="left"/>
        <w:rPr>
          <w:rFonts w:ascii="Times New Roman" w:hAnsi="Times New Roman"/>
          <w:sz w:val="15"/>
        </w:rPr>
      </w:pPr>
      <w:r>
        <w:rPr>
          <w:rFonts w:ascii="Times New Roman" w:hAnsi="Times New Roman"/>
          <w:sz w:val="15"/>
        </w:rPr>
        <w:t xml:space="preserve">If the only securities being registered on this Form are being offered pursuant to dividend or reinvestment plans, please check the following box.  ☐ </w:t>
      </w:r>
    </w:p>
    <w:p>
      <w:pPr>
        <w:pStyle w:val="TextBody"/>
        <w:spacing w:before="120" w:after="0"/>
        <w:jc w:val="left"/>
        <w:rPr>
          <w:rFonts w:ascii="Times New Roman" w:hAnsi="Times New Roman"/>
          <w:sz w:val="15"/>
        </w:rPr>
      </w:pPr>
      <w:r>
        <w:rPr>
          <w:rFonts w:ascii="Times New Roman" w:hAnsi="Times New Roman"/>
          <w:sz w:val="15"/>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120" w:after="0"/>
        <w:jc w:val="left"/>
        <w:rPr>
          <w:rFonts w:ascii="Times New Roman" w:hAnsi="Times New Roman"/>
          <w:sz w:val="15"/>
        </w:rPr>
      </w:pPr>
      <w:r>
        <w:rPr>
          <w:rFonts w:ascii="Times New Roman" w:hAnsi="Times New Roman"/>
          <w:sz w:val="15"/>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15"/>
        </w:rPr>
      </w:pPr>
      <w:r>
        <w:rPr>
          <w:rFonts w:ascii="Times New Roman" w:hAnsi="Times New Roman"/>
          <w:sz w:val="15"/>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15"/>
        </w:rPr>
      </w:pPr>
      <w:r>
        <w:rPr>
          <w:rFonts w:ascii="Times New Roman" w:hAnsi="Times New Roman"/>
          <w:sz w:val="15"/>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120" w:after="0"/>
        <w:jc w:val="left"/>
        <w:rPr>
          <w:rFonts w:ascii="Times New Roman" w:hAnsi="Times New Roman"/>
          <w:sz w:val="15"/>
        </w:rPr>
      </w:pPr>
      <w:r>
        <w:rPr>
          <w:rFonts w:ascii="Times New Roman" w:hAnsi="Times New Roman"/>
          <w:sz w:val="15"/>
        </w:rPr>
        <w:t xml:space="preserve">If this Form is a post-effective amendment to a registration statement filed pursuant to General Instruction I.D. filed to register additional securities or additional classes of securities pursuant to Rule 413 (b) under the Securities Act, check the following box.  ☐ </w:t>
      </w:r>
    </w:p>
    <w:p>
      <w:pPr>
        <w:pStyle w:val="TextBody"/>
        <w:spacing w:before="120" w:after="0"/>
        <w:jc w:val="left"/>
        <w:rPr>
          <w:rFonts w:ascii="Times New Roman" w:hAnsi="Times New Roman"/>
          <w:sz w:val="15"/>
        </w:rPr>
      </w:pPr>
      <w:r>
        <w:rPr>
          <w:rFonts w:ascii="Times New Roman" w:hAnsi="Times New Roman"/>
          <w:sz w:val="15"/>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63"/>
        <w:gridCol w:w="102"/>
        <w:gridCol w:w="230"/>
        <w:gridCol w:w="102"/>
        <w:gridCol w:w="2927"/>
        <w:gridCol w:w="147"/>
        <w:gridCol w:w="3199"/>
        <w:gridCol w:w="102"/>
        <w:gridCol w:w="233"/>
      </w:tblGrid>
      <w:tr>
        <w:trPr/>
        <w:tc>
          <w:tcPr>
            <w:tcW w:w="316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319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3163" w:type="dxa"/>
            <w:tcBorders/>
            <w:shd w:fill="auto" w:val="clear"/>
            <w:vAlign w:val="bottom"/>
          </w:tcPr>
          <w:p>
            <w:pPr>
              <w:pStyle w:val="TableContents"/>
              <w:spacing w:before="0" w:after="283"/>
              <w:rPr/>
            </w:pPr>
            <w:r>
              <w:rPr/>
              <w:t>Large accelerated filer</w:t>
            </w:r>
          </w:p>
        </w:tc>
        <w:tc>
          <w:tcPr>
            <w:tcW w:w="10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02" w:type="dxa"/>
            <w:tcBorders/>
            <w:shd w:fill="auto" w:val="clear"/>
            <w:vAlign w:val="bottom"/>
          </w:tcPr>
          <w:p>
            <w:pPr>
              <w:pStyle w:val="TableContents"/>
              <w:spacing w:before="0" w:after="283"/>
              <w:rPr/>
            </w:pPr>
            <w:r>
              <w:rPr/>
              <w:t> </w:t>
            </w:r>
          </w:p>
        </w:tc>
        <w:tc>
          <w:tcPr>
            <w:tcW w:w="292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3199" w:type="dxa"/>
            <w:tcBorders/>
            <w:shd w:fill="auto" w:val="clear"/>
            <w:vAlign w:val="bottom"/>
          </w:tcPr>
          <w:p>
            <w:pPr>
              <w:pStyle w:val="TableContents"/>
              <w:spacing w:before="0" w:after="283"/>
              <w:rPr/>
            </w:pPr>
            <w:r>
              <w:rPr/>
              <w:t>Accelerated filer</w:t>
            </w:r>
          </w:p>
        </w:tc>
        <w:tc>
          <w:tcPr>
            <w:tcW w:w="10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w:t>
            </w:r>
          </w:p>
        </w:tc>
      </w:tr>
      <w:tr>
        <w:trPr/>
        <w:tc>
          <w:tcPr>
            <w:tcW w:w="3163" w:type="dxa"/>
            <w:tcBorders/>
            <w:shd w:fill="auto" w:val="clear"/>
            <w:vAlign w:val="bottom"/>
          </w:tcPr>
          <w:p>
            <w:pPr>
              <w:pStyle w:val="TableContents"/>
              <w:spacing w:before="0" w:after="283"/>
              <w:rPr/>
            </w:pPr>
            <w:r>
              <w:rPr/>
              <w:t>Non-accelerated filer</w:t>
            </w:r>
          </w:p>
        </w:tc>
        <w:tc>
          <w:tcPr>
            <w:tcW w:w="10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02" w:type="dxa"/>
            <w:tcBorders/>
            <w:shd w:fill="auto" w:val="clear"/>
            <w:vAlign w:val="bottom"/>
          </w:tcPr>
          <w:p>
            <w:pPr>
              <w:pStyle w:val="TableContents"/>
              <w:spacing w:before="0" w:after="283"/>
              <w:rPr/>
            </w:pPr>
            <w:r>
              <w:rPr/>
              <w:t> </w:t>
            </w:r>
          </w:p>
        </w:tc>
        <w:tc>
          <w:tcPr>
            <w:tcW w:w="292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3199" w:type="dxa"/>
            <w:tcBorders/>
            <w:shd w:fill="auto" w:val="clear"/>
            <w:vAlign w:val="bottom"/>
          </w:tcPr>
          <w:p>
            <w:pPr>
              <w:pStyle w:val="TableContents"/>
              <w:spacing w:before="0" w:after="283"/>
              <w:rPr/>
            </w:pPr>
            <w:r>
              <w:rPr/>
              <w:t>Smaller reporting company</w:t>
            </w:r>
          </w:p>
        </w:tc>
        <w:tc>
          <w:tcPr>
            <w:tcW w:w="10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w:t>
            </w:r>
          </w:p>
        </w:tc>
      </w:tr>
      <w:tr>
        <w:trPr/>
        <w:tc>
          <w:tcPr>
            <w:tcW w:w="3163" w:type="dxa"/>
            <w:tcBorders/>
            <w:shd w:fill="auto" w:val="clear"/>
            <w:vAlign w:val="bottom"/>
          </w:tcPr>
          <w:p>
            <w:pPr>
              <w:pStyle w:val="TableContents"/>
              <w:spacing w:before="0" w:after="283"/>
              <w:rPr/>
            </w:pPr>
            <w:r>
              <w:rPr/>
              <w:t>Emerging growth company</w:t>
            </w:r>
          </w:p>
        </w:tc>
        <w:tc>
          <w:tcPr>
            <w:tcW w:w="10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02" w:type="dxa"/>
            <w:tcBorders/>
            <w:shd w:fill="auto" w:val="clear"/>
            <w:vAlign w:val="bottom"/>
          </w:tcPr>
          <w:p>
            <w:pPr>
              <w:pStyle w:val="TableContents"/>
              <w:spacing w:before="0" w:after="283"/>
              <w:rPr/>
            </w:pPr>
            <w:r>
              <w:rPr/>
              <w:t> </w:t>
            </w:r>
          </w:p>
        </w:tc>
        <w:tc>
          <w:tcPr>
            <w:tcW w:w="2927"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319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sz w:val="4"/>
                <w:szCs w:val="4"/>
              </w:rPr>
            </w:pPr>
            <w:r>
              <w:rPr>
                <w:sz w:val="4"/>
                <w:szCs w:val="4"/>
              </w:rPr>
            </w:r>
          </w:p>
        </w:tc>
      </w:tr>
      <w:tr>
        <w:trPr/>
        <w:tc>
          <w:tcPr>
            <w:tcW w:w="316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6608" w:type="dxa"/>
            <w:gridSpan w:val="5"/>
            <w:tcBorders/>
            <w:shd w:fill="auto" w:val="clear"/>
            <w:vAlign w:val="bottom"/>
          </w:tcPr>
          <w:p>
            <w:pPr>
              <w:pStyle w:val="TableContents"/>
              <w:spacing w:before="0" w:after="283"/>
              <w:rPr/>
            </w:pPr>
            <w:r>
              <w:rPr/>
              <w:t>Persons who are to respond to the collection of information contained in this form are not required to respond unless the form displays a currently valid OMB control number.</w:t>
            </w:r>
          </w:p>
        </w:tc>
      </w:tr>
    </w:tbl>
    <w:p>
      <w:pPr>
        <w:pStyle w:val="TextBody"/>
        <w:spacing w:before="120" w:after="0"/>
        <w:jc w:val="left"/>
        <w:rPr>
          <w:rFonts w:ascii="Times New Roman" w:hAnsi="Times New Roman"/>
          <w:sz w:val="15"/>
        </w:rPr>
      </w:pPr>
      <w:r>
        <w:rPr>
          <w:rFonts w:ascii="Times New Roman" w:hAnsi="Times New Roman"/>
          <w:sz w:val="15"/>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3"/>
        </w:rPr>
      </w:pPr>
      <w:r>
        <w:rPr>
          <w:rFonts w:ascii="Times New Roman" w:hAnsi="Times New Roman"/>
          <w:b/>
          <w:sz w:val="13"/>
        </w:rPr>
        <w:t xml:space="preserve">CALCULATION OF REGISTRATION FEE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062"/>
        <w:gridCol w:w="186"/>
        <w:gridCol w:w="2957"/>
      </w:tblGrid>
      <w:tr>
        <w:trPr/>
        <w:tc>
          <w:tcPr>
            <w:tcW w:w="706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295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vAlign w:val="bottom"/>
          </w:tcPr>
          <w:p>
            <w:pPr>
              <w:pStyle w:val="TableContents"/>
              <w:pBdr>
                <w:top w:val="single" w:sz="2" w:space="1" w:color="000000"/>
              </w:pBdr>
              <w:spacing w:before="0" w:after="0"/>
              <w:rPr/>
            </w:pPr>
            <w:r>
              <w:rPr/>
              <w:t> </w:t>
            </w:r>
          </w:p>
        </w:tc>
      </w:tr>
      <w:tr>
        <w:trPr/>
        <w:tc>
          <w:tcPr>
            <w:tcW w:w="7062" w:type="dxa"/>
            <w:tcBorders>
              <w:top w:val="single" w:sz="2" w:space="0" w:color="000000"/>
            </w:tcBorders>
            <w:shd w:fill="auto" w:val="clear"/>
            <w:tcMar>
              <w:top w:w="28" w:type="dxa"/>
            </w:tcMar>
            <w:vAlign w:val="bottom"/>
          </w:tcPr>
          <w:p>
            <w:pPr>
              <w:pStyle w:val="TableContents"/>
              <w:spacing w:before="0" w:after="283"/>
              <w:jc w:val="center"/>
              <w:rPr>
                <w:b/>
              </w:rPr>
            </w:pPr>
            <w:r>
              <w:rPr>
                <w:b/>
              </w:rPr>
              <w:t>Title of each class of</w:t>
              <w:br/>
              <w:t>securities to be registered</w:t>
            </w:r>
          </w:p>
        </w:tc>
        <w:tc>
          <w:tcPr>
            <w:tcW w:w="186"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957" w:type="dxa"/>
            <w:tcBorders>
              <w:top w:val="single" w:sz="2" w:space="0" w:color="000000"/>
            </w:tcBorders>
            <w:shd w:fill="auto" w:val="clear"/>
            <w:tcMar>
              <w:top w:w="28" w:type="dxa"/>
            </w:tcMar>
            <w:vAlign w:val="bottom"/>
          </w:tcPr>
          <w:p>
            <w:pPr>
              <w:pStyle w:val="TableContents"/>
              <w:spacing w:before="0" w:after="283"/>
              <w:jc w:val="center"/>
              <w:rPr>
                <w:b/>
              </w:rPr>
            </w:pPr>
            <w:r>
              <w:rPr>
                <w:b/>
              </w:rPr>
              <w:t>Amount to be registered/</w:t>
              <w:br/>
              <w:t>Proposed maximum offering</w:t>
              <w:br/>
              <w:t>price per unit/Proposed</w:t>
              <w:br/>
              <w:t>maximum offering price/</w:t>
              <w:br/>
              <w:t>Amount  of registration fee</w:t>
            </w:r>
          </w:p>
        </w:tc>
      </w:tr>
      <w:tr>
        <w:trPr/>
        <w:tc>
          <w:tcPr>
            <w:tcW w:w="7062" w:type="dxa"/>
            <w:tcBorders>
              <w:top w:val="single" w:sz="2" w:space="0" w:color="000000"/>
            </w:tcBorders>
            <w:shd w:fill="auto" w:val="clear"/>
            <w:tcMar>
              <w:top w:w="28" w:type="dxa"/>
            </w:tcMar>
          </w:tcPr>
          <w:p>
            <w:pPr>
              <w:pStyle w:val="TableContents"/>
              <w:spacing w:before="0" w:after="0"/>
              <w:rPr>
                <w:rFonts w:ascii="Times New Roman" w:hAnsi="Times New Roman"/>
                <w:sz w:val="15"/>
              </w:rPr>
            </w:pPr>
            <w:r>
              <w:rPr>
                <w:rFonts w:ascii="Times New Roman" w:hAnsi="Times New Roman"/>
                <w:sz w:val="15"/>
              </w:rPr>
              <w:t>Debt Securities</w:t>
            </w:r>
          </w:p>
        </w:tc>
        <w:tc>
          <w:tcPr>
            <w:tcW w:w="186"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957"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62" w:type="dxa"/>
            <w:tcBorders>
              <w:top w:val="single" w:sz="2" w:space="0" w:color="000000"/>
            </w:tcBorders>
            <w:shd w:fill="auto" w:val="clear"/>
            <w:tcMar>
              <w:top w:w="28" w:type="dxa"/>
            </w:tcMar>
          </w:tcPr>
          <w:p>
            <w:pPr>
              <w:pStyle w:val="TableContents"/>
              <w:spacing w:before="0" w:after="0"/>
              <w:rPr>
                <w:rFonts w:ascii="Times New Roman" w:hAnsi="Times New Roman"/>
                <w:sz w:val="15"/>
              </w:rPr>
            </w:pPr>
            <w:r>
              <w:rPr>
                <w:rFonts w:ascii="Times New Roman" w:hAnsi="Times New Roman"/>
                <w:sz w:val="15"/>
              </w:rPr>
              <w:t>Preferred Stock</w:t>
            </w:r>
          </w:p>
        </w:tc>
        <w:tc>
          <w:tcPr>
            <w:tcW w:w="186"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957" w:type="dxa"/>
            <w:tcBorders>
              <w:top w:val="single" w:sz="2" w:space="0" w:color="000000"/>
            </w:tcBorders>
            <w:shd w:fill="auto" w:val="clear"/>
            <w:tcMar>
              <w:top w:w="28" w:type="dxa"/>
            </w:tcMar>
            <w:vAlign w:val="bottom"/>
          </w:tcPr>
          <w:p>
            <w:pPr>
              <w:pStyle w:val="TableContents"/>
              <w:spacing w:before="0" w:after="283"/>
              <w:jc w:val="center"/>
              <w:rPr/>
            </w:pPr>
            <w:r>
              <w:rPr/>
              <w:t>(1)(2)</w:t>
            </w:r>
          </w:p>
        </w:tc>
      </w:tr>
      <w:tr>
        <w:trPr/>
        <w:tc>
          <w:tcPr>
            <w:tcW w:w="7062" w:type="dxa"/>
            <w:tcBorders>
              <w:top w:val="single" w:sz="2" w:space="0" w:color="000000"/>
            </w:tcBorders>
            <w:shd w:fill="auto" w:val="clear"/>
            <w:tcMar>
              <w:top w:w="28" w:type="dxa"/>
            </w:tcMar>
          </w:tcPr>
          <w:p>
            <w:pPr>
              <w:pStyle w:val="TableContents"/>
              <w:spacing w:before="0" w:after="0"/>
              <w:rPr>
                <w:rFonts w:ascii="Times New Roman" w:hAnsi="Times New Roman"/>
                <w:sz w:val="15"/>
              </w:rPr>
            </w:pPr>
            <w:r>
              <w:rPr>
                <w:rFonts w:ascii="Times New Roman" w:hAnsi="Times New Roman"/>
                <w:sz w:val="15"/>
              </w:rPr>
              <w:t>Common Stock, par value $1.00 per share</w:t>
            </w:r>
          </w:p>
        </w:tc>
        <w:tc>
          <w:tcPr>
            <w:tcW w:w="186"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957"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10205" w:type="dxa"/>
            <w:gridSpan w:val="3"/>
            <w:tcBorders/>
            <w:shd w:fill="auto" w:val="clear"/>
            <w:vAlign w:val="bottom"/>
          </w:tcPr>
          <w:p>
            <w:pPr>
              <w:pStyle w:val="TableContents"/>
              <w:pBdr>
                <w:top w:val="single" w:sz="2" w:space="1" w:color="000000"/>
              </w:pBdr>
              <w:spacing w:before="0" w:after="0"/>
              <w:rPr/>
            </w:pPr>
            <w:r>
              <w:rPr/>
              <w:t> </w:t>
            </w:r>
          </w:p>
        </w:tc>
      </w:tr>
      <w:tr>
        <w:trPr/>
        <w:tc>
          <w:tcPr>
            <w:tcW w:w="10205" w:type="dxa"/>
            <w:gridSpan w:val="3"/>
            <w:tcBorders/>
            <w:shd w:fill="auto" w:val="clear"/>
            <w:vAlign w:val="bottom"/>
          </w:tcPr>
          <w:p>
            <w:pPr>
              <w:pStyle w:val="TableContents"/>
              <w:pBdr>
                <w:top w:val="single" w:sz="2" w:space="1" w:color="000000"/>
              </w:pBdr>
              <w:spacing w:before="0" w:after="0"/>
              <w:rPr/>
            </w:pPr>
            <w:r>
              <w:rPr/>
              <w:t>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w:t>
            </w:r>
          </w:p>
        </w:tc>
        <w:tc>
          <w:tcPr>
            <w:tcW w:w="9899" w:type="dxa"/>
            <w:tcBorders/>
            <w:shd w:fill="auto" w:val="clear"/>
          </w:tcPr>
          <w:p>
            <w:pPr>
              <w:pStyle w:val="TableContents"/>
              <w:spacing w:before="0" w:after="0"/>
              <w:jc w:val="left"/>
              <w:rPr>
                <w:rFonts w:ascii="Times New Roman" w:hAnsi="Times New Roman"/>
                <w:sz w:val="15"/>
              </w:rPr>
            </w:pPr>
            <w:r>
              <w:rPr>
                <w:rFonts w:ascii="Times New Roman" w:hAnsi="Times New Roman"/>
                <w:sz w:val="15"/>
              </w:rPr>
              <w:t xml:space="preserve">An indeterminate aggregate initial offering price of the securities being registered as may from time to time be sold at indeterminate prices. In accordance with Rules 456(b) and 457(r) under the Securities Act of 1933, as amended, the Registrant is deferring payment of all of the related registration fees. Pursuant to Rule 416 under the Securities Act of 1933, as amended, the Registrant is also registering an indeterminable number of shares of common stock as may be issued from time to time as a result of stock splits and stock dividends.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(2)</w:t>
            </w:r>
          </w:p>
        </w:tc>
        <w:tc>
          <w:tcPr>
            <w:tcW w:w="9900" w:type="dxa"/>
            <w:tcBorders/>
            <w:shd w:fill="auto" w:val="clear"/>
          </w:tcPr>
          <w:p>
            <w:pPr>
              <w:pStyle w:val="TableContents"/>
              <w:spacing w:before="0" w:after="0"/>
              <w:jc w:val="left"/>
              <w:rPr>
                <w:rFonts w:ascii="Times New Roman" w:hAnsi="Times New Roman"/>
                <w:sz w:val="15"/>
              </w:rPr>
            </w:pPr>
            <w:r>
              <w:rPr>
                <w:rFonts w:ascii="Times New Roman" w:hAnsi="Times New Roman"/>
                <w:sz w:val="15"/>
              </w:rPr>
              <w:t xml:space="preserve">Pursuant to Rule 415(a)(6) under the Securities Act of 1933, as amended, 19,797,615 shares of common stock were previously registered pursuant to a registration statement on Form S-3 (No. 333-208501), initially filed by Honeywell International Inc. on December 11, 2015, and were not sold thereunder. Those securities are being carried forward for application in connection with offerings under this registration statement in connection with sales of common stock by the Honeywell International Inc. Master Retirement Trust (19,712,106 shares) and in connection with sales of common stock under the registrants Dividend Reinvestment and Share Purchase Plan (85,509 shares). Pursuant to Rule 415(a)(c), no additional fee has been paid with respect to those securities.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EXPLANATORY NOTE </w:t>
      </w:r>
    </w:p>
    <w:p>
      <w:pPr>
        <w:pStyle w:val="TextBody"/>
        <w:spacing w:before="240" w:after="0"/>
        <w:jc w:val="left"/>
        <w:rPr>
          <w:rFonts w:ascii="Times New Roman" w:hAnsi="Times New Roman"/>
          <w:sz w:val="17"/>
        </w:rPr>
      </w:pPr>
      <w:r>
        <w:rPr>
          <w:rFonts w:ascii="Times New Roman" w:hAnsi="Times New Roman"/>
          <w:sz w:val="17"/>
        </w:rPr>
        <w:t xml:space="preserve">This registration statement contains: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A base prospectus to be used by Honeywell International Inc. (</w:t>
            </w:r>
            <w:r>
              <w:rPr>
                <w:rFonts w:ascii="Times New Roman" w:hAnsi="Times New Roman"/>
                <w:b/>
                <w:i/>
                <w:sz w:val="17"/>
              </w:rPr>
              <w:t>Honeywell</w:t>
            </w:r>
            <w:r>
              <w:rPr>
                <w:rFonts w:ascii="Times New Roman" w:hAnsi="Times New Roman"/>
                <w:sz w:val="17"/>
              </w:rPr>
              <w:t xml:space="preserve">) in connection with the sale, from time to time, of its debt securities or the sale or resale, from time to time, of Honeywells preferred stock and common stock by Honeywell or one or more selling security 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base prospectus to be used in connection with the resale of shares of common stock of Honeywell (i) contributed by Honeywell to the Honeywell International Inc. Master Retirement Trust (the </w:t>
            </w:r>
            <w:r>
              <w:rPr>
                <w:rFonts w:ascii="Times New Roman" w:hAnsi="Times New Roman"/>
                <w:b/>
                <w:i/>
                <w:sz w:val="17"/>
              </w:rPr>
              <w:t>Selling Stockholder</w:t>
            </w:r>
            <w:r>
              <w:rPr>
                <w:rFonts w:ascii="Times New Roman" w:hAnsi="Times New Roman"/>
                <w:sz w:val="17"/>
              </w:rPr>
              <w:t xml:space="preserve">), from time to time, in one or more private transactions, or (ii) purchased by the Selling Stockholder in the open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base prospectus to be used in connection with sales of shares of common stock of Honeywell to be sold by Honeywell pursuant to the Honeywell International Inc. Dividend Reinvestment and Share Purchase Plan (the </w:t>
            </w:r>
            <w:r>
              <w:rPr>
                <w:rFonts w:ascii="Times New Roman" w:hAnsi="Times New Roman"/>
                <w:b/>
                <w:i/>
                <w:sz w:val="17"/>
              </w:rPr>
              <w:t>Plan</w:t>
            </w:r>
            <w:r>
              <w:rPr>
                <w:rFonts w:ascii="Times New Roman" w:hAnsi="Times New Roman"/>
                <w:sz w:val="17"/>
              </w:rPr>
              <w:t xml:space="preserve">). The shares of common stock (i) may be purchased from Honeywell by EQ Shareowner Services, a division of Equiniti Trust Company, the agent designated by Honeywell to administer the Plan (the </w:t>
            </w:r>
            <w:r>
              <w:rPr>
                <w:rFonts w:ascii="Times New Roman" w:hAnsi="Times New Roman"/>
                <w:b/>
                <w:i/>
                <w:sz w:val="17"/>
              </w:rPr>
              <w:t>Agent</w:t>
            </w:r>
            <w:r>
              <w:rPr>
                <w:rFonts w:ascii="Times New Roman" w:hAnsi="Times New Roman"/>
                <w:sz w:val="17"/>
              </w:rPr>
              <w:t xml:space="preserve">), (ii) may be purchased by the Agent in the open market in the limited circumstances described in the attached prospectus, in each case using the cash dividends and optional cash payments of the holders of common stock that elect to participate in the Plan (the </w:t>
            </w:r>
            <w:r>
              <w:rPr>
                <w:rFonts w:ascii="Times New Roman" w:hAnsi="Times New Roman"/>
                <w:b/>
                <w:i/>
                <w:sz w:val="17"/>
              </w:rPr>
              <w:t>participants</w:t>
            </w:r>
            <w:r>
              <w:rPr>
                <w:rFonts w:ascii="Times New Roman" w:hAnsi="Times New Roman"/>
                <w:sz w:val="17"/>
              </w:rPr>
              <w:t xml:space="preserve">), or (iii) may be delivered directly by Honeywell in connection with shares to be delivered under various employee benefit plans.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56210" cy="29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 cy="29210"/>
                    </a:xfrm>
                    <a:prstGeom prst="rect">
                      <a:avLst/>
                    </a:prstGeom>
                  </pic:spPr>
                </pic:pic>
              </a:graphicData>
            </a:graphic>
          </wp:inline>
        </w:drawing>
      </w:r>
      <w:r>
        <w:rPr/>
        <w:t xml:space="preserve"> </w:t>
      </w:r>
    </w:p>
    <w:p>
      <w:pPr>
        <w:pStyle w:val="TextBody"/>
        <w:spacing w:before="240" w:after="0"/>
        <w:jc w:val="center"/>
        <w:rPr>
          <w:rFonts w:ascii="Times New Roman" w:hAnsi="Times New Roman"/>
          <w:b/>
          <w:sz w:val="40"/>
        </w:rPr>
      </w:pPr>
      <w:r>
        <w:rPr>
          <w:rFonts w:ascii="Times New Roman" w:hAnsi="Times New Roman"/>
          <w:b/>
          <w:sz w:val="40"/>
        </w:rPr>
        <w:t xml:space="preserve">Honeywell International Inc. </w:t>
      </w:r>
    </w:p>
    <w:p>
      <w:pPr>
        <w:pStyle w:val="TextBody"/>
        <w:spacing w:before="240" w:after="0"/>
        <w:jc w:val="center"/>
        <w:rPr>
          <w:rFonts w:ascii="Times New Roman" w:hAnsi="Times New Roman"/>
          <w:b/>
          <w:sz w:val="23"/>
        </w:rPr>
      </w:pPr>
      <w:r>
        <w:rPr>
          <w:rFonts w:ascii="Times New Roman" w:hAnsi="Times New Roman"/>
          <w:b/>
          <w:sz w:val="23"/>
        </w:rPr>
        <w:t xml:space="preserve">Debt Securities </w:t>
      </w:r>
    </w:p>
    <w:p>
      <w:pPr>
        <w:pStyle w:val="TextBody"/>
        <w:spacing w:before="240" w:after="0"/>
        <w:jc w:val="center"/>
        <w:rPr>
          <w:rFonts w:ascii="Times New Roman" w:hAnsi="Times New Roman"/>
          <w:b/>
          <w:sz w:val="23"/>
        </w:rPr>
      </w:pPr>
      <w:r>
        <w:rPr>
          <w:rFonts w:ascii="Times New Roman" w:hAnsi="Times New Roman"/>
          <w:b/>
          <w:sz w:val="23"/>
        </w:rPr>
        <w:t xml:space="preserve">Preferred Stock </w:t>
      </w:r>
    </w:p>
    <w:p>
      <w:pPr>
        <w:pStyle w:val="TextBody"/>
        <w:spacing w:before="240" w:after="0"/>
        <w:jc w:val="center"/>
        <w:rPr>
          <w:rFonts w:ascii="Times New Roman" w:hAnsi="Times New Roman"/>
          <w:b/>
          <w:sz w:val="23"/>
        </w:rPr>
      </w:pPr>
      <w:r>
        <w:rPr>
          <w:rFonts w:ascii="Times New Roman" w:hAnsi="Times New Roman"/>
          <w:b/>
          <w:sz w:val="23"/>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7"/>
        </w:rPr>
      </w:pPr>
      <w:r>
        <w:rPr>
          <w:rFonts w:ascii="Times New Roman" w:hAnsi="Times New Roman"/>
          <w:sz w:val="17"/>
        </w:rPr>
        <w:t xml:space="preserve">We will provide specific terms of these securities in supplements to this prospectus. You should read this prospectus and the applicable supplement carefully before you invest.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0"/>
        </w:rPr>
        <w:t>Investing in our securities involves certain risks. See </w:t>
      </w:r>
      <w:hyperlink w:anchor="rom655836_3">
        <w:r>
          <w:rPr>
            <w:rStyle w:val="InternetLink"/>
            <w:rFonts w:ascii="Times New Roman" w:hAnsi="Times New Roman"/>
            <w:b/>
            <w:sz w:val="20"/>
          </w:rPr>
          <w:t>Risk Factors</w:t>
        </w:r>
      </w:hyperlink>
      <w:r>
        <w:rPr>
          <w:rFonts w:ascii="Times New Roman" w:hAnsi="Times New Roman"/>
          <w:b/>
          <w:sz w:val="20"/>
        </w:rPr>
        <w:t xml:space="preserve"> on page 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17"/>
        </w:rPr>
      </w:pPr>
      <w:r>
        <w:rPr>
          <w:rFonts w:ascii="Times New Roman" w:hAnsi="Times New Roman"/>
          <w:b/>
          <w:sz w:val="17"/>
        </w:rPr>
        <w:t xml:space="preserve">Neither the Securities and Exchange Commission nor any other regulatory body has approved or disapproved of these securities or passed upon the accuracy or adequacy of this prospectus.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7"/>
        </w:rPr>
      </w:pPr>
      <w:r>
        <w:rPr>
          <w:rFonts w:ascii="Times New Roman" w:hAnsi="Times New Roman"/>
          <w:sz w:val="17"/>
        </w:rPr>
        <w:t xml:space="preserve">This prospectus may not be used to consummate sales of securities unless accompanied by a prospectus supplement. </w:t>
      </w:r>
    </w:p>
    <w:p>
      <w:pPr>
        <w:pStyle w:val="TextBody"/>
        <w:spacing w:before="240" w:after="0"/>
        <w:jc w:val="center"/>
        <w:rPr>
          <w:rFonts w:ascii="Times New Roman" w:hAnsi="Times New Roman"/>
          <w:sz w:val="17"/>
        </w:rPr>
      </w:pPr>
      <w:r>
        <w:rPr>
          <w:rFonts w:ascii="Times New Roman" w:hAnsi="Times New Roman"/>
          <w:sz w:val="17"/>
        </w:rPr>
        <w:t xml:space="preserve">Prospectus dated December 10, 2018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 w:name="toc"/>
      <w:bookmarkEnd w:id="2"/>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58"/>
        <w:gridCol w:w="358"/>
        <w:gridCol w:w="96"/>
        <w:gridCol w:w="431"/>
        <w:gridCol w:w="62"/>
      </w:tblGrid>
      <w:tr>
        <w:trPr/>
        <w:tc>
          <w:tcPr>
            <w:tcW w:w="92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25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5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vAlign w:val="bottom"/>
          </w:tcPr>
          <w:p>
            <w:pPr>
              <w:pStyle w:val="TableContents"/>
              <w:spacing w:before="0" w:after="0"/>
              <w:rPr/>
            </w:pPr>
            <w:hyperlink w:anchor="rom655836_1">
              <w:r>
                <w:rPr>
                  <w:rStyle w:val="InternetLink"/>
                  <w:rFonts w:ascii="Times New Roman" w:hAnsi="Times New Roman"/>
                  <w:sz w:val="17"/>
                </w:rPr>
                <w:t>About this Prospectus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ii</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2">
              <w:r>
                <w:rPr>
                  <w:rStyle w:val="InternetLink"/>
                  <w:rFonts w:ascii="Times New Roman" w:hAnsi="Times New Roman"/>
                  <w:sz w:val="17"/>
                </w:rPr>
                <w:t>Honeywell</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3">
              <w:r>
                <w:rPr>
                  <w:rStyle w:val="InternetLink"/>
                  <w:rFonts w:ascii="Times New Roman" w:hAnsi="Times New Roman"/>
                  <w:sz w:val="17"/>
                </w:rPr>
                <w:t>Risk Factors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4">
              <w:r>
                <w:rPr>
                  <w:rStyle w:val="InternetLink"/>
                  <w:rFonts w:ascii="Times New Roman" w:hAnsi="Times New Roman"/>
                  <w:sz w:val="17"/>
                </w:rPr>
                <w:t>Use of Proceeds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5">
              <w:r>
                <w:rPr>
                  <w:rStyle w:val="InternetLink"/>
                  <w:rFonts w:ascii="Times New Roman" w:hAnsi="Times New Roman"/>
                  <w:sz w:val="17"/>
                </w:rPr>
                <w:t>Description of Debt Securities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6">
              <w:r>
                <w:rPr>
                  <w:rStyle w:val="InternetLink"/>
                  <w:rFonts w:ascii="Times New Roman" w:hAnsi="Times New Roman"/>
                  <w:sz w:val="17"/>
                </w:rPr>
                <w:t>Description of Preferred Stock</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10</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7">
              <w:r>
                <w:rPr>
                  <w:rStyle w:val="InternetLink"/>
                  <w:rFonts w:ascii="Times New Roman" w:hAnsi="Times New Roman"/>
                  <w:sz w:val="17"/>
                </w:rPr>
                <w:t>Description of Common Stock</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8">
              <w:r>
                <w:rPr>
                  <w:rStyle w:val="InternetLink"/>
                  <w:rFonts w:ascii="Times New Roman" w:hAnsi="Times New Roman"/>
                  <w:sz w:val="17"/>
                </w:rPr>
                <w:t>Book-Entry Issuance</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9">
              <w:r>
                <w:rPr>
                  <w:rStyle w:val="InternetLink"/>
                  <w:rFonts w:ascii="Times New Roman" w:hAnsi="Times New Roman"/>
                  <w:sz w:val="17"/>
                </w:rPr>
                <w:t>Plan of Distribution</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17</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10">
              <w:r>
                <w:rPr>
                  <w:rStyle w:val="InternetLink"/>
                  <w:rFonts w:ascii="Times New Roman" w:hAnsi="Times New Roman"/>
                  <w:sz w:val="17"/>
                </w:rPr>
                <w:t>Experts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11">
              <w:r>
                <w:rPr>
                  <w:rStyle w:val="InternetLink"/>
                  <w:rFonts w:ascii="Times New Roman" w:hAnsi="Times New Roman"/>
                  <w:sz w:val="17"/>
                </w:rPr>
                <w:t>Legal Opinions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12">
              <w:r>
                <w:rPr>
                  <w:rStyle w:val="InternetLink"/>
                  <w:rFonts w:ascii="Times New Roman" w:hAnsi="Times New Roman"/>
                  <w:sz w:val="17"/>
                </w:rPr>
                <w:t>Where You Can Find More Information About Honeywell</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13">
              <w:r>
                <w:rPr>
                  <w:rStyle w:val="InternetLink"/>
                  <w:rFonts w:ascii="Times New Roman" w:hAnsi="Times New Roman"/>
                  <w:sz w:val="17"/>
                </w:rPr>
                <w:t>Incorporation of Certain Information by Reference</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rom655836_14">
              <w:r>
                <w:rPr>
                  <w:rStyle w:val="InternetLink"/>
                  <w:rFonts w:ascii="Times New Roman" w:hAnsi="Times New Roman"/>
                  <w:sz w:val="17"/>
                </w:rPr>
                <w:t>Cautionary Statement Concerning Forward-Looking Statements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17"/>
        </w:rPr>
      </w:pPr>
      <w:r>
        <w:rPr>
          <w:rFonts w:ascii="Times New Roman" w:hAnsi="Times New Roman"/>
          <w:b/>
          <w:sz w:val="17"/>
        </w:rPr>
        <w:t xml:space="preserve">We and any selling securityholders have not authorized anyone to provide any information or make any representations other than those contained in this prospectus, the related registration statement or in any of the materials that we have incorporated by reference into this prospectus. You should carefully evaluate the information provided by us or any selling securityholder in light of the total mix of information available to you, recognizing that we can provide no assurance as to the reliability of any information other than that contained in this prospectus, the related registration statement or in any of the materials that we have incorporated by reference into this prospectus. If you are in a jurisdiction where offers to sell, or solicitations of offers to purchase, the securities offered by this prospectus are unlawful, or if you are a person to whom it is unlawful to direct these types of activities, then the offer presented in this prospectus does not extend to you. The information contained in this prospectus speaks only as of the date of this prospectus unless the information specifically indicates that another date applies.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 w:name="rom655836_1"/>
      <w:bookmarkEnd w:id="3"/>
      <w:r>
        <w:rPr>
          <w:rFonts w:ascii="Times New Roman" w:hAnsi="Times New Roman"/>
          <w:b/>
          <w:sz w:val="17"/>
        </w:rPr>
        <w:t xml:space="preserve">ABOUT THIS PROSPECTUS </w:t>
      </w:r>
    </w:p>
    <w:p>
      <w:pPr>
        <w:pStyle w:val="TextBody"/>
        <w:spacing w:before="240" w:after="0"/>
        <w:jc w:val="left"/>
        <w:rPr>
          <w:rFonts w:ascii="Times New Roman" w:hAnsi="Times New Roman"/>
          <w:sz w:val="17"/>
        </w:rPr>
      </w:pPr>
      <w:r>
        <w:rPr>
          <w:rFonts w:ascii="Times New Roman" w:hAnsi="Times New Roman"/>
          <w:sz w:val="17"/>
        </w:rPr>
        <w:t xml:space="preserve">This prospectus is part of a registration statement that Honeywell filed with the Securities and Exchange Commission (the </w:t>
      </w:r>
      <w:r>
        <w:rPr>
          <w:rFonts w:ascii="Times New Roman" w:hAnsi="Times New Roman"/>
          <w:b/>
          <w:i/>
          <w:sz w:val="17"/>
        </w:rPr>
        <w:t>SEC</w:t>
      </w:r>
      <w:r>
        <w:rPr>
          <w:rFonts w:ascii="Times New Roman" w:hAnsi="Times New Roman"/>
          <w:sz w:val="17"/>
        </w:rPr>
        <w:t xml:space="preserve">) utilizing a shelf registration process as a well-known seasoned issuer as defined in Rule 405 under the Securities Act of 1933, as amended. Under this process, we may offer our debt securities, or we or one or more selling security holders to be identified in a supplement to this prospectus may offer our preferred stock or common stock in one or more offerings from time to time. Each time we or any such selling security holders offer securities, we will provide you with a prospectus supplement that will describe the specific amounts, prices and terms of the securities being offered. A prospectus supplement may also add, update or change information contained in this prospectus. If there is any inconsistency between the information in this prospectus and any applicable prospectus supplement, you should rely on the information in the applicable prospectus supplement. </w:t>
      </w:r>
    </w:p>
    <w:p>
      <w:pPr>
        <w:pStyle w:val="TextBody"/>
        <w:spacing w:before="240" w:after="0"/>
        <w:jc w:val="left"/>
        <w:rPr>
          <w:rFonts w:ascii="Times New Roman" w:hAnsi="Times New Roman"/>
          <w:sz w:val="17"/>
        </w:rPr>
      </w:pPr>
      <w:r>
        <w:rPr>
          <w:rFonts w:ascii="Times New Roman" w:hAnsi="Times New Roman"/>
          <w:sz w:val="17"/>
        </w:rPr>
        <w:t xml:space="preserve">This prospectus provides you with a general description of the securities we or a selling security holder may offer. To understand the terms of our securities, you should carefully read this document with the applicable prospectus supplement. Together they give the specific terms of that offering. You should also read the documents we have referred you to in Where You Can Find More Information About Honeywell below for information on our company and our financial statements. </w:t>
      </w:r>
    </w:p>
    <w:p>
      <w:pPr>
        <w:pStyle w:val="TextBody"/>
        <w:spacing w:before="240" w:after="0"/>
        <w:jc w:val="left"/>
        <w:rPr>
          <w:rFonts w:ascii="Times New Roman" w:hAnsi="Times New Roman"/>
          <w:sz w:val="17"/>
        </w:rPr>
      </w:pPr>
      <w:r>
        <w:rPr>
          <w:rFonts w:ascii="Times New Roman" w:hAnsi="Times New Roman"/>
          <w:sz w:val="17"/>
        </w:rPr>
        <w:t xml:space="preserve">In this prospectus and any prospectus supplement, unless otherwise specified, the terms Honeywell, we, us or our mean Honeywell International Inc. and its consolidated subsidiaries. </w:t>
      </w:r>
    </w:p>
    <w:p>
      <w:pPr>
        <w:pStyle w:val="TextBody"/>
        <w:spacing w:before="240" w:after="0"/>
        <w:jc w:val="left"/>
        <w:rPr>
          <w:rFonts w:ascii="Times New Roman" w:hAnsi="Times New Roman"/>
          <w:sz w:val="17"/>
        </w:rPr>
      </w:pPr>
      <w:r>
        <w:rPr>
          <w:rFonts w:ascii="Times New Roman" w:hAnsi="Times New Roman"/>
          <w:sz w:val="17"/>
        </w:rPr>
        <w:t xml:space="preserve">Unless otherwise stated, currency amounts in this prospectus and any prospectus supplement are stated in United States dollars, or $.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HONEYW</w:t>
      </w:r>
      <w:bookmarkStart w:id="4" w:name="rom655836_2"/>
      <w:bookmarkEnd w:id="4"/>
      <w:r>
        <w:rPr>
          <w:rFonts w:ascii="Times New Roman" w:hAnsi="Times New Roman"/>
          <w:b/>
          <w:sz w:val="17"/>
        </w:rPr>
        <w:t xml:space="preserve">ELL </w:t>
      </w:r>
    </w:p>
    <w:p>
      <w:pPr>
        <w:pStyle w:val="TextBody"/>
        <w:spacing w:before="240" w:after="0"/>
        <w:jc w:val="left"/>
        <w:rPr>
          <w:rFonts w:ascii="Times New Roman" w:hAnsi="Times New Roman"/>
          <w:sz w:val="17"/>
        </w:rPr>
      </w:pPr>
      <w:r>
        <w:rPr>
          <w:rFonts w:ascii="Times New Roman" w:hAnsi="Times New Roman"/>
          <w:sz w:val="17"/>
        </w:rPr>
        <w:t xml:space="preserve">Honeywell International Inc. is a technology company that delivers industry specific solutions that include aerospace products and services, control technologies for buildings and industry, and performance materials globally. Honeywell was incorporated in Delaware in 1985, and its principal executive offices are located at 115 Tabor Road, Morris Plains, New Jersey 07950. Its main telephone number is (973) 455-2000. </w:t>
      </w:r>
    </w:p>
    <w:p>
      <w:pPr>
        <w:pStyle w:val="TextBody"/>
        <w:spacing w:before="480" w:after="0"/>
        <w:jc w:val="center"/>
        <w:rPr>
          <w:rFonts w:ascii="Times New Roman" w:hAnsi="Times New Roman"/>
          <w:b/>
          <w:sz w:val="17"/>
        </w:rPr>
      </w:pPr>
      <w:bookmarkStart w:id="5" w:name="rom655836_3"/>
      <w:bookmarkEnd w:id="5"/>
      <w:r>
        <w:rPr>
          <w:rFonts w:ascii="Times New Roman" w:hAnsi="Times New Roman"/>
          <w:b/>
          <w:sz w:val="17"/>
        </w:rPr>
        <w:t xml:space="preserve">RISK FACTORS </w:t>
      </w:r>
    </w:p>
    <w:p>
      <w:pPr>
        <w:pStyle w:val="TextBody"/>
        <w:spacing w:before="240" w:after="0"/>
        <w:jc w:val="left"/>
        <w:rPr>
          <w:rFonts w:ascii="Times New Roman" w:hAnsi="Times New Roman"/>
          <w:sz w:val="17"/>
        </w:rPr>
      </w:pPr>
      <w:r>
        <w:rPr>
          <w:rFonts w:ascii="Times New Roman" w:hAnsi="Times New Roman"/>
          <w:sz w:val="17"/>
        </w:rPr>
        <w:t xml:space="preserve">Investing in Honeywells securities involves risk. Before making an investment decision, you should carefully consider the risks disclosed in Honeywells most recent annual and quarterly reports filed with the SEC, as well as other information Honeywell includes or incorporates by reference in this prospectus or any prospectus supplement. These risks could materially affect Honeywells business, results of operations or financial condition and cause the value of Honeywells securities to decline. You could lose all or part of your investment. </w:t>
      </w:r>
    </w:p>
    <w:p>
      <w:pPr>
        <w:pStyle w:val="TextBody"/>
        <w:spacing w:before="480" w:after="0"/>
        <w:jc w:val="center"/>
        <w:rPr>
          <w:rFonts w:ascii="Times New Roman" w:hAnsi="Times New Roman"/>
          <w:b/>
          <w:sz w:val="17"/>
        </w:rPr>
      </w:pPr>
      <w:bookmarkStart w:id="6" w:name="rom655836_4"/>
      <w:bookmarkEnd w:id="6"/>
      <w:r>
        <w:rPr>
          <w:rFonts w:ascii="Times New Roman" w:hAnsi="Times New Roman"/>
          <w:b/>
          <w:sz w:val="17"/>
        </w:rPr>
        <w:t xml:space="preserve">USE OF PROCEEDS </w:t>
      </w:r>
    </w:p>
    <w:p>
      <w:pPr>
        <w:pStyle w:val="TextBody"/>
        <w:spacing w:before="240" w:after="0"/>
        <w:jc w:val="left"/>
        <w:rPr>
          <w:rFonts w:ascii="Times New Roman" w:hAnsi="Times New Roman"/>
          <w:sz w:val="17"/>
        </w:rPr>
      </w:pPr>
      <w:r>
        <w:rPr>
          <w:rFonts w:ascii="Times New Roman" w:hAnsi="Times New Roman"/>
          <w:sz w:val="17"/>
        </w:rPr>
        <w:t xml:space="preserve">Unless otherwise specified in the applicable prospectus supplement, any net proceeds Honeywell receives from the sale of securities described by this prospectus and the accompanying prospectus supplement will be used for general corporate purposes. General corporate purposes may include the repayment of outstanding debt, repurchase of our common stock, investments in or extensions of credit to our subsidiaries, or the financing of possible acquisitions or business expansion. Honeywell currently has no specific plans for any such proceeds. The net proceeds may be invested temporarily or applied to repay short-term debt until they are used for their stated purpose. Pending application for specific purposes, the net proceeds may be invested in marketable securities. </w:t>
      </w:r>
    </w:p>
    <w:p>
      <w:pPr>
        <w:pStyle w:val="TextBody"/>
        <w:spacing w:before="240" w:after="0"/>
        <w:jc w:val="left"/>
        <w:rPr>
          <w:rFonts w:ascii="Times New Roman" w:hAnsi="Times New Roman"/>
          <w:sz w:val="17"/>
        </w:rPr>
      </w:pPr>
      <w:r>
        <w:rPr>
          <w:rFonts w:ascii="Times New Roman" w:hAnsi="Times New Roman"/>
          <w:sz w:val="17"/>
        </w:rPr>
        <w:t xml:space="preserve">Honeywell will not receive any of the proceeds from the sale of our preferred stock or common stock by any selling security holder named in a prospectus supplement.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7" w:name="rom655836_5"/>
      <w:bookmarkEnd w:id="7"/>
      <w:r>
        <w:rPr>
          <w:rFonts w:ascii="Times New Roman" w:hAnsi="Times New Roman"/>
          <w:b/>
          <w:sz w:val="17"/>
        </w:rPr>
        <w:t xml:space="preserve">DESCRIPTION OF DEBT SECURITIES </w:t>
      </w:r>
    </w:p>
    <w:p>
      <w:pPr>
        <w:pStyle w:val="TextBody"/>
        <w:spacing w:before="240" w:after="0"/>
        <w:jc w:val="left"/>
        <w:rPr>
          <w:rFonts w:ascii="Times New Roman" w:hAnsi="Times New Roman"/>
          <w:sz w:val="17"/>
        </w:rPr>
      </w:pPr>
      <w:r>
        <w:rPr>
          <w:rFonts w:ascii="Times New Roman" w:hAnsi="Times New Roman"/>
          <w:sz w:val="17"/>
        </w:rPr>
        <w:t xml:space="preserve">We will issue the debt securities in one or more series under an indenture dated as of March 1, 2007 between us and Deutsche Bank Trust Company Americas, as trustee. In this section, the terms we, our, us and Honeywell refer solely to Honeywell International Inc. and not its subsidiaries. </w:t>
      </w:r>
    </w:p>
    <w:p>
      <w:pPr>
        <w:pStyle w:val="TextBody"/>
        <w:spacing w:before="240" w:after="0"/>
        <w:jc w:val="left"/>
        <w:rPr>
          <w:rFonts w:ascii="Times New Roman" w:hAnsi="Times New Roman"/>
          <w:sz w:val="17"/>
        </w:rPr>
      </w:pPr>
      <w:r>
        <w:rPr>
          <w:rFonts w:ascii="Times New Roman" w:hAnsi="Times New Roman"/>
          <w:sz w:val="17"/>
        </w:rPr>
        <w:t xml:space="preserve">We have summarized below the material provisions of the indenture and the debt securities, or indicated which material provisions will be described in the related prospectus supplement. For further information, you should read the indenture. The indenture is an exhibit to the registration statement of which this prospectus forms a part. The following summary is qualified in its entirety by the provisions of the indenture. </w:t>
      </w:r>
    </w:p>
    <w:p>
      <w:pPr>
        <w:pStyle w:val="TextBody"/>
        <w:spacing w:before="240" w:after="0"/>
        <w:jc w:val="left"/>
        <w:rPr>
          <w:rFonts w:ascii="Times New Roman" w:hAnsi="Times New Roman"/>
          <w:sz w:val="17"/>
        </w:rPr>
      </w:pPr>
      <w:r>
        <w:rPr>
          <w:rFonts w:ascii="Times New Roman" w:hAnsi="Times New Roman"/>
          <w:sz w:val="17"/>
        </w:rPr>
        <w:t xml:space="preserve">We will describe the particular terms and conditions of any series of debt securities offered in a prospectus supplement. The prospectus supplement, which we will file with the SEC, may or may not modify the general terms found in this prospectus. For a complete description of any series of debt securities, you should read both this prospectus and the prospectus supplement relating to that series of debt securities. </w:t>
      </w:r>
    </w:p>
    <w:p>
      <w:pPr>
        <w:pStyle w:val="TextBody"/>
        <w:spacing w:before="360" w:after="0"/>
        <w:jc w:val="left"/>
        <w:rPr>
          <w:rFonts w:ascii="Times New Roman" w:hAnsi="Times New Roman"/>
          <w:b/>
          <w:sz w:val="17"/>
        </w:rPr>
      </w:pPr>
      <w:r>
        <w:rPr>
          <w:rFonts w:ascii="Times New Roman" w:hAnsi="Times New Roman"/>
          <w:b/>
          <w:sz w:val="17"/>
        </w:rPr>
        <w:t xml:space="preserve">General </w:t>
      </w:r>
    </w:p>
    <w:p>
      <w:pPr>
        <w:pStyle w:val="TextBody"/>
        <w:spacing w:before="120" w:after="0"/>
        <w:jc w:val="left"/>
        <w:rPr>
          <w:rFonts w:ascii="Times New Roman" w:hAnsi="Times New Roman"/>
          <w:sz w:val="17"/>
        </w:rPr>
      </w:pPr>
      <w:r>
        <w:rPr>
          <w:rFonts w:ascii="Times New Roman" w:hAnsi="Times New Roman"/>
          <w:sz w:val="17"/>
        </w:rPr>
        <w:t xml:space="preserve">The debt securities that we may offer under the indenture are not limited in aggregate principal amount. We may issue debt securities at one or more times in one or more series. Each series of debt securities may have different terms. The terms of any series of debt securities will be described in, or determined by action taken pursuant to, a resolution of our board of directors or a committee appointed by our board of directors or in a supplement to the indenture relating to that series. </w:t>
      </w:r>
    </w:p>
    <w:p>
      <w:pPr>
        <w:pStyle w:val="TextBody"/>
        <w:spacing w:before="240" w:after="0"/>
        <w:jc w:val="left"/>
        <w:rPr>
          <w:rFonts w:ascii="Times New Roman" w:hAnsi="Times New Roman"/>
          <w:sz w:val="17"/>
        </w:rPr>
      </w:pPr>
      <w:r>
        <w:rPr>
          <w:rFonts w:ascii="Times New Roman" w:hAnsi="Times New Roman"/>
          <w:sz w:val="17"/>
        </w:rPr>
        <w:t xml:space="preserve">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 </w:t>
      </w:r>
    </w:p>
    <w:p>
      <w:pPr>
        <w:pStyle w:val="TextBody"/>
        <w:spacing w:before="240" w:after="0"/>
        <w:jc w:val="left"/>
        <w:rPr>
          <w:rFonts w:ascii="Times New Roman" w:hAnsi="Times New Roman"/>
          <w:sz w:val="17"/>
        </w:rPr>
      </w:pPr>
      <w:r>
        <w:rPr>
          <w:rFonts w:ascii="Times New Roman" w:hAnsi="Times New Roman"/>
          <w:sz w:val="17"/>
        </w:rPr>
        <w:t xml:space="preserve">The debt securities will be unsecured obligations and will rank equally with all of our other unsecured senior indebtedness. </w:t>
      </w:r>
    </w:p>
    <w:p>
      <w:pPr>
        <w:pStyle w:val="TextBody"/>
        <w:spacing w:before="240" w:after="0"/>
        <w:jc w:val="left"/>
        <w:rPr>
          <w:rFonts w:ascii="Times New Roman" w:hAnsi="Times New Roman"/>
          <w:sz w:val="17"/>
        </w:rPr>
      </w:pPr>
      <w:r>
        <w:rPr>
          <w:rFonts w:ascii="Times New Roman" w:hAnsi="Times New Roman"/>
          <w:sz w:val="17"/>
        </w:rPr>
        <w:t xml:space="preserve">The prospectus supplement relating to any series of debt securities that we may offer will state the price or prices at which the debt securities will be offered and will contain the specific terms of that series. These terms may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title of the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purchase price, denomination and any limit upon the aggregate principal amount of the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date or dates on which each of the principal of and premium, if any, on the securities of the series is payable and the method of determination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record date,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place or places where the principal of (and premium, if any) and interest, if any, on securities of the series shall be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place or places where the securities may be exchanged or transferred;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period or periods within which, the price or prices at which, the currency or currencies (including currency unit or units) in which, and the other terms and conditions upon which, securities of the series may be redeemed, in whole or in part, at our option, if we are to have that option with respect to the applicable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obligation, if any, to redeem or purchase securities of the series in whole or in part pursuant to any sinking fund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if other than denominations of $1,000 and any integral multiple thereof, the denominations in which securities of the series are issuable;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if other than U.S. dollars, the currency or currencies (including currency unit or units) in which payments of principal of (and premium, if any) and interest, if any, on the securities of the series shall or may be payable, or in which the securities of the series shall be denominated, and the particular provisions applicable thereto;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if the payments of principal of, or interest or premium, if any, on the securities of the series are to be made, at our or a holders election,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if the amount of payments of principal of (and premium, if any) and interest, if any, on the securities of the series shall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amounts shall be determined;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if other than the principal amount thereof, the portion of the principal amount of securities of the series which shall be payable upon declaration of acceleration of the maturity thereof pursuant to an event of default or the method by which such portion shall be determined;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modifications of or additions to the events of default or our covenants with respect to securities of the series; whether the securities of the series will be subject to legal defeasance or covenant defeasance as provided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if other than the trustee, the identity of the registrar and any paying agent;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if the securities of the series shall be issued in whole or in part in global form, (i) the Depositary for such global Securities, (ii) the form of any legend which shall be borne by such global Security, (iii) whether beneficial owners of interests in any securities of the series in global form may exchange such interests for certificated securities of such series and of like tenor of any authorized form and denomination and (iv) the circumstances under which any such exchange may occur;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other terms of the series. </w:t>
            </w:r>
          </w:p>
        </w:tc>
      </w:tr>
    </w:tbl>
    <w:p>
      <w:pPr>
        <w:pStyle w:val="TextBody"/>
        <w:spacing w:before="360" w:after="0"/>
        <w:jc w:val="left"/>
        <w:rPr>
          <w:rFonts w:ascii="Times New Roman" w:hAnsi="Times New Roman"/>
          <w:b/>
          <w:sz w:val="17"/>
        </w:rPr>
      </w:pPr>
      <w:r>
        <w:rPr>
          <w:rFonts w:ascii="Times New Roman" w:hAnsi="Times New Roman"/>
          <w:b/>
          <w:sz w:val="17"/>
        </w:rPr>
        <w:t xml:space="preserve">Covenants </w:t>
      </w:r>
    </w:p>
    <w:p>
      <w:pPr>
        <w:pStyle w:val="TextBody"/>
        <w:spacing w:before="120" w:after="0"/>
        <w:jc w:val="left"/>
        <w:rPr>
          <w:rFonts w:ascii="Times New Roman" w:hAnsi="Times New Roman"/>
          <w:sz w:val="17"/>
        </w:rPr>
      </w:pPr>
      <w:r>
        <w:rPr>
          <w:rFonts w:ascii="Times New Roman" w:hAnsi="Times New Roman"/>
          <w:sz w:val="17"/>
        </w:rPr>
        <w:t xml:space="preserve">Except as described below or in the prospectus supplement with respect to any series of debt securities, we are not restricted by the indenture from incurring, assuming or becoming liable for any type of debt or other obligations, from paying dividends or making distributions on our capital stock or purchasing or redeeming our capital stock. The indenture does not require the maintenance of any financial ratios or specified levels of net worth or liquidity. In addition, with certain exceptions, the indenture does not contain any covenants or other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provisions that would limit our right to incur additional indebtedness. The indenture does not contain any provisions that would require us to repurchase or redeem or otherwise modify the terms of any of the debt securities upon a change in control or other events that may adversely affect the creditworthiness of the debt securities, such as for example, a highly leveraged transaction. </w:t>
      </w:r>
    </w:p>
    <w:p>
      <w:pPr>
        <w:pStyle w:val="TextBody"/>
        <w:spacing w:before="240" w:after="0"/>
        <w:jc w:val="left"/>
        <w:rPr>
          <w:rFonts w:ascii="Times New Roman" w:hAnsi="Times New Roman"/>
          <w:sz w:val="17"/>
        </w:rPr>
      </w:pPr>
      <w:r>
        <w:rPr>
          <w:rFonts w:ascii="Times New Roman" w:hAnsi="Times New Roman"/>
          <w:sz w:val="17"/>
        </w:rPr>
        <w:t xml:space="preserve">Unless otherwise indicated in the prospectus supplement, covenants contained in the indenture, which are summarized below, will be applicable to the series of debt securities to which the prospectus supplement relates so long as any of the debt securities of that series are outstanding. </w:t>
      </w:r>
    </w:p>
    <w:p>
      <w:pPr>
        <w:pStyle w:val="TextBody"/>
        <w:spacing w:before="240" w:after="0"/>
        <w:jc w:val="left"/>
        <w:rPr>
          <w:rFonts w:ascii="Times New Roman" w:hAnsi="Times New Roman"/>
          <w:sz w:val="17"/>
        </w:rPr>
      </w:pPr>
      <w:r>
        <w:rPr>
          <w:rFonts w:ascii="Times New Roman" w:hAnsi="Times New Roman"/>
          <w:i/>
          <w:sz w:val="17"/>
        </w:rPr>
        <w:t>Limitation on Mortgages</w:t>
      </w:r>
      <w:r>
        <w:rPr>
          <w:rFonts w:ascii="Times New Roman" w:hAnsi="Times New Roman"/>
          <w:sz w:val="17"/>
        </w:rPr>
        <w:t xml:space="preserve">. In the indenture, we covenant not to issue, assume or guarantee any indebtedness for borrowed money secured by liens 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property located in the United States which is in the opinion of our board of directors, a principal manufacturing property;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shares of capital stock or indebtedness of any subsidiary owning such property, without equally and ratably securing the debt securities, subject to exceptions specified in the indenture. These exceptions include: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existing liens on our property or liens on property of corporations at the time those corporations become our subsidiaries or are merged with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306"/>
        <w:gridCol w:w="101"/>
        <w:gridCol w:w="8880"/>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liens existing on property when acquired, or incurred to finance the purchase price of that property;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certain liens on property to secure the cost of development of, or improvements on, that property;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306"/>
        <w:gridCol w:w="101"/>
        <w:gridCol w:w="8881"/>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certain liens in favor of or required by contracts with governmental entities;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306"/>
        <w:gridCol w:w="102"/>
        <w:gridCol w:w="8880"/>
      </w:tblGrid>
      <w:tr>
        <w:trPr/>
        <w:tc>
          <w:tcPr>
            <w:tcW w:w="91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indebtedness secured by liens otherwise prohibited by the covenant not exceeding 10% of the consolidated net tangible assets of Honeywell and our consolidated subsidiaries. </w:t>
            </w:r>
          </w:p>
        </w:tc>
      </w:tr>
    </w:tbl>
    <w:p>
      <w:pPr>
        <w:pStyle w:val="TextBody"/>
        <w:spacing w:before="240" w:after="0"/>
        <w:jc w:val="left"/>
        <w:rPr>
          <w:rFonts w:ascii="Times New Roman" w:hAnsi="Times New Roman"/>
          <w:sz w:val="17"/>
        </w:rPr>
      </w:pPr>
      <w:r>
        <w:rPr>
          <w:rFonts w:ascii="Times New Roman" w:hAnsi="Times New Roman"/>
          <w:i/>
          <w:sz w:val="17"/>
        </w:rPr>
        <w:t>Limitation on Sale and Lease-Back</w:t>
      </w:r>
      <w:r>
        <w:rPr>
          <w:rFonts w:ascii="Times New Roman" w:hAnsi="Times New Roman"/>
          <w:sz w:val="17"/>
        </w:rPr>
        <w:t xml:space="preserve">. We also covenant not to enter into any sale and lease-back transaction covering any property located in the United States which is in the opinion of our board of directors, a principal manufacturing property,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would be entitled under the provisions described under Limitation on Liens to incur debt equal to the value of such sale and lease-back transaction, secured by liens on the property to be leased, without equally securing the outstanding debt securities;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during the four months following the effective date of such sale and lease-back transaction, apply an amount equal to the value of such sale and lease-back transaction to the voluntary retirement of long-term indebtedness of Honeywell or our subsidiaries. </w:t>
            </w:r>
          </w:p>
        </w:tc>
      </w:tr>
    </w:tbl>
    <w:p>
      <w:pPr>
        <w:pStyle w:val="TextBody"/>
        <w:spacing w:before="240" w:after="0"/>
        <w:jc w:val="left"/>
        <w:rPr>
          <w:rFonts w:ascii="Times New Roman" w:hAnsi="Times New Roman"/>
          <w:sz w:val="17"/>
        </w:rPr>
      </w:pPr>
      <w:r>
        <w:rPr>
          <w:rFonts w:ascii="Times New Roman" w:hAnsi="Times New Roman"/>
          <w:i/>
          <w:sz w:val="17"/>
        </w:rPr>
        <w:t>Consolidation, Merger and Sale of Assets</w:t>
      </w:r>
      <w:r>
        <w:rPr>
          <w:rFonts w:ascii="Times New Roman" w:hAnsi="Times New Roman"/>
          <w:sz w:val="17"/>
        </w:rPr>
        <w:t xml:space="preserve">. The indenture provides that we may not consolidate with or merge into any other person or sell our assets substantially as an entirety,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person formed by such consolidation or into which we are merged or the person which acquires our assets is a person organized in the United States of America and expressly assumes the due and punctual payment of the principal of and interest on all the debt securities and the performance of every covenant of the indenture on our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immediately after giving effect to such transaction, no event of default, and no event which, after notice or lapse of time, or both, would become an event of default, shall have happened and be continuing;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delivered to the trustee an officers certificate and an opinion of counsel each stating that such consolidation or transfer and a supplemental indenture, if applicable, comply with the indenture and that all conditions precedent herein provided for relating to such transaction have been complied with.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Upon such consolidation, merger or sale, the successor corporation formed by such consolidation or into which we are merged or to which such sale is made will succeed to, and be substituted for, us under the indenture, and the predecessor corporation shall be released from all obligations and covenants under the indenture and the debt securities. </w:t>
      </w:r>
    </w:p>
    <w:p>
      <w:pPr>
        <w:pStyle w:val="TextBody"/>
        <w:spacing w:before="240" w:after="0"/>
        <w:jc w:val="left"/>
        <w:rPr>
          <w:rFonts w:ascii="Times New Roman" w:hAnsi="Times New Roman"/>
          <w:sz w:val="17"/>
        </w:rPr>
      </w:pPr>
      <w:r>
        <w:rPr>
          <w:rFonts w:ascii="Times New Roman" w:hAnsi="Times New Roman"/>
          <w:sz w:val="17"/>
        </w:rPr>
        <w:t xml:space="preserve">The indenture does not restrict, or require us to redeem or permit holders to cause redemption of debt securities in the event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consolidation, merger, sale of assets or other similar transaction that may adversely affect our creditworthiness or the successor or combined entity;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7"/>
        <w:gridCol w:w="102"/>
        <w:gridCol w:w="9388"/>
      </w:tblGrid>
      <w:tr>
        <w:trPr/>
        <w:tc>
          <w:tcPr>
            <w:tcW w:w="508"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change in control of us;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highly leveraged transaction involving us whether or not involving a change in control. </w:t>
            </w:r>
          </w:p>
        </w:tc>
      </w:tr>
    </w:tbl>
    <w:p>
      <w:pPr>
        <w:pStyle w:val="TextBody"/>
        <w:spacing w:before="240" w:after="0"/>
        <w:jc w:val="left"/>
        <w:rPr>
          <w:rFonts w:ascii="Times New Roman" w:hAnsi="Times New Roman"/>
          <w:sz w:val="17"/>
        </w:rPr>
      </w:pPr>
      <w:r>
        <w:rPr>
          <w:rFonts w:ascii="Times New Roman" w:hAnsi="Times New Roman"/>
          <w:sz w:val="17"/>
        </w:rPr>
        <w:t xml:space="preserve">Accordingly, the holders of debt securities would not have protection in the event of a highly leveraged transaction, reorganization, restructuring, merger or similar transaction involving us that may adversely affect the holders. The existing protective covenants applicable to the debt securities would continue to apply to us in the event of a leveraged buyout initiated or supported by us, our management, or any of our affiliates or their management, but may not prevent such a transaction from taking place. </w:t>
      </w:r>
    </w:p>
    <w:p>
      <w:pPr>
        <w:pStyle w:val="TextBody"/>
        <w:spacing w:before="360" w:after="0"/>
        <w:jc w:val="left"/>
        <w:rPr>
          <w:rFonts w:ascii="Times New Roman" w:hAnsi="Times New Roman"/>
          <w:b/>
          <w:sz w:val="17"/>
        </w:rPr>
      </w:pPr>
      <w:r>
        <w:rPr>
          <w:rFonts w:ascii="Times New Roman" w:hAnsi="Times New Roman"/>
          <w:b/>
          <w:sz w:val="17"/>
        </w:rPr>
        <w:t xml:space="preserve">Events of Default, Notice and Waiver </w:t>
      </w:r>
    </w:p>
    <w:p>
      <w:pPr>
        <w:pStyle w:val="TextBody"/>
        <w:spacing w:before="120" w:after="0"/>
        <w:jc w:val="left"/>
        <w:rPr>
          <w:rFonts w:ascii="Times New Roman" w:hAnsi="Times New Roman"/>
          <w:sz w:val="17"/>
        </w:rPr>
      </w:pPr>
      <w:r>
        <w:rPr>
          <w:rFonts w:ascii="Times New Roman" w:hAnsi="Times New Roman"/>
          <w:sz w:val="17"/>
        </w:rPr>
        <w:t xml:space="preserve">The indenture provides that if an event of default shall have occurred and be continuing with respect to any series of debt securities, then either the trustee or the holders of not less than 25% in outstanding principal amount of the debt securities of that series may declare to be due and payable immediately the outstanding principal amount of the debt securities of the affected series, together with interest, if any, accrued thereon;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if the event of default is any of certain events of bankruptcy, insolvency or reorganization, all the debt securities, together with interest, if any, accrued thereon, will become immediately due and payable without further action or notice on the part of the trustee or the holders. </w:t>
      </w:r>
    </w:p>
    <w:p>
      <w:pPr>
        <w:pStyle w:val="TextBody"/>
        <w:spacing w:before="240" w:after="0"/>
        <w:jc w:val="left"/>
        <w:rPr>
          <w:rFonts w:ascii="Times New Roman" w:hAnsi="Times New Roman"/>
          <w:sz w:val="17"/>
        </w:rPr>
      </w:pPr>
      <w:r>
        <w:rPr>
          <w:rFonts w:ascii="Times New Roman" w:hAnsi="Times New Roman"/>
          <w:sz w:val="17"/>
        </w:rPr>
        <w:t xml:space="preserve">Under the indenture, an event of default with respect to the debt securities of any series is any one of the following events: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default for 30 days in payment when due of any interest due with respect to the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default in payment when due of principal of or of premium, if any, on the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default in the observance or performance of any other covenant or agreement contained in the indenture which default continues for a period of 90 days after we receive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certain consolidations, mergers, or sales of assets as set forth in Section 10.01 of the indenture, which will constitute an event of default with such notice requirement but without such passage of time requirement),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the sole remedy of holders of the securities for an event of default relating to the failure to file any documents or reports that Honeywell is required to file with the SEC pursuant to Section 13 or 15(d) of the Securities Exchange Act of 1934, as amended, and for any failure to comply with the requirements of Section 314(a)(1) of the Trust Indenture Act of 1939, as amended, which we refer to as the Trust Indenture Act, to provide such documents or reports, within 30 days after filing with the SEC, to the trustee pursuant to Section 14.04 of the indenture, will for the first 60 days after the occurrence of such an event of default, or such shorter period until such event of default has been cured or waived, consist exclusively of the right to receive additional interest on the securities at an annual rate equal to 0.25% of the outstanding principal amount of the securities, and that, on the 61st day after such event of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3"/>
        <w:gridCol w:w="9392"/>
      </w:tblGrid>
      <w:tr>
        <w:trPr/>
        <w:tc>
          <w:tcPr>
            <w:tcW w:w="813" w:type="dxa"/>
            <w:tcBorders/>
            <w:shd w:fill="auto" w:val="clear"/>
            <w:vAlign w:val="center"/>
          </w:tcPr>
          <w:p>
            <w:pPr>
              <w:pStyle w:val="TableContents"/>
              <w:spacing w:before="0" w:after="283"/>
              <w:rPr/>
            </w:pPr>
            <w:r>
              <w:rPr/>
              <w:t> </w:t>
            </w:r>
          </w:p>
        </w:tc>
        <w:tc>
          <w:tcPr>
            <w:tcW w:w="9392" w:type="dxa"/>
            <w:tcBorders/>
            <w:shd w:fill="auto" w:val="clear"/>
          </w:tcPr>
          <w:p>
            <w:pPr>
              <w:pStyle w:val="TableContents"/>
              <w:spacing w:before="0" w:after="283"/>
              <w:jc w:val="left"/>
              <w:rPr/>
            </w:pPr>
            <w:r>
              <w:rPr/>
              <w:t xml:space="preserve">default (if such event of default is not cured or waived prior to such 61st day), the securities will be subject to acceleration as provided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certain events of bankruptcy, insolvency and reorganization;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(5)</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other event of default provided with respect to debt securities of that series. </w:t>
            </w:r>
          </w:p>
        </w:tc>
      </w:tr>
    </w:tbl>
    <w:p>
      <w:pPr>
        <w:pStyle w:val="TextBody"/>
        <w:spacing w:before="240" w:after="0"/>
        <w:jc w:val="left"/>
        <w:rPr>
          <w:rFonts w:ascii="Times New Roman" w:hAnsi="Times New Roman"/>
          <w:sz w:val="17"/>
        </w:rPr>
      </w:pPr>
      <w:r>
        <w:rPr>
          <w:rFonts w:ascii="Times New Roman" w:hAnsi="Times New Roman"/>
          <w:sz w:val="17"/>
        </w:rPr>
        <w:t xml:space="preserve">The indenture provides that the trustee will, within 90 days after the occurrence of a default with respect to the debt securities of any series, give to the holders of debt securities of such series notice of such default known to it, unless cured or waived; </w:t>
      </w:r>
      <w:r>
        <w:rPr>
          <w:rFonts w:ascii="Times New Roman" w:hAnsi="Times New Roman"/>
          <w:i/>
          <w:sz w:val="17"/>
        </w:rPr>
        <w:t>provided</w:t>
      </w:r>
      <w:r>
        <w:rPr>
          <w:rFonts w:ascii="Times New Roman" w:hAnsi="Times New Roman"/>
          <w:sz w:val="17"/>
        </w:rPr>
        <w:t xml:space="preserve"> that except in the case of default in the payment of principal, or interest or premium, if any, on any debt security of such series or in the payment of any sinking fund installment with respect to debt securities of such series, the trustee will be protected in withholding such notice if and so long as the board of directors, the executive committee or a trust committee of directors and/or specified officers of the trustee in good faith determine that the withholding of such notice is in the interests of the holders of debt securities of such series. The term default for the purpose of this provision means any event that is, or after notice or lapse of time, or both, would become, an event of default. </w:t>
      </w:r>
    </w:p>
    <w:p>
      <w:pPr>
        <w:pStyle w:val="TextBody"/>
        <w:spacing w:before="240" w:after="0"/>
        <w:jc w:val="left"/>
        <w:rPr>
          <w:rFonts w:ascii="Times New Roman" w:hAnsi="Times New Roman"/>
          <w:sz w:val="17"/>
        </w:rPr>
      </w:pPr>
      <w:r>
        <w:rPr>
          <w:rFonts w:ascii="Times New Roman" w:hAnsi="Times New Roman"/>
          <w:sz w:val="17"/>
        </w:rPr>
        <w:t xml:space="preserve">The indenture contains a provision entitling the trustee, subject to the duty of the trustee during the continuance of an event of default to act with the required standard of care, to be indemnified by the holders before proceeding to exercise any right or power under the indenture at the request of such holders. The indenture provides that the holders of a majority in outstanding principal amount of the debt securities of any series may, subject to certain exceptions, on behalf of the holders of debt securities of such series direct the time, method and place of conducting proceedings for remedies available to the trustee, or exercising any trust or power conferred on the trustee. </w:t>
      </w:r>
    </w:p>
    <w:p>
      <w:pPr>
        <w:pStyle w:val="TextBody"/>
        <w:spacing w:before="240" w:after="0"/>
        <w:jc w:val="left"/>
        <w:rPr>
          <w:rFonts w:ascii="Times New Roman" w:hAnsi="Times New Roman"/>
          <w:sz w:val="17"/>
        </w:rPr>
      </w:pPr>
      <w:r>
        <w:rPr>
          <w:rFonts w:ascii="Times New Roman" w:hAnsi="Times New Roman"/>
          <w:sz w:val="17"/>
        </w:rPr>
        <w:t xml:space="preserve">The indenture includes a covenant that we will file annually with the trustee a certificate of no default, or specifying any default that exists. </w:t>
      </w:r>
    </w:p>
    <w:p>
      <w:pPr>
        <w:pStyle w:val="TextBody"/>
        <w:spacing w:before="240" w:after="0"/>
        <w:jc w:val="left"/>
        <w:rPr>
          <w:rFonts w:ascii="Times New Roman" w:hAnsi="Times New Roman"/>
          <w:sz w:val="17"/>
        </w:rPr>
      </w:pPr>
      <w:r>
        <w:rPr>
          <w:rFonts w:ascii="Times New Roman" w:hAnsi="Times New Roman"/>
          <w:sz w:val="17"/>
        </w:rPr>
        <w:t xml:space="preserve">In certain cases, the holders of a majority in outstanding principal amount of the debt securities of any series may on behalf of the holders of debt securities of such series rescind a declaration of acceleration or waive any past default or event of default with respect to the debt securities of that series except a default not theretofore cured in payment of the principal of, or interest or premium, if any, on any debt security of such series or in respect of a provision which under the indenture cannot be modified or amended without the consent of the holder of each such debt security. </w:t>
      </w:r>
    </w:p>
    <w:p>
      <w:pPr>
        <w:pStyle w:val="TextBody"/>
        <w:spacing w:before="240" w:after="0"/>
        <w:jc w:val="left"/>
        <w:rPr>
          <w:rFonts w:ascii="Times New Roman" w:hAnsi="Times New Roman"/>
          <w:sz w:val="17"/>
        </w:rPr>
      </w:pPr>
      <w:r>
        <w:rPr>
          <w:rFonts w:ascii="Times New Roman" w:hAnsi="Times New Roman"/>
          <w:sz w:val="17"/>
        </w:rPr>
        <w:t xml:space="preserve">No holder of a debt security of any series will have any right to institute any proceeding with respect to the indenture or the debt securities of any series or for any remedy thereunder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such holder shall have previously given to the trustee written notice of a continuing event of default;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holders of at least 25% in aggregate principal amount of the outstanding debt securities of such series have also made such a written request;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such holder or holders have provided indemnity satisfactory to the trustee to institute such proceeding as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trustee has not received from the holders of a majority in outstanding principal amount of the debt securities of such series a direction inconsistent with such request;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trustee has failed to institute such proceeding within 90 calendar days of such notice. </w:t>
            </w:r>
          </w:p>
        </w:tc>
      </w:tr>
    </w:tbl>
    <w:p>
      <w:pPr>
        <w:pStyle w:val="TextBody"/>
        <w:spacing w:before="240" w:after="0"/>
        <w:jc w:val="left"/>
        <w:rPr>
          <w:rFonts w:ascii="Times New Roman" w:hAnsi="Times New Roman"/>
          <w:sz w:val="17"/>
        </w:rPr>
      </w:pPr>
      <w:r>
        <w:rPr>
          <w:rFonts w:ascii="Times New Roman" w:hAnsi="Times New Roman"/>
          <w:sz w:val="17"/>
        </w:rPr>
        <w:t xml:space="preserve">However, such limitations do not apply to a suit instituted by a holder of debt securities for enforcement of payment of the principal of, or premium or interest, if any, on such debt securities on or after the respective due dates expressed in such debt securities after any applicable grace periods have expired.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Modification and Waiver </w:t>
      </w:r>
    </w:p>
    <w:p>
      <w:pPr>
        <w:pStyle w:val="TextBody"/>
        <w:spacing w:before="120" w:after="0"/>
        <w:jc w:val="left"/>
        <w:rPr>
          <w:rFonts w:ascii="Times New Roman" w:hAnsi="Times New Roman"/>
          <w:sz w:val="17"/>
        </w:rPr>
      </w:pPr>
      <w:r>
        <w:rPr>
          <w:rFonts w:ascii="Times New Roman" w:hAnsi="Times New Roman"/>
          <w:sz w:val="17"/>
        </w:rPr>
        <w:t xml:space="preserve">The trustee and we may amend or supplement the indenture or the debt securities of any series without the consent of any holder, in order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cure any ambiguity, defect or inconsistency;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provide for uncertificated debt securities in addition to or in place of certificated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provide for the assumption of our obligations to the holders in the case of a merger or consolidation of us as permitted by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evidence and provide for the acceptance of appointment by a successor trustee and to add to or change any of the provisions of the indenture as are necessary to provide for or facilitate the administration of the trusts by more than one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5"/>
        <w:gridCol w:w="102"/>
        <w:gridCol w:w="9389"/>
      </w:tblGrid>
      <w:tr>
        <w:trPr/>
        <w:tc>
          <w:tcPr>
            <w:tcW w:w="509"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make any change that would provide any additional rights or benefits to the holders of all or any series of debt securities and that does not adversely affect any such holder;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comply with SEC requirements in order to effect or maintain the qualification of the indenture under the Trust Indenture Act. </w:t>
            </w:r>
          </w:p>
        </w:tc>
      </w:tr>
    </w:tbl>
    <w:p>
      <w:pPr>
        <w:pStyle w:val="TextBody"/>
        <w:spacing w:before="240" w:after="0"/>
        <w:jc w:val="left"/>
        <w:rPr>
          <w:rFonts w:ascii="Times New Roman" w:hAnsi="Times New Roman"/>
          <w:sz w:val="17"/>
        </w:rPr>
      </w:pPr>
      <w:r>
        <w:rPr>
          <w:rFonts w:ascii="Times New Roman" w:hAnsi="Times New Roman"/>
          <w:sz w:val="17"/>
        </w:rPr>
        <w:t xml:space="preserve">In addition, except as described below, modifications and amendments of the indenture or the debt securities of any series may be made by the trustee and us with the consent of the holders of a majority in outstanding principal amount of the debt securities affected by such modification or amendment. However, no such modification or amendment may, without the consent of each holder affected thereby: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7"/>
        <w:gridCol w:w="102"/>
        <w:gridCol w:w="9387"/>
      </w:tblGrid>
      <w:tr>
        <w:trPr/>
        <w:tc>
          <w:tcPr>
            <w:tcW w:w="50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change the stated maturity of, or time for payment of interest on, any debt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reduce the principal amount of, or the rate of interest or the premium, payable upon the redemption of, if any, on any debt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change the place or currency of payment of principal of, or interest or premium, if any, on any debt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impair the right to institute suit for the enforcement of any payment on or with respect to such debt securities on or after the stated maturity or prepayment date thereof;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reduce the percentage in principal amount of debt securities of any series where holders must consent to an amendment, supplement or waiver. </w:t>
            </w:r>
          </w:p>
        </w:tc>
      </w:tr>
    </w:tbl>
    <w:p>
      <w:pPr>
        <w:pStyle w:val="TextBody"/>
        <w:spacing w:before="360" w:after="0"/>
        <w:jc w:val="left"/>
        <w:rPr>
          <w:rFonts w:ascii="Times New Roman" w:hAnsi="Times New Roman"/>
          <w:b/>
          <w:sz w:val="17"/>
        </w:rPr>
      </w:pPr>
      <w:r>
        <w:rPr>
          <w:rFonts w:ascii="Times New Roman" w:hAnsi="Times New Roman"/>
          <w:b/>
          <w:sz w:val="17"/>
        </w:rPr>
        <w:t xml:space="preserve">Defeasance </w:t>
      </w:r>
    </w:p>
    <w:p>
      <w:pPr>
        <w:pStyle w:val="TextBody"/>
        <w:spacing w:before="120" w:after="0"/>
        <w:jc w:val="left"/>
        <w:rPr>
          <w:rFonts w:ascii="Times New Roman" w:hAnsi="Times New Roman"/>
          <w:sz w:val="17"/>
        </w:rPr>
      </w:pPr>
      <w:r>
        <w:rPr>
          <w:rFonts w:ascii="Times New Roman" w:hAnsi="Times New Roman"/>
          <w:sz w:val="17"/>
        </w:rPr>
        <w:t xml:space="preserve">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such debt securities), upon the irrevocable deposit with the trustee, in trust, of money and/or U.S. government securities, which through the payment of interest and principal thereof in accordance with their terms provides money in an amount sufficient to pay the principal of (and premium, if any) and interest, if any, in respect of the debt securities of such series on the stated maturity date of such principal and any installment of principal, or interest or premium, if any. Also, the establishment of such a trust will be conditioned on the delivery by us to the trustee of an opinion of counsel reasonably satisfactory to the trustee to the effect that, based upon applicable U.S. federal income tax law or a ruling published by the United States Internal Revenue Service, such a defeasance and discharge will not be deemed, or result in, a taxable event with respect to the holders. For the avoidance of doubt, such an opinion would require a change in current U.S. tax law. </w:t>
      </w:r>
    </w:p>
    <w:p>
      <w:pPr>
        <w:pStyle w:val="TextBody"/>
        <w:spacing w:before="240" w:after="0"/>
        <w:jc w:val="left"/>
        <w:rPr>
          <w:rFonts w:ascii="Times New Roman" w:hAnsi="Times New Roman"/>
          <w:sz w:val="17"/>
        </w:rPr>
      </w:pPr>
      <w:r>
        <w:rPr>
          <w:rFonts w:ascii="Times New Roman" w:hAnsi="Times New Roman"/>
          <w:sz w:val="17"/>
        </w:rPr>
        <w:t xml:space="preserve">We may also omit to comply with the restrictive covenants, if any, of any particular series of debt securities, other than our covenant to pay the amounts due and owing with respect to such series of debt securities.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Thereafter, any such omission shall not be an event of default with respect to the debt securities of such series, upon the deposit with the trustee, in trust, of money and/or U.S. government securities which through the payment of interest and principal in respect thereof in accordance with their terms provides money in an amount sufficient to pay any installment of principal of (and premium, if any) and interest, if any, in respect of debt securities of such series on the stated maturity date of such principal or installment of principal, or interest or premium, if any. Our obligations under the indenture and the debt securities of such series other than with respect to such covenants shall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 </w:t>
      </w:r>
    </w:p>
    <w:p>
      <w:pPr>
        <w:pStyle w:val="TextBody"/>
        <w:spacing w:before="240" w:after="0"/>
        <w:jc w:val="left"/>
        <w:rPr>
          <w:rFonts w:ascii="Times New Roman" w:hAnsi="Times New Roman"/>
          <w:sz w:val="17"/>
        </w:rPr>
      </w:pPr>
      <w:r>
        <w:rPr>
          <w:rFonts w:ascii="Times New Roman" w:hAnsi="Times New Roman"/>
          <w:sz w:val="17"/>
        </w:rPr>
        <w:t xml:space="preserve">In the event we exercise our option to omit compliance with certain covenants as described in the preceding paragraph and the debt securities of such series are declared due and payable because of the occurrence of any event of default, then the amount of monies and U.S. government securities on deposit with the trustee will be sufficient to pay amounts due on the debt securities of such series at the time of the acceleration resulting from such event of default. We shall in any event remain liable for such payments as provided in the debt securities of such series. </w:t>
      </w:r>
    </w:p>
    <w:p>
      <w:pPr>
        <w:pStyle w:val="TextBody"/>
        <w:spacing w:before="360" w:after="0"/>
        <w:jc w:val="left"/>
        <w:rPr>
          <w:rFonts w:ascii="Times New Roman" w:hAnsi="Times New Roman"/>
          <w:b/>
          <w:sz w:val="17"/>
        </w:rPr>
      </w:pPr>
      <w:r>
        <w:rPr>
          <w:rFonts w:ascii="Times New Roman" w:hAnsi="Times New Roman"/>
          <w:b/>
          <w:sz w:val="17"/>
        </w:rPr>
        <w:t xml:space="preserve">Satisfaction and Discharge </w:t>
      </w:r>
    </w:p>
    <w:p>
      <w:pPr>
        <w:pStyle w:val="TextBody"/>
        <w:spacing w:before="120" w:after="0"/>
        <w:jc w:val="left"/>
        <w:rPr>
          <w:rFonts w:ascii="Times New Roman" w:hAnsi="Times New Roman"/>
          <w:sz w:val="17"/>
        </w:rPr>
      </w:pPr>
      <w:r>
        <w:rPr>
          <w:rFonts w:ascii="Times New Roman" w:hAnsi="Times New Roman"/>
          <w:sz w:val="17"/>
        </w:rPr>
        <w:t xml:space="preserve">At our option, we may satisfy and discharge the indenture with respect to the debt securities of any series (except for specified obligations of the trustee and ours, including, among others, the obligations to apply money held in trust) when: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either (a) all debt securities of such series previously authenticated and delivered under the indenture have been delivered to the trustee for cancellation or (b) all debt securities of such series not theretofore delivered to the trustee for cancellation have become due and payable, will become due and payable at their stated maturity within one year, or are to be called for redemption within one year under arrangements satisfactory to the trustee for the giving of notice of redemption by the trustee, and we have deposited or caused to be deposited with the trustee as trust funds in trust for such purpose an amount sufficient to pay and discharge the entire indebtedness on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paid or caused to be paid all other sums payable under the indenture with respect to the debt securities of such series by us;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delivered to the trustee an officers certificate and an opinion of counsel, each to the effect that all conditions precedent relating to the satisfaction and discharge of the indenture as to such series have been satisfied. </w:t>
            </w:r>
          </w:p>
        </w:tc>
      </w:tr>
    </w:tbl>
    <w:p>
      <w:pPr>
        <w:pStyle w:val="TextBody"/>
        <w:spacing w:before="360" w:after="0"/>
        <w:jc w:val="left"/>
        <w:rPr>
          <w:rFonts w:ascii="Times New Roman" w:hAnsi="Times New Roman"/>
          <w:b/>
          <w:sz w:val="17"/>
        </w:rPr>
      </w:pPr>
      <w:r>
        <w:rPr>
          <w:rFonts w:ascii="Times New Roman" w:hAnsi="Times New Roman"/>
          <w:b/>
          <w:sz w:val="17"/>
        </w:rPr>
        <w:t xml:space="preserve">Regarding the Trustee </w:t>
      </w:r>
    </w:p>
    <w:p>
      <w:pPr>
        <w:pStyle w:val="TextBody"/>
        <w:spacing w:before="120" w:after="0"/>
        <w:jc w:val="left"/>
        <w:rPr>
          <w:rFonts w:ascii="Times New Roman" w:hAnsi="Times New Roman"/>
          <w:sz w:val="17"/>
        </w:rPr>
      </w:pPr>
      <w:r>
        <w:rPr>
          <w:rFonts w:ascii="Times New Roman" w:hAnsi="Times New Roman"/>
          <w:sz w:val="17"/>
        </w:rPr>
        <w:t xml:space="preserve">The indenture contains certain limitations on the right of the trustee, should it become a creditor of ours within three months of, or subsequent to, a default by us to make payment in full of principal of or interest on any series of debt securities issued pursuant to the indenture when and as the same becomes due and payable, to obtain payment of claims, or to realize for its own account on property received in respect of any such claim as security or otherwise, unless and until such default is cured. However, the trustees rights as a creditor of ours will not be limited if the creditor relationship arises from,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ownership or acquisition of securities issued under any indenture or having a maturity of one year or more at the time of acquisition by the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certain advances authorized by a receivership or bankruptcy court of competent jurisdiction or by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disbursements made in the ordinary course of business in its capacity as indenture trustee, transfer agent, registrar, custodian or paying agent or in any other similar capacity;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indebtedness created as a result of goods or securities sold in a cash transaction or services rendered or premises rented;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acquisition, ownership, acceptance or negotiation of certain drafts, bills of exchange, acceptances or other obligations. </w:t>
            </w:r>
          </w:p>
        </w:tc>
      </w:tr>
    </w:tbl>
    <w:p>
      <w:pPr>
        <w:pStyle w:val="TextBody"/>
        <w:spacing w:before="240" w:after="0"/>
        <w:jc w:val="left"/>
        <w:rPr>
          <w:rFonts w:ascii="Times New Roman" w:hAnsi="Times New Roman"/>
          <w:sz w:val="17"/>
        </w:rPr>
      </w:pPr>
      <w:r>
        <w:rPr>
          <w:rFonts w:ascii="Times New Roman" w:hAnsi="Times New Roman"/>
          <w:sz w:val="17"/>
        </w:rPr>
        <w:t xml:space="preserve">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any debt securities issued pursuant to the indenture are in default, it must eliminate such conflict or resign.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8" w:name="rom655836_6"/>
      <w:bookmarkEnd w:id="8"/>
      <w:r>
        <w:rPr>
          <w:rFonts w:ascii="Times New Roman" w:hAnsi="Times New Roman"/>
          <w:b/>
          <w:sz w:val="17"/>
        </w:rPr>
        <w:t xml:space="preserve">DESCRIPTION OF PREFERRED STOCK </w:t>
      </w:r>
    </w:p>
    <w:p>
      <w:pPr>
        <w:pStyle w:val="TextBody"/>
        <w:spacing w:before="240" w:after="0"/>
        <w:jc w:val="left"/>
        <w:rPr>
          <w:rFonts w:ascii="Times New Roman" w:hAnsi="Times New Roman"/>
          <w:b/>
          <w:sz w:val="17"/>
        </w:rPr>
      </w:pPr>
      <w:r>
        <w:rPr>
          <w:rFonts w:ascii="Times New Roman" w:hAnsi="Times New Roman"/>
          <w:b/>
          <w:sz w:val="17"/>
        </w:rPr>
        <w:t xml:space="preserve">General </w:t>
      </w:r>
    </w:p>
    <w:p>
      <w:pPr>
        <w:pStyle w:val="TextBody"/>
        <w:spacing w:before="120" w:after="0"/>
        <w:jc w:val="left"/>
        <w:rPr>
          <w:rFonts w:ascii="Times New Roman" w:hAnsi="Times New Roman"/>
          <w:sz w:val="17"/>
        </w:rPr>
      </w:pPr>
      <w:r>
        <w:rPr>
          <w:rFonts w:ascii="Times New Roman" w:hAnsi="Times New Roman"/>
          <w:sz w:val="17"/>
        </w:rPr>
        <w:t xml:space="preserve">Honeywells amended and restated certificate of incorporation, or charter, authorizes the board of directors or a committee of the board of directors to cause preferred stock to be issued in one or more series, without stockholder action. They are authorized to issue up to 40,000,000 shares of preferred stock, without par value, and can determine the number of shares of each series, and the rights, preferences and limitations of each series. We may amend the charter to increase the number of authorized shares of preferred stock in a manner permitted by the charter and Delaware law. As of the date of this prospectus, there is no preferred stock outstanding. </w:t>
      </w:r>
    </w:p>
    <w:p>
      <w:pPr>
        <w:pStyle w:val="TextBody"/>
        <w:spacing w:before="240" w:after="0"/>
        <w:jc w:val="left"/>
        <w:rPr>
          <w:rFonts w:ascii="Times New Roman" w:hAnsi="Times New Roman"/>
          <w:sz w:val="17"/>
        </w:rPr>
      </w:pPr>
      <w:r>
        <w:rPr>
          <w:rFonts w:ascii="Times New Roman" w:hAnsi="Times New Roman"/>
          <w:sz w:val="17"/>
        </w:rPr>
        <w:t xml:space="preserve">The particular terms of any series of preferred stock offered by us or by a selling security holder will be described in the prospectus supplement relating to that series of preferred stock. Those terms relating to the series of preferred stock offered may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number of shares of the preferred stock being offered;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title and liquidation preference per share of the preferred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purchase price of the preferred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dividend rate or method for determining the dividend 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dates on which dividends will be paid;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whether dividends on the preferred stock will be cumulative or noncumulative and, if cumulative, the dates from which dividends shall commence to accumulate;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redemption or sinking fund provisions applicable to the preferred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18"/>
        <w:gridCol w:w="106"/>
        <w:gridCol w:w="9371"/>
      </w:tblGrid>
      <w:tr>
        <w:trPr/>
        <w:tc>
          <w:tcPr>
            <w:tcW w:w="510" w:type="dxa"/>
            <w:tcBorders/>
            <w:shd w:fill="auto" w:val="clear"/>
            <w:vAlign w:val="center"/>
          </w:tcPr>
          <w:p>
            <w:pPr>
              <w:pStyle w:val="TableContents"/>
              <w:spacing w:before="0" w:after="283"/>
              <w:rPr/>
            </w:pPr>
            <w:r>
              <w:rPr/>
              <w:t> </w:t>
            </w:r>
          </w:p>
        </w:tc>
        <w:tc>
          <w:tcPr>
            <w:tcW w:w="218"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37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identity of any selling security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securities exchange on which the preferred stock may be listed;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additional dividend, liquidation, redemption, sinking fund and other rights and restrictions applicable to the preferred stock. </w:t>
            </w:r>
          </w:p>
        </w:tc>
      </w:tr>
    </w:tbl>
    <w:p>
      <w:pPr>
        <w:pStyle w:val="TextBody"/>
        <w:spacing w:before="240" w:after="0"/>
        <w:jc w:val="left"/>
        <w:rPr>
          <w:rFonts w:ascii="Times New Roman" w:hAnsi="Times New Roman"/>
          <w:sz w:val="17"/>
        </w:rPr>
      </w:pPr>
      <w:r>
        <w:rPr>
          <w:rFonts w:ascii="Times New Roman" w:hAnsi="Times New Roman"/>
          <w:sz w:val="17"/>
        </w:rPr>
        <w:t xml:space="preserve">The following summary is not complete. You should refer to the certificate of designations relating to any series of preferred stock for the complete terms of that preferred stock. The certificate of designations will be filed with the SEC at the time of the offering of the preferred stock. Unless otherwise specified in the prospectus supplement, if we liquidate, dissolve or wind-up our business, each series of preferred stock will have the same rank as to dividends and distributions as each other series of preferred stock we may issue in the future. Preferred stock will have no preemptive rights. </w:t>
      </w:r>
    </w:p>
    <w:p>
      <w:pPr>
        <w:pStyle w:val="TextBody"/>
        <w:spacing w:before="360" w:after="0"/>
        <w:jc w:val="left"/>
        <w:rPr>
          <w:rFonts w:ascii="Times New Roman" w:hAnsi="Times New Roman"/>
          <w:b/>
          <w:sz w:val="17"/>
        </w:rPr>
      </w:pPr>
      <w:r>
        <w:rPr>
          <w:rFonts w:ascii="Times New Roman" w:hAnsi="Times New Roman"/>
          <w:b/>
          <w:sz w:val="17"/>
        </w:rPr>
        <w:t xml:space="preserve">Dividend Rights </w:t>
      </w:r>
    </w:p>
    <w:p>
      <w:pPr>
        <w:pStyle w:val="TextBody"/>
        <w:spacing w:before="120" w:after="0"/>
        <w:jc w:val="left"/>
        <w:rPr>
          <w:rFonts w:ascii="Times New Roman" w:hAnsi="Times New Roman"/>
          <w:sz w:val="17"/>
        </w:rPr>
      </w:pPr>
      <w:r>
        <w:rPr>
          <w:rFonts w:ascii="Times New Roman" w:hAnsi="Times New Roman"/>
          <w:sz w:val="17"/>
        </w:rPr>
        <w:t xml:space="preserve">Holders of preferred stock will be entitled to receive, when, as and if declared by the board of directors, cash dividends at the rates and on the dates set forth in the related prospectus supplement. Dividend rates may be fixed or variable or both. Different series of preferred stock may be entitled to dividends at different dividend rates or based upon different methods of determination. Each dividend will be payable to the holders of record as they appear on our stock books on record dates determined by the board of directors. Dividends on preferred stock may be cumulative or noncumulative, as specified in the related prospectus supplement. If the board of directors fails to declare a dividend on any preferred stock for which dividends are noncumulative, then the right to receive that dividend will be lost, and we will have no obligation to pay the dividend for that dividend period, whether or not dividends are declared for any future dividend period. </w:t>
      </w:r>
    </w:p>
    <w:p>
      <w:pPr>
        <w:pStyle w:val="TextBody"/>
        <w:spacing w:before="240" w:after="0"/>
        <w:jc w:val="left"/>
        <w:rPr>
          <w:rFonts w:ascii="Times New Roman" w:hAnsi="Times New Roman"/>
          <w:sz w:val="17"/>
        </w:rPr>
      </w:pPr>
      <w:r>
        <w:rPr>
          <w:rFonts w:ascii="Times New Roman" w:hAnsi="Times New Roman"/>
          <w:sz w:val="17"/>
        </w:rPr>
        <w:t xml:space="preserve">When those dividends are not paid in full, dividends will be declared pro rata, so that the amount of dividends declared per share on that series of preferred stock and on each other series of preferred stock having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same rank as that series of preferred stock will bear the same ratio to each other that accrued dividends per share on that series of preferred stock and the other series of preferred stock bear to each other. In addition, generally, unless full dividends including any cumulative dividends still owing on all outstanding shares of any series of preferred stock have been paid, no dividends will be declared or paid on the common stock and generally we may not redeem or purchase any common stock. No interest will be paid in connection with any dividend payment or payments which may be in arrears. </w:t>
      </w:r>
    </w:p>
    <w:p>
      <w:pPr>
        <w:pStyle w:val="TextBody"/>
        <w:spacing w:before="240" w:after="0"/>
        <w:jc w:val="left"/>
        <w:rPr>
          <w:rFonts w:ascii="Times New Roman" w:hAnsi="Times New Roman"/>
          <w:sz w:val="17"/>
        </w:rPr>
      </w:pPr>
      <w:r>
        <w:rPr>
          <w:rFonts w:ascii="Times New Roman" w:hAnsi="Times New Roman"/>
          <w:sz w:val="17"/>
        </w:rPr>
        <w:t xml:space="preserve">Unless otherwise set forth in the related prospectus supplement, the dividends payable for each dividend period will be computed by annualizing the applicable dividend rate and dividing by the number of dividend periods in a year, except that the amount of dividends payable for the initial dividend period or any period shorter than a full dividend period will be computed on the basis of a 360-day year consisting of twelve 30-day months and, for any period less than a full month, the actual number of days elapsed in the period. </w:t>
      </w:r>
    </w:p>
    <w:p>
      <w:pPr>
        <w:pStyle w:val="TextBody"/>
        <w:spacing w:before="360" w:after="0"/>
        <w:jc w:val="left"/>
        <w:rPr>
          <w:rFonts w:ascii="Times New Roman" w:hAnsi="Times New Roman"/>
          <w:b/>
          <w:sz w:val="17"/>
        </w:rPr>
      </w:pPr>
      <w:r>
        <w:rPr>
          <w:rFonts w:ascii="Times New Roman" w:hAnsi="Times New Roman"/>
          <w:b/>
          <w:sz w:val="17"/>
        </w:rPr>
        <w:t xml:space="preserve">Rights Upon Liquidation </w:t>
      </w:r>
    </w:p>
    <w:p>
      <w:pPr>
        <w:pStyle w:val="TextBody"/>
        <w:spacing w:before="120" w:after="0"/>
        <w:jc w:val="left"/>
        <w:rPr>
          <w:rFonts w:ascii="Times New Roman" w:hAnsi="Times New Roman"/>
          <w:sz w:val="17"/>
        </w:rPr>
      </w:pPr>
      <w:r>
        <w:rPr>
          <w:rFonts w:ascii="Times New Roman" w:hAnsi="Times New Roman"/>
          <w:sz w:val="17"/>
        </w:rPr>
        <w:t xml:space="preserve">If we liquidate, dissolve or wind-up our affairs, either voluntarily or involuntarily, the holders of each series of preferred stock will be entitled to receive liquidating distributions in the amount set forth in the prospectus supplement relating to the series of preferred stock, plus an amount equal to any accrued and unpaid dividends before any distribution of assets is made to the holders of common stock. If the amounts payable with respect to preferred stock of any series and any stock having the same rank as that series of preferred stock are not paid in full, the holders of the preferred stock will share ratably in any such distribution of assets in proportion to the full respective preferential amounts to which they are entitled. After the holders of each series of preferred stock having the same rank are paid in full, they will have no right or claim to any of our remaining assets. Neither the sale of all or substantially all of our property or business nor a merger or consolidation by us with any other corporation will be considered a dissolution, liquidation or winding up by us of our business or affairs. </w:t>
      </w:r>
    </w:p>
    <w:p>
      <w:pPr>
        <w:pStyle w:val="TextBody"/>
        <w:spacing w:before="360" w:after="0"/>
        <w:jc w:val="left"/>
        <w:rPr>
          <w:rFonts w:ascii="Times New Roman" w:hAnsi="Times New Roman"/>
          <w:b/>
          <w:sz w:val="17"/>
        </w:rPr>
      </w:pPr>
      <w:r>
        <w:rPr>
          <w:rFonts w:ascii="Times New Roman" w:hAnsi="Times New Roman"/>
          <w:b/>
          <w:sz w:val="17"/>
        </w:rPr>
        <w:t xml:space="preserve">Redemption </w:t>
      </w:r>
    </w:p>
    <w:p>
      <w:pPr>
        <w:pStyle w:val="TextBody"/>
        <w:spacing w:before="120" w:after="0"/>
        <w:jc w:val="left"/>
        <w:rPr>
          <w:rFonts w:ascii="Times New Roman" w:hAnsi="Times New Roman"/>
          <w:sz w:val="17"/>
        </w:rPr>
      </w:pPr>
      <w:r>
        <w:rPr>
          <w:rFonts w:ascii="Times New Roman" w:hAnsi="Times New Roman"/>
          <w:sz w:val="17"/>
        </w:rPr>
        <w:t xml:space="preserve">Any series of preferred stock may be redeemable in whole or in part at our option. In addition, any series of preferred stock may be subject to mandatory redemption pursuant to a sinking fund. The redemption provisions that may apply to a series of preferred stock, including the redemption dates and the redemption prices for that series, will be set forth in the related prospectus supplement. </w:t>
      </w:r>
    </w:p>
    <w:p>
      <w:pPr>
        <w:pStyle w:val="TextBody"/>
        <w:spacing w:before="240" w:after="0"/>
        <w:jc w:val="left"/>
        <w:rPr>
          <w:rFonts w:ascii="Times New Roman" w:hAnsi="Times New Roman"/>
          <w:sz w:val="17"/>
        </w:rPr>
      </w:pPr>
      <w:r>
        <w:rPr>
          <w:rFonts w:ascii="Times New Roman" w:hAnsi="Times New Roman"/>
          <w:sz w:val="17"/>
        </w:rPr>
        <w:t xml:space="preserve">If a series of preferred stock is subject to mandatory redemption, the related prospectus supplement will specify the year we can begin to redeem shares of the preferred stock, the number of shares of the preferred stock we can redeem each year, and the redemption price per share. We may pay the redemption price in cash, stock or other securities of Honeywell or of third parties, as specified in the related prospectus supplement. If the redemption price is to be paid only from the proceeds of the sale of our capital stock, the terms of the series of preferred stock may also provide that if no capital stock is sold or if the amount of cash received is insufficient to pay in full the redemption price then due, the series of preferred stock will automatically be converted into shares of the applicable capital stock pursuant to conversion provisions specified in the related prospectus supplement. </w:t>
      </w:r>
    </w:p>
    <w:p>
      <w:pPr>
        <w:pStyle w:val="TextBody"/>
        <w:spacing w:before="240" w:after="0"/>
        <w:jc w:val="left"/>
        <w:rPr>
          <w:rFonts w:ascii="Times New Roman" w:hAnsi="Times New Roman"/>
          <w:sz w:val="17"/>
        </w:rPr>
      </w:pPr>
      <w:r>
        <w:rPr>
          <w:rFonts w:ascii="Times New Roman" w:hAnsi="Times New Roman"/>
          <w:sz w:val="17"/>
        </w:rPr>
        <w:t xml:space="preserve">If fewer than all the outstanding shares of any series of preferred stock are to be redeemed, whether by mandatory or optional redemption, the board of directors will determine the method for selecting the shares to be redeemed, which may be by lot or pro rata by any other method determined to be equitable. From and after the redemption date, dividends will cease to accrue on the shares of preferred stock called for redemption and all rights of the holders of those shares other than the right to receive the redemption price will cease. </w:t>
      </w:r>
    </w:p>
    <w:p>
      <w:pPr>
        <w:pStyle w:val="TextBody"/>
        <w:spacing w:before="360" w:after="0"/>
        <w:jc w:val="left"/>
        <w:rPr>
          <w:rFonts w:ascii="Times New Roman" w:hAnsi="Times New Roman"/>
          <w:b/>
          <w:sz w:val="17"/>
        </w:rPr>
      </w:pPr>
      <w:r>
        <w:rPr>
          <w:rFonts w:ascii="Times New Roman" w:hAnsi="Times New Roman"/>
          <w:b/>
          <w:sz w:val="17"/>
        </w:rPr>
        <w:t xml:space="preserve">Conversion Rights </w:t>
      </w:r>
    </w:p>
    <w:p>
      <w:pPr>
        <w:pStyle w:val="TextBody"/>
        <w:spacing w:before="120" w:after="0"/>
        <w:jc w:val="left"/>
        <w:rPr>
          <w:rFonts w:ascii="Times New Roman" w:hAnsi="Times New Roman"/>
          <w:sz w:val="17"/>
        </w:rPr>
      </w:pPr>
      <w:r>
        <w:rPr>
          <w:rFonts w:ascii="Times New Roman" w:hAnsi="Times New Roman"/>
          <w:sz w:val="17"/>
        </w:rPr>
        <w:t xml:space="preserve">The related prospectus supplement will state any conversion rights under which shares of preferred stock are convertible into shares of common stock or another series of preferred stock or other property. As described under Redemption above, under some circumstances preferred stock may be mandatorily converted into common stock or another series of preferred stock.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Voting Rights </w:t>
      </w:r>
    </w:p>
    <w:p>
      <w:pPr>
        <w:pStyle w:val="TextBody"/>
        <w:spacing w:before="120" w:after="0"/>
        <w:jc w:val="left"/>
        <w:rPr>
          <w:rFonts w:ascii="Times New Roman" w:hAnsi="Times New Roman"/>
          <w:sz w:val="17"/>
        </w:rPr>
      </w:pPr>
      <w:r>
        <w:rPr>
          <w:rFonts w:ascii="Times New Roman" w:hAnsi="Times New Roman"/>
          <w:sz w:val="17"/>
        </w:rPr>
        <w:t xml:space="preserve">For most series of preferred stock, the holders of preferred stock will generally not be entitled to vote. Except as indicated in the related prospectus supplement, if we issue full shares of any series of preferred stock, each share will be entitled to one vote on matters on which holders of that series of preferred stock are entitled to vote. Because each full share of any series of preferred stock will be entitled to one vote, the voting power of that series will depend on the number of shares in that series, and not on the aggregate liquidation preference or initial offering price of the shares of that series of preferred stock. </w:t>
      </w:r>
    </w:p>
    <w:p>
      <w:pPr>
        <w:pStyle w:val="TextBody"/>
        <w:spacing w:before="360" w:after="0"/>
        <w:jc w:val="left"/>
        <w:rPr>
          <w:rFonts w:ascii="Times New Roman" w:hAnsi="Times New Roman"/>
          <w:b/>
          <w:sz w:val="17"/>
        </w:rPr>
      </w:pPr>
      <w:r>
        <w:rPr>
          <w:rFonts w:ascii="Times New Roman" w:hAnsi="Times New Roman"/>
          <w:b/>
          <w:sz w:val="17"/>
        </w:rPr>
        <w:t xml:space="preserve">Transfer Agent and Registrar </w:t>
      </w:r>
    </w:p>
    <w:p>
      <w:pPr>
        <w:pStyle w:val="TextBody"/>
        <w:spacing w:before="120" w:after="0"/>
        <w:jc w:val="left"/>
        <w:rPr>
          <w:rFonts w:ascii="Times New Roman" w:hAnsi="Times New Roman"/>
          <w:sz w:val="17"/>
        </w:rPr>
      </w:pPr>
      <w:r>
        <w:rPr>
          <w:rFonts w:ascii="Times New Roman" w:hAnsi="Times New Roman"/>
          <w:sz w:val="17"/>
        </w:rPr>
        <w:t xml:space="preserve">We will appoint a transfer agent, registrar and dividend disbursement agent for the preferred stock. The registrar for the preferred stock will send notices to the holders of the preferred stock of any meeting at which those holders will have the right to elect directors or to vote on any other matter. </w:t>
      </w:r>
    </w:p>
    <w:p>
      <w:pPr>
        <w:pStyle w:val="TextBody"/>
        <w:spacing w:before="360" w:after="0"/>
        <w:jc w:val="left"/>
        <w:rPr>
          <w:rFonts w:ascii="Times New Roman" w:hAnsi="Times New Roman"/>
          <w:b/>
          <w:sz w:val="17"/>
        </w:rPr>
      </w:pPr>
      <w:r>
        <w:rPr>
          <w:rFonts w:ascii="Times New Roman" w:hAnsi="Times New Roman"/>
          <w:b/>
          <w:sz w:val="17"/>
        </w:rPr>
        <w:t xml:space="preserve">Permanent Global Preferred Securities </w:t>
      </w:r>
    </w:p>
    <w:p>
      <w:pPr>
        <w:pStyle w:val="TextBody"/>
        <w:spacing w:before="120" w:after="0"/>
        <w:jc w:val="left"/>
        <w:rPr>
          <w:rFonts w:ascii="Times New Roman" w:hAnsi="Times New Roman"/>
          <w:sz w:val="17"/>
        </w:rPr>
      </w:pPr>
      <w:r>
        <w:rPr>
          <w:rFonts w:ascii="Times New Roman" w:hAnsi="Times New Roman"/>
          <w:sz w:val="17"/>
        </w:rPr>
        <w:t xml:space="preserve">A series of preferred stock may be issued in whole or in part in the form of one or more global securities that will be deposited with a depositary or its nominee identified in the related prospectus supplement. For most series of preferred stock, the depositary will be DTC (as defined herein). A global security may not be transferred except as a whole to the depositary, a nominee of the depositary or their successors unless it is exchanged in whole or in part for preferred stock in individually certificated form. For a description of the depositary arrangements, see Book-Entry Issuance. Any additional terms of the depositary arrangement with respect to any series of preferred stock and the rights of and limitations on owners of beneficial interests in a global security representing a series of preferred stock may be described in the related prospectus supplement.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DESCRIPTION OF C</w:t>
      </w:r>
      <w:bookmarkStart w:id="9" w:name="rom655836_7"/>
      <w:bookmarkEnd w:id="9"/>
      <w:r>
        <w:rPr>
          <w:rFonts w:ascii="Times New Roman" w:hAnsi="Times New Roman"/>
          <w:b/>
          <w:sz w:val="17"/>
        </w:rPr>
        <w:t xml:space="preserve">OMMON STOCK </w:t>
      </w:r>
    </w:p>
    <w:p>
      <w:pPr>
        <w:pStyle w:val="TextBody"/>
        <w:spacing w:before="240" w:after="0"/>
        <w:jc w:val="left"/>
        <w:rPr>
          <w:rFonts w:ascii="Times New Roman" w:hAnsi="Times New Roman"/>
          <w:b/>
          <w:sz w:val="17"/>
        </w:rPr>
      </w:pPr>
      <w:r>
        <w:rPr>
          <w:rFonts w:ascii="Times New Roman" w:hAnsi="Times New Roman"/>
          <w:b/>
          <w:sz w:val="17"/>
        </w:rPr>
        <w:t xml:space="preserve">General </w:t>
      </w:r>
    </w:p>
    <w:p>
      <w:pPr>
        <w:pStyle w:val="TextBody"/>
        <w:spacing w:before="120" w:after="0"/>
        <w:jc w:val="left"/>
        <w:rPr>
          <w:rFonts w:ascii="Times New Roman" w:hAnsi="Times New Roman"/>
          <w:sz w:val="17"/>
        </w:rPr>
      </w:pPr>
      <w:r>
        <w:rPr>
          <w:rFonts w:ascii="Times New Roman" w:hAnsi="Times New Roman"/>
          <w:sz w:val="17"/>
        </w:rPr>
        <w:t xml:space="preserve">As of the date of this prospectus, we are authorized to issue up to 2,000,000,000 shares of common stock. As of September 30, 2018, we had approximately 958 million shares of common stock issued (including approximately 217.3 million shares held in treasury). EQ Shareowner Services, a division of Equiniti Trust Company, is the transfer agent and registrar for our common stock. Shares of common stock are listed on the New York Stock Exchange and the London Stock Exchange under the symbol HON. </w:t>
      </w:r>
    </w:p>
    <w:p>
      <w:pPr>
        <w:pStyle w:val="TextBody"/>
        <w:spacing w:before="240" w:after="0"/>
        <w:jc w:val="left"/>
        <w:rPr>
          <w:rFonts w:ascii="Times New Roman" w:hAnsi="Times New Roman"/>
          <w:sz w:val="17"/>
        </w:rPr>
      </w:pPr>
      <w:r>
        <w:rPr>
          <w:rFonts w:ascii="Times New Roman" w:hAnsi="Times New Roman"/>
          <w:sz w:val="17"/>
        </w:rPr>
        <w:t xml:space="preserve">The following summary is not complete. You should refer to the applicable provision of Honeywells charter and by-laws and to Delaware corporate law for a complete statement of the terms and rights of our common stock. </w:t>
      </w:r>
    </w:p>
    <w:p>
      <w:pPr>
        <w:pStyle w:val="TextBody"/>
        <w:spacing w:before="360" w:after="0"/>
        <w:jc w:val="left"/>
        <w:rPr>
          <w:rFonts w:ascii="Times New Roman" w:hAnsi="Times New Roman"/>
          <w:b/>
          <w:sz w:val="17"/>
        </w:rPr>
      </w:pPr>
      <w:r>
        <w:rPr>
          <w:rFonts w:ascii="Times New Roman" w:hAnsi="Times New Roman"/>
          <w:b/>
          <w:sz w:val="17"/>
        </w:rPr>
        <w:t xml:space="preserve">Dividends </w:t>
      </w:r>
    </w:p>
    <w:p>
      <w:pPr>
        <w:pStyle w:val="TextBody"/>
        <w:spacing w:before="120" w:after="0"/>
        <w:jc w:val="left"/>
        <w:rPr>
          <w:rFonts w:ascii="Times New Roman" w:hAnsi="Times New Roman"/>
          <w:sz w:val="17"/>
        </w:rPr>
      </w:pPr>
      <w:r>
        <w:rPr>
          <w:rFonts w:ascii="Times New Roman" w:hAnsi="Times New Roman"/>
          <w:sz w:val="17"/>
        </w:rPr>
        <w:t xml:space="preserve">Holders of common stock are entitled to receive dividends when, as and if declared by the board of directors, out of funds legally available for their payment, subject to the rights of holders of any preferred stock outstanding. </w:t>
      </w:r>
    </w:p>
    <w:p>
      <w:pPr>
        <w:pStyle w:val="TextBody"/>
        <w:spacing w:before="360" w:after="0"/>
        <w:jc w:val="left"/>
        <w:rPr>
          <w:rFonts w:ascii="Times New Roman" w:hAnsi="Times New Roman"/>
          <w:b/>
          <w:sz w:val="17"/>
        </w:rPr>
      </w:pPr>
      <w:r>
        <w:rPr>
          <w:rFonts w:ascii="Times New Roman" w:hAnsi="Times New Roman"/>
          <w:b/>
          <w:sz w:val="17"/>
        </w:rPr>
        <w:t xml:space="preserve">Voting Rights </w:t>
      </w:r>
    </w:p>
    <w:p>
      <w:pPr>
        <w:pStyle w:val="TextBody"/>
        <w:spacing w:before="120" w:after="0"/>
        <w:jc w:val="left"/>
        <w:rPr>
          <w:rFonts w:ascii="Times New Roman" w:hAnsi="Times New Roman"/>
          <w:sz w:val="17"/>
        </w:rPr>
      </w:pPr>
      <w:r>
        <w:rPr>
          <w:rFonts w:ascii="Times New Roman" w:hAnsi="Times New Roman"/>
          <w:sz w:val="17"/>
        </w:rPr>
        <w:t xml:space="preserve">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 </w:t>
      </w:r>
    </w:p>
    <w:p>
      <w:pPr>
        <w:pStyle w:val="TextBody"/>
        <w:spacing w:before="360" w:after="0"/>
        <w:jc w:val="left"/>
        <w:rPr>
          <w:rFonts w:ascii="Times New Roman" w:hAnsi="Times New Roman"/>
          <w:b/>
          <w:sz w:val="17"/>
        </w:rPr>
      </w:pPr>
      <w:r>
        <w:rPr>
          <w:rFonts w:ascii="Times New Roman" w:hAnsi="Times New Roman"/>
          <w:b/>
          <w:sz w:val="17"/>
        </w:rPr>
        <w:t xml:space="preserve">Rights Upon Liquidation </w:t>
      </w:r>
    </w:p>
    <w:p>
      <w:pPr>
        <w:pStyle w:val="TextBody"/>
        <w:spacing w:before="120" w:after="0"/>
        <w:jc w:val="left"/>
        <w:rPr>
          <w:rFonts w:ascii="Times New Roman" w:hAnsi="Times New Roman"/>
          <w:sz w:val="17"/>
        </w:rPr>
      </w:pPr>
      <w:r>
        <w:rPr>
          <w:rFonts w:ascii="Times New Roman" w:hAnsi="Times New Roman"/>
          <w:sz w:val="17"/>
        </w:rPr>
        <w:t xml:space="preserve">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 </w:t>
      </w:r>
    </w:p>
    <w:p>
      <w:pPr>
        <w:pStyle w:val="TextBody"/>
        <w:spacing w:before="360" w:after="0"/>
        <w:jc w:val="left"/>
        <w:rPr>
          <w:rFonts w:ascii="Times New Roman" w:hAnsi="Times New Roman"/>
          <w:b/>
          <w:sz w:val="17"/>
        </w:rPr>
      </w:pPr>
      <w:r>
        <w:rPr>
          <w:rFonts w:ascii="Times New Roman" w:hAnsi="Times New Roman"/>
          <w:b/>
          <w:sz w:val="17"/>
        </w:rPr>
        <w:t xml:space="preserve">Other Rights </w:t>
      </w:r>
    </w:p>
    <w:p>
      <w:pPr>
        <w:pStyle w:val="TextBody"/>
        <w:spacing w:before="120" w:after="0"/>
        <w:jc w:val="left"/>
        <w:rPr>
          <w:rFonts w:ascii="Times New Roman" w:hAnsi="Times New Roman"/>
          <w:sz w:val="17"/>
        </w:rPr>
      </w:pPr>
      <w:r>
        <w:rPr>
          <w:rFonts w:ascii="Times New Roman" w:hAnsi="Times New Roman"/>
          <w:sz w:val="17"/>
        </w:rPr>
        <w:t xml:space="preserve">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 same kind and amount of consideration per share of common stock. </w:t>
      </w:r>
    </w:p>
    <w:p>
      <w:pPr>
        <w:pStyle w:val="TextBody"/>
        <w:spacing w:before="360" w:after="0"/>
        <w:jc w:val="left"/>
        <w:rPr>
          <w:rFonts w:ascii="Times New Roman" w:hAnsi="Times New Roman"/>
          <w:b/>
          <w:sz w:val="17"/>
        </w:rPr>
      </w:pPr>
      <w:r>
        <w:rPr>
          <w:rFonts w:ascii="Times New Roman" w:hAnsi="Times New Roman"/>
          <w:b/>
          <w:sz w:val="17"/>
        </w:rPr>
        <w:t xml:space="preserve">Possible Anti-Takeover Provisions </w:t>
      </w:r>
    </w:p>
    <w:p>
      <w:pPr>
        <w:pStyle w:val="TextBody"/>
        <w:spacing w:before="120" w:after="0"/>
        <w:jc w:val="left"/>
        <w:rPr>
          <w:rFonts w:ascii="Times New Roman" w:hAnsi="Times New Roman"/>
          <w:sz w:val="17"/>
        </w:rPr>
      </w:pPr>
      <w:r>
        <w:rPr>
          <w:rFonts w:ascii="Times New Roman" w:hAnsi="Times New Roman"/>
          <w:sz w:val="17"/>
        </w:rPr>
        <w:t xml:space="preserve">Honeywells charter and by-laws provide: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vacancies on the board of directors other than at the annual meeting are filled by a vote of the remaining directors;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special meetings of shareowners generally may be called only by the chief executive officer, by a majority of the authorized number of directors, or by the holders of not less than fifteen percent of the outstanding shares of Honeywells common stock (excluding derivatives);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action may be taken by shareowners only at annual or special meetings and not by written consent;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advance notice must be given to Honeywell for a shareowner to nominate directors for election at a shareowner meeting;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 </w:t>
            </w:r>
          </w:p>
        </w:tc>
      </w:tr>
    </w:tbl>
    <w:p>
      <w:pPr>
        <w:pStyle w:val="TextBody"/>
        <w:spacing w:before="240" w:after="0"/>
        <w:jc w:val="left"/>
        <w:rPr>
          <w:rFonts w:ascii="Times New Roman" w:hAnsi="Times New Roman"/>
          <w:sz w:val="17"/>
        </w:rPr>
      </w:pPr>
      <w:r>
        <w:rPr>
          <w:rFonts w:ascii="Times New Roman" w:hAnsi="Times New Roman"/>
          <w:sz w:val="17"/>
        </w:rPr>
        <w:t xml:space="preserve">Any of these provisions could delay, deter or prevent a tender offer for or attempted takeover of Honeywell. </w:t>
      </w:r>
    </w:p>
    <w:p>
      <w:pPr>
        <w:pStyle w:val="TextBody"/>
        <w:spacing w:before="240" w:after="0"/>
        <w:jc w:val="left"/>
        <w:rPr>
          <w:rFonts w:ascii="Times New Roman" w:hAnsi="Times New Roman"/>
          <w:sz w:val="17"/>
        </w:rPr>
      </w:pPr>
      <w:r>
        <w:rPr>
          <w:rFonts w:ascii="Times New Roman" w:hAnsi="Times New Roman"/>
          <w:sz w:val="17"/>
        </w:rPr>
        <w:t xml:space="preserve">Our charter permits us to issue up to 40,000,000 shares of preferred stock with terms that may be set by our board of directors or a committee of the board. That preferred stock could have terms that could delay, deter or prevent a tender offer or takeover attempt of Honeywell. </w:t>
      </w:r>
    </w:p>
    <w:p>
      <w:pPr>
        <w:pStyle w:val="TextBody"/>
        <w:spacing w:before="240" w:after="0"/>
        <w:jc w:val="left"/>
        <w:rPr>
          <w:rFonts w:ascii="Times New Roman" w:hAnsi="Times New Roman"/>
          <w:sz w:val="17"/>
        </w:rPr>
      </w:pPr>
      <w:r>
        <w:rPr>
          <w:rFonts w:ascii="Times New Roman" w:hAnsi="Times New Roman"/>
          <w:sz w:val="17"/>
        </w:rPr>
        <w:t xml:space="preserve">Under Delaware law, an acquirer of 15% or more of our shares of stock must wait three years before a business combination with us unless one of the following exceptions is available: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approval by our board of directors prior to the time the acquirer became a 15% shareowner of Honeywell;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acquisition of at least 85% of our voting stock in the transaction in which the acquirer became a 15% shareowner of Honeywell;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approval of the business combination by our board of directors and two-thirds of our disinterested shareowners. </w:t>
            </w:r>
          </w:p>
        </w:tc>
      </w:tr>
    </w:tbl>
    <w:p>
      <w:pPr>
        <w:pStyle w:val="TextBody"/>
        <w:spacing w:before="240" w:after="0"/>
        <w:jc w:val="left"/>
        <w:rPr>
          <w:rFonts w:ascii="Times New Roman" w:hAnsi="Times New Roman"/>
          <w:sz w:val="17"/>
        </w:rPr>
      </w:pPr>
      <w:r>
        <w:rPr>
          <w:rFonts w:ascii="Times New Roman" w:hAnsi="Times New Roman"/>
          <w:sz w:val="17"/>
        </w:rPr>
        <w:t xml:space="preserve">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 Honeywells by-laws also provide that any person or entity purchasing or otherwise acquiring any interest in shares of capital stock of Honeywell will be deemed to have notice of and consented to the exclusive forum provisions described above.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0" w:name="rom655836_8"/>
      <w:bookmarkEnd w:id="10"/>
      <w:r>
        <w:rPr>
          <w:rFonts w:ascii="Times New Roman" w:hAnsi="Times New Roman"/>
          <w:b/>
          <w:sz w:val="17"/>
        </w:rPr>
        <w:t xml:space="preserve">BOOK-ENTRY ISSUANCE </w:t>
      </w:r>
    </w:p>
    <w:p>
      <w:pPr>
        <w:pStyle w:val="TextBody"/>
        <w:spacing w:before="240" w:after="0"/>
        <w:jc w:val="left"/>
        <w:rPr>
          <w:rFonts w:ascii="Times New Roman" w:hAnsi="Times New Roman"/>
          <w:sz w:val="17"/>
        </w:rPr>
      </w:pPr>
      <w:r>
        <w:rPr>
          <w:rFonts w:ascii="Times New Roman" w:hAnsi="Times New Roman"/>
          <w:sz w:val="17"/>
        </w:rPr>
        <w:t xml:space="preserve">Our common stock is cleared and settled though the Depositary Trust Company, or DTC, a securities depositary. Most series of debt securities and preferred stock will also be book-entry securities. Upon issuance, unless otherwise specified in the prospectus supplement, all book-entry securities of the same series will be represented by one or more fully registered global securities. Each global security will be deposited with, or on behalf of, DTC and will be registered in the name of DTC or a nominee of DTC. DTC will thus be the only registered holder of any such securities and will be considered the sole owner of the securities. </w:t>
      </w:r>
    </w:p>
    <w:p>
      <w:pPr>
        <w:pStyle w:val="TextBody"/>
        <w:spacing w:before="240" w:after="0"/>
        <w:jc w:val="left"/>
        <w:rPr>
          <w:rFonts w:ascii="Times New Roman" w:hAnsi="Times New Roman"/>
          <w:sz w:val="17"/>
        </w:rPr>
      </w:pPr>
      <w:r>
        <w:rPr>
          <w:rFonts w:ascii="Times New Roman" w:hAnsi="Times New Roman"/>
          <w:sz w:val="17"/>
        </w:rPr>
        <w:t xml:space="preserve">Purchasers may only hold interests in the global securities through DTC if they are participants in the DTC system. Purchasers may also hold interests through a securities intermediarya bank, brokerage house or other institution that maintains securities accounts for customersthat has an account with DTC or its nominee. DTC will maintain accounts showing the securities holdings of its participants, and these participants will in turn maintain accounts showing the securities holdings of their customers. Some of these customers may themselves be securities intermediaries holding securities for their customers. Thus, each beneficial owner of a book-entry security will hold that security indirectly through a hierarchy of intermediaries, with DTC at the top and the beneficial owners own securities intermediary at the bottom. </w:t>
      </w:r>
    </w:p>
    <w:p>
      <w:pPr>
        <w:pStyle w:val="TextBody"/>
        <w:spacing w:before="240" w:after="0"/>
        <w:jc w:val="left"/>
        <w:rPr>
          <w:rFonts w:ascii="Times New Roman" w:hAnsi="Times New Roman"/>
          <w:sz w:val="17"/>
        </w:rPr>
      </w:pPr>
      <w:r>
        <w:rPr>
          <w:rFonts w:ascii="Times New Roman" w:hAnsi="Times New Roman"/>
          <w:sz w:val="17"/>
        </w:rPr>
        <w:t xml:space="preserve">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In most cases, a beneficial owner will also not be able to obtain a paper certificate evidencing the holders ownership of securities. The book-entry system for holding securities eliminates the need for physical movement of certificates. The laws of some jurisdictions require some purchasers of securities to take physical delivery of their securities in definitive form. These laws may impair the ability to transfer book-entry securities. </w:t>
      </w:r>
    </w:p>
    <w:p>
      <w:pPr>
        <w:pStyle w:val="TextBody"/>
        <w:spacing w:before="240" w:after="0"/>
        <w:jc w:val="left"/>
        <w:rPr>
          <w:rFonts w:ascii="Times New Roman" w:hAnsi="Times New Roman"/>
          <w:sz w:val="17"/>
        </w:rPr>
      </w:pPr>
      <w:r>
        <w:rPr>
          <w:rFonts w:ascii="Times New Roman" w:hAnsi="Times New Roman"/>
          <w:sz w:val="17"/>
        </w:rPr>
        <w:t xml:space="preserve">Unless otherwise specified in the prospectus supplement with respect to a series of debt securities or preferred stock, beneficial owners of book-entry securities represented by a global security may exchange the securities for definitive or paper securities only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DTC is unwilling or unable to continue as depositary for such global security and Honeywell is unable to find a qualified replacement for DTC within 90 days;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5"/>
        <w:gridCol w:w="102"/>
        <w:gridCol w:w="9389"/>
      </w:tblGrid>
      <w:tr>
        <w:trPr/>
        <w:tc>
          <w:tcPr>
            <w:tcW w:w="509"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at any time DTC ceases to be a clearing agency registered under the Securities Exchange Act of 1934, as amended;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Honeywell in its sole discretion decides to allow some or all book-entry securities to be exchangeable for definitive securities in registered form. </w:t>
            </w:r>
          </w:p>
        </w:tc>
      </w:tr>
    </w:tbl>
    <w:p>
      <w:pPr>
        <w:pStyle w:val="TextBody"/>
        <w:spacing w:before="240" w:after="0"/>
        <w:jc w:val="left"/>
        <w:rPr>
          <w:rFonts w:ascii="Times New Roman" w:hAnsi="Times New Roman"/>
          <w:sz w:val="17"/>
        </w:rPr>
      </w:pPr>
      <w:r>
        <w:rPr>
          <w:rFonts w:ascii="Times New Roman" w:hAnsi="Times New Roman"/>
          <w:sz w:val="17"/>
        </w:rPr>
        <w:t xml:space="preserve">Any global security that is exchangeable will be exchangeable in whole for definitive securities in registered form with the same terms, and in the case of debt securities, in an equal aggregate principal amount in denominations of $1,000 and whole multiples of $1,000 (unless otherwise specified in the prospectus supplement). Definitive securities will be registered in the name or names of the person or persons specified by DTC in a written instruction to the registrar of the securities. DTC may base its written instruction upon directions it receives from its participants. </w:t>
      </w:r>
    </w:p>
    <w:p>
      <w:pPr>
        <w:pStyle w:val="TextBody"/>
        <w:spacing w:before="240" w:after="0"/>
        <w:jc w:val="left"/>
        <w:rPr>
          <w:rFonts w:ascii="Times New Roman" w:hAnsi="Times New Roman"/>
          <w:sz w:val="17"/>
        </w:rPr>
      </w:pPr>
      <w:r>
        <w:rPr>
          <w:rFonts w:ascii="Times New Roman" w:hAnsi="Times New Roman"/>
          <w:sz w:val="17"/>
        </w:rPr>
        <w:t xml:space="preserve">In this prospectus and the accompanying prospectus supplement,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 </w:t>
      </w:r>
    </w:p>
    <w:p>
      <w:pPr>
        <w:pStyle w:val="TextBody"/>
        <w:spacing w:before="240" w:after="0"/>
        <w:jc w:val="left"/>
        <w:rPr>
          <w:rFonts w:ascii="Times New Roman" w:hAnsi="Times New Roman"/>
          <w:sz w:val="17"/>
        </w:rPr>
      </w:pPr>
      <w:r>
        <w:rPr>
          <w:rFonts w:ascii="Times New Roman" w:hAnsi="Times New Roman"/>
          <w:sz w:val="17"/>
        </w:rPr>
        <w:t xml:space="preserve">DTC is a limited-purpose trust company organized under the laws of the State of New York, a banking organization within the meaning of the New York Banking Law, a member of the Federal Reserve System, 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clearing corporation within the meaning of the New York Uniform Commercial Code and a clearing agency registered under the Securities Exchange Act of 1934, as amended. The rules applicable to DTC and its participants are on file with the SEC. </w:t>
      </w:r>
    </w:p>
    <w:p>
      <w:pPr>
        <w:pStyle w:val="TextBody"/>
        <w:spacing w:before="240" w:after="0"/>
        <w:jc w:val="left"/>
        <w:rPr>
          <w:rFonts w:ascii="Times New Roman" w:hAnsi="Times New Roman"/>
          <w:sz w:val="17"/>
        </w:rPr>
      </w:pPr>
      <w:r>
        <w:rPr>
          <w:rFonts w:ascii="Times New Roman" w:hAnsi="Times New Roman"/>
          <w:sz w:val="17"/>
        </w:rPr>
        <w:t xml:space="preserve">Honeywell will not have any responsibility or liability for any aspect of the records relating to, or payments made on account of, beneficial ownership interests in the book-entry securities or for maintaining, supervising or reviewing any records relating to the beneficial ownership interests.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1" w:name="rom655836_9"/>
      <w:bookmarkEnd w:id="11"/>
      <w:r>
        <w:rPr>
          <w:rFonts w:ascii="Times New Roman" w:hAnsi="Times New Roman"/>
          <w:b/>
          <w:sz w:val="17"/>
        </w:rPr>
        <w:t xml:space="preserve">PLAN OF DISTRIBUTION </w:t>
      </w:r>
    </w:p>
    <w:p>
      <w:pPr>
        <w:pStyle w:val="TextBody"/>
        <w:spacing w:before="240" w:after="0"/>
        <w:jc w:val="left"/>
        <w:rPr>
          <w:rFonts w:ascii="Times New Roman" w:hAnsi="Times New Roman"/>
          <w:sz w:val="17"/>
        </w:rPr>
      </w:pPr>
      <w:r>
        <w:rPr>
          <w:rFonts w:ascii="Times New Roman" w:hAnsi="Times New Roman"/>
          <w:sz w:val="17"/>
        </w:rPr>
        <w:t xml:space="preserve">We may sell our debt securities, or we or one or more selling security holders to be identified in a prospectus supplement may sell our preferred or common stock: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to or through underwriters or dealers for resale;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20"/>
        <w:gridCol w:w="106"/>
        <w:gridCol w:w="9369"/>
      </w:tblGrid>
      <w:tr>
        <w:trPr/>
        <w:tc>
          <w:tcPr>
            <w:tcW w:w="510" w:type="dxa"/>
            <w:tcBorders/>
            <w:shd w:fill="auto" w:val="clear"/>
            <w:vAlign w:val="center"/>
          </w:tcPr>
          <w:p>
            <w:pPr>
              <w:pStyle w:val="TableContents"/>
              <w:spacing w:before="0" w:after="283"/>
              <w:rPr/>
            </w:pPr>
            <w:r>
              <w:rPr/>
              <w:t> </w:t>
            </w:r>
          </w:p>
        </w:tc>
        <w:tc>
          <w:tcPr>
            <w:tcW w:w="220"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36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to or through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4"/>
        <w:gridCol w:w="104"/>
        <w:gridCol w:w="9378"/>
      </w:tblGrid>
      <w:tr>
        <w:trPr/>
        <w:tc>
          <w:tcPr>
            <w:tcW w:w="509"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directly to other purchasers;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through any combination of these methods;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through any other means described in a prospectus supplement. </w:t>
            </w:r>
          </w:p>
        </w:tc>
      </w:tr>
    </w:tbl>
    <w:p>
      <w:pPr>
        <w:pStyle w:val="TextBody"/>
        <w:spacing w:before="240" w:after="0"/>
        <w:jc w:val="left"/>
        <w:rPr>
          <w:rFonts w:ascii="Times New Roman" w:hAnsi="Times New Roman"/>
          <w:sz w:val="17"/>
        </w:rPr>
      </w:pPr>
      <w:r>
        <w:rPr>
          <w:rFonts w:ascii="Times New Roman" w:hAnsi="Times New Roman"/>
          <w:sz w:val="17"/>
        </w:rPr>
        <w:t xml:space="preserve">The related prospectus supplement will set forth the terms of the offering of the securities,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name or names of any underwriters, dealers or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purchase price and the proceeds we will receive from the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18"/>
        <w:gridCol w:w="106"/>
        <w:gridCol w:w="9371"/>
      </w:tblGrid>
      <w:tr>
        <w:trPr/>
        <w:tc>
          <w:tcPr>
            <w:tcW w:w="510" w:type="dxa"/>
            <w:tcBorders/>
            <w:shd w:fill="auto" w:val="clear"/>
            <w:vAlign w:val="center"/>
          </w:tcPr>
          <w:p>
            <w:pPr>
              <w:pStyle w:val="TableContents"/>
              <w:spacing w:before="0" w:after="283"/>
              <w:rPr/>
            </w:pPr>
            <w:r>
              <w:rPr/>
              <w:t> </w:t>
            </w:r>
          </w:p>
        </w:tc>
        <w:tc>
          <w:tcPr>
            <w:tcW w:w="218"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37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identity of any selling security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underwriting discounts and other items constituting underwriters compensation;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initial public offering price and any discounts or concessions allowed or reallowed or paid to dealers. </w:t>
            </w:r>
          </w:p>
        </w:tc>
      </w:tr>
    </w:tbl>
    <w:p>
      <w:pPr>
        <w:pStyle w:val="TextBody"/>
        <w:spacing w:before="240" w:after="0"/>
        <w:jc w:val="left"/>
        <w:rPr>
          <w:rFonts w:ascii="Times New Roman" w:hAnsi="Times New Roman"/>
          <w:sz w:val="17"/>
        </w:rPr>
      </w:pPr>
      <w:r>
        <w:rPr>
          <w:rFonts w:ascii="Times New Roman" w:hAnsi="Times New Roman"/>
          <w:sz w:val="17"/>
        </w:rPr>
        <w:t xml:space="preserve">If underwriters are used in the sale,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by underwriters without a syndicate. The obligations of the underwriters to purchase securities will be subject to conditions precedent and the underwriters will be obligated to purchase all the securities of a series if any are purchased. Any initial public offering price and any discounts or concessions allowed or reallowed or paid to dealers may be changed from time to time. </w:t>
      </w:r>
    </w:p>
    <w:p>
      <w:pPr>
        <w:pStyle w:val="TextBody"/>
        <w:spacing w:before="240" w:after="0"/>
        <w:jc w:val="left"/>
        <w:rPr>
          <w:rFonts w:ascii="Times New Roman" w:hAnsi="Times New Roman"/>
          <w:sz w:val="17"/>
        </w:rPr>
      </w:pPr>
      <w:r>
        <w:rPr>
          <w:rFonts w:ascii="Times New Roman" w:hAnsi="Times New Roman"/>
          <w:sz w:val="17"/>
        </w:rPr>
        <w:t xml:space="preserve">Securities may be sold directly by us or by one or more selling security holders or through agents designated by us or one or more selling security holders from time to time. Any agent involved in the offer or sale of the securities in respect of which this prospectus is delivered will be named, and any commissions payable by us or by any selling security holders to that agent will be set forth, in the related prospectus supplement. Unless otherwise indicated in the related prospectus supplement, any agent will be acting on a best efforts basis for the period of its appointment. </w:t>
      </w:r>
    </w:p>
    <w:p>
      <w:pPr>
        <w:pStyle w:val="TextBody"/>
        <w:spacing w:before="240" w:after="0"/>
        <w:jc w:val="left"/>
        <w:rPr>
          <w:rFonts w:ascii="Times New Roman" w:hAnsi="Times New Roman"/>
          <w:sz w:val="17"/>
        </w:rPr>
      </w:pPr>
      <w:r>
        <w:rPr>
          <w:rFonts w:ascii="Times New Roman" w:hAnsi="Times New Roman"/>
          <w:sz w:val="17"/>
        </w:rPr>
        <w:t xml:space="preserve">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will be identified in the applicable prospectus supplement. </w:t>
      </w:r>
    </w:p>
    <w:p>
      <w:pPr>
        <w:pStyle w:val="TextBody"/>
        <w:spacing w:before="240" w:after="0"/>
        <w:jc w:val="left"/>
        <w:rPr>
          <w:rFonts w:ascii="Times New Roman" w:hAnsi="Times New Roman"/>
          <w:sz w:val="17"/>
        </w:rPr>
      </w:pPr>
      <w:r>
        <w:rPr>
          <w:rFonts w:ascii="Times New Roman" w:hAnsi="Times New Roman"/>
          <w:sz w:val="17"/>
        </w:rPr>
        <w:t xml:space="preserve">Unless otherwise specified in an applicable prospectus supplement, each series of debt securities or preferred stock will be a new issue of securities with no established trading market. Underwriters and agents may from time to time purchase and sell the securities described in this prospectus and the relevant prospectus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supplement in the secondary market, but are not obligated to do so. No assurance can be given that there will be a secondary market for the securities or liquidity in the secondary market if one develops. From time to time, underwriters and dealers may make a market in the securities. </w:t>
      </w:r>
    </w:p>
    <w:p>
      <w:pPr>
        <w:pStyle w:val="TextBody"/>
        <w:spacing w:before="240" w:after="0"/>
        <w:jc w:val="left"/>
        <w:rPr>
          <w:rFonts w:ascii="Times New Roman" w:hAnsi="Times New Roman"/>
          <w:sz w:val="17"/>
        </w:rPr>
      </w:pPr>
      <w:r>
        <w:rPr>
          <w:rFonts w:ascii="Times New Roman" w:hAnsi="Times New Roman"/>
          <w:sz w:val="17"/>
        </w:rPr>
        <w:t xml:space="preserve">In order to facilitate the offering of the securities, the underwriters may engage in transactions that stabilize, maintain or otherwise affect the price of these securities or any other securities the prices of which may be used to determine payments on these securities. Specifically, the underwriters may over-allot in connection with the offering, creating a short position in the securities for their own accounts. In addition, to cover over-allotments or to stabilize the price of the securities or of any other securities, the underwriters may bid for, and purchase, the securities or any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are not required to engage in these activities, and may end any of these activities at any time. </w:t>
      </w:r>
    </w:p>
    <w:p>
      <w:pPr>
        <w:pStyle w:val="TextBody"/>
        <w:spacing w:before="240" w:after="0"/>
        <w:jc w:val="left"/>
        <w:rPr>
          <w:rFonts w:ascii="Times New Roman" w:hAnsi="Times New Roman"/>
          <w:sz w:val="17"/>
        </w:rPr>
      </w:pPr>
      <w:r>
        <w:rPr>
          <w:rFonts w:ascii="Times New Roman" w:hAnsi="Times New Roman"/>
          <w:sz w:val="17"/>
        </w:rPr>
        <w:t xml:space="preserve">Underwriters named in a prospectus supplement are, and dealers and agents named in a prospectus supplement may be, deemed to be underwriters within the meaning of the Securities Act of 1933, as amended, which we refer to as the Securities Act, in connection with the securities offered thereby, and any discounts or commissions they receive from us or any selling security holder and any profit on their resale of the securities may be deemed to be underwriting discounts and commissions under the Securities Act. </w:t>
      </w:r>
    </w:p>
    <w:p>
      <w:pPr>
        <w:pStyle w:val="TextBody"/>
        <w:spacing w:before="240" w:after="0"/>
        <w:jc w:val="left"/>
        <w:rPr>
          <w:rFonts w:ascii="Times New Roman" w:hAnsi="Times New Roman"/>
          <w:sz w:val="17"/>
        </w:rPr>
      </w:pPr>
      <w:r>
        <w:rPr>
          <w:rFonts w:ascii="Times New Roman" w:hAnsi="Times New Roman"/>
          <w:sz w:val="17"/>
        </w:rPr>
        <w:t xml:space="preserve">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or any identified selling security holder. These remarketing firms will offer or sell the securities in accordance with a redemption or repayment pursuant to the terms of the securities. The prospectus supplement will identify any remarketing firm and the terms of its agreement, if any, with us or any identified selling security holder and will describe the remarketing firms compensation. Remarketing firms may be deemed to be underwriters in connection with the securities they remarket. Remarketing firms may be entitled under agreements that may be entered into with us or any such selling security holder to indemnification by us or any such selling security holder against certain civil liabilities, including liabilities under the Securities Act and may be customers of, engage in transactions with or perform services for us in the ordinary course of business. </w:t>
      </w:r>
    </w:p>
    <w:p>
      <w:pPr>
        <w:pStyle w:val="TextBody"/>
        <w:spacing w:before="240" w:after="0"/>
        <w:jc w:val="left"/>
        <w:rPr>
          <w:rFonts w:ascii="Times New Roman" w:hAnsi="Times New Roman"/>
          <w:sz w:val="17"/>
        </w:rPr>
      </w:pPr>
      <w:r>
        <w:rPr>
          <w:rFonts w:ascii="Times New Roman" w:hAnsi="Times New Roman"/>
          <w:sz w:val="17"/>
        </w:rPr>
        <w:t xml:space="preserve">Unless indicated in the applicable prospectus supplement, we do not expect to apply to list the debt securities or preferred stock on a securities exchange. Any common stock sold pursuant to a prospectus supplement will be listed on the exchanges where our common stock is then listed, subject to notice of issuance. </w:t>
      </w:r>
    </w:p>
    <w:p>
      <w:pPr>
        <w:pStyle w:val="TextBody"/>
        <w:spacing w:before="240" w:after="0"/>
        <w:jc w:val="left"/>
        <w:rPr>
          <w:rFonts w:ascii="Times New Roman" w:hAnsi="Times New Roman"/>
          <w:sz w:val="17"/>
        </w:rPr>
      </w:pPr>
      <w:r>
        <w:rPr>
          <w:rFonts w:ascii="Times New Roman" w:hAnsi="Times New Roman"/>
          <w:sz w:val="17"/>
        </w:rPr>
        <w:t xml:space="preserve">Agents and underwriters may be entitled to indemnification by us against civil liabilities arising out of this prospectus, including liabilities under the Securities Act, or to contribution with respect to payments which the agents or underwriters may be required to make relating to those liabilities. </w:t>
      </w:r>
    </w:p>
    <w:p>
      <w:pPr>
        <w:pStyle w:val="TextBody"/>
        <w:spacing w:before="240" w:after="0"/>
        <w:jc w:val="left"/>
        <w:rPr>
          <w:rFonts w:ascii="Times New Roman" w:hAnsi="Times New Roman"/>
          <w:sz w:val="17"/>
        </w:rPr>
      </w:pPr>
      <w:r>
        <w:rPr>
          <w:rFonts w:ascii="Times New Roman" w:hAnsi="Times New Roman"/>
          <w:sz w:val="17"/>
        </w:rPr>
        <w:t xml:space="preserve">Agents and underwriters may be engaged in transactions with, or perform commercial or investment banking or other services for, us or our subsidiaries or affiliates, in the ordinary course of business. </w:t>
      </w:r>
    </w:p>
    <w:p>
      <w:pPr>
        <w:pStyle w:val="TextBody"/>
        <w:spacing w:before="240" w:after="0"/>
        <w:jc w:val="left"/>
        <w:rPr>
          <w:rFonts w:ascii="Times New Roman" w:hAnsi="Times New Roman"/>
          <w:sz w:val="17"/>
        </w:rPr>
      </w:pPr>
      <w:r>
        <w:rPr>
          <w:rFonts w:ascii="Times New Roman" w:hAnsi="Times New Roman"/>
          <w:sz w:val="17"/>
        </w:rPr>
        <w:t xml:space="preserve">We will estimate our expenses associated with any offering of debt securities, preferred stock or common stock in the prospectus supplement relating to such offering. </w:t>
      </w:r>
    </w:p>
    <w:p>
      <w:pPr>
        <w:pStyle w:val="TextBody"/>
        <w:spacing w:before="480" w:after="0"/>
        <w:jc w:val="center"/>
        <w:rPr>
          <w:rFonts w:ascii="Times New Roman" w:hAnsi="Times New Roman"/>
          <w:b/>
          <w:sz w:val="17"/>
        </w:rPr>
      </w:pPr>
      <w:bookmarkStart w:id="12" w:name="rom655836_10"/>
      <w:bookmarkEnd w:id="12"/>
      <w:r>
        <w:rPr>
          <w:rFonts w:ascii="Times New Roman" w:hAnsi="Times New Roman"/>
          <w:b/>
          <w:sz w:val="17"/>
        </w:rPr>
        <w:t xml:space="preserve">EXPERTS </w:t>
      </w:r>
    </w:p>
    <w:p>
      <w:pPr>
        <w:pStyle w:val="TextBody"/>
        <w:spacing w:before="240" w:after="0"/>
        <w:jc w:val="left"/>
        <w:rPr>
          <w:rFonts w:ascii="Times New Roman" w:hAnsi="Times New Roman"/>
          <w:sz w:val="17"/>
        </w:rPr>
      </w:pPr>
      <w:r>
        <w:rPr>
          <w:rFonts w:ascii="Times New Roman" w:hAnsi="Times New Roman"/>
          <w:sz w:val="17"/>
        </w:rPr>
        <w:t xml:space="preserve">The financial statements incorporated in this Prospectus by reference from the Companys Annual Report on Form 10-K, and the effectiveness of Honeywell International Inc.s internal control over financial reporting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 </w:t>
      </w:r>
    </w:p>
    <w:p>
      <w:pPr>
        <w:pStyle w:val="TextBody"/>
        <w:spacing w:before="480" w:after="0"/>
        <w:jc w:val="center"/>
        <w:rPr>
          <w:rFonts w:ascii="Times New Roman" w:hAnsi="Times New Roman"/>
          <w:b/>
          <w:sz w:val="17"/>
        </w:rPr>
      </w:pPr>
      <w:bookmarkStart w:id="13" w:name="rom655836_11"/>
      <w:bookmarkEnd w:id="13"/>
      <w:r>
        <w:rPr>
          <w:rFonts w:ascii="Times New Roman" w:hAnsi="Times New Roman"/>
          <w:b/>
          <w:sz w:val="17"/>
        </w:rPr>
        <w:t xml:space="preserve">LEGAL OPINIONS </w:t>
      </w:r>
    </w:p>
    <w:p>
      <w:pPr>
        <w:pStyle w:val="TextBody"/>
        <w:spacing w:before="240" w:after="0"/>
        <w:jc w:val="left"/>
        <w:rPr>
          <w:rFonts w:ascii="Times New Roman" w:hAnsi="Times New Roman"/>
          <w:sz w:val="17"/>
        </w:rPr>
      </w:pPr>
      <w:r>
        <w:rPr>
          <w:rFonts w:ascii="Times New Roman" w:hAnsi="Times New Roman"/>
          <w:sz w:val="17"/>
        </w:rPr>
        <w:t xml:space="preserve">Certain legal matters will be passed upon for Honeywell by Anne T. Madden, Senior Vice President, General Counsel and Corporate Secretary, of Honeywell.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WHERE YOU CAN FIND MORE INFORM</w:t>
      </w:r>
      <w:bookmarkStart w:id="14" w:name="rom655836_12"/>
      <w:bookmarkEnd w:id="14"/>
      <w:r>
        <w:rPr>
          <w:rFonts w:ascii="Times New Roman" w:hAnsi="Times New Roman"/>
          <w:b/>
          <w:sz w:val="17"/>
        </w:rPr>
        <w:t xml:space="preserve">ATION ABOUT HONEYWELL </w:t>
      </w:r>
    </w:p>
    <w:p>
      <w:pPr>
        <w:pStyle w:val="TextBody"/>
        <w:spacing w:before="240" w:after="0"/>
        <w:jc w:val="left"/>
        <w:rPr>
          <w:rFonts w:ascii="Times New Roman" w:hAnsi="Times New Roman"/>
          <w:sz w:val="17"/>
        </w:rPr>
      </w:pPr>
      <w:r>
        <w:rPr>
          <w:rFonts w:ascii="Times New Roman" w:hAnsi="Times New Roman"/>
          <w:sz w:val="17"/>
        </w:rPr>
        <w:t xml:space="preserve">This prospectus, which constitutes a part of the registration statement, does not contain all of the information set forth in the registration statement or the exhibits and schedules filed with it. For further information about us, our securities and other information set forth herein, reference is made to the registration statement and exhibits and schedules filed with it. Statements contained in this prospectus regarding the contents of any contract or any other document that is filed as an exhibit to the registration statement are not necessarily complete, and each such statement is subject to, and qualified in its entirety by, reference to the applicable contract or other document filed herewith. </w:t>
      </w:r>
    </w:p>
    <w:p>
      <w:pPr>
        <w:pStyle w:val="TextBody"/>
        <w:spacing w:before="240" w:after="0"/>
        <w:jc w:val="left"/>
        <w:rPr>
          <w:rFonts w:ascii="Times New Roman" w:hAnsi="Times New Roman"/>
          <w:sz w:val="17"/>
        </w:rPr>
      </w:pPr>
      <w:r>
        <w:rPr>
          <w:rFonts w:ascii="Times New Roman" w:hAnsi="Times New Roman"/>
          <w:sz w:val="17"/>
        </w:rPr>
        <w:t xml:space="preserve">We file annual, quarterly and current reports, proxy statements and other information with the SEC. Our SEC filings are available to the public from the SECs Web site at http://www.sec.gov. You may also read and copy any document we file at the SECs public reference room located at 100 F Street N.E., Room 1580, Washington, D.C. 20549. You may also obtain copies of any document we file at prescribed rates by writing to the Public Reference Section of the SEC at that address. Please call the SEC at 1-800-SEC-0330 for further information on the public reference room. Information about us, including our SEC filings, is also available on our Web site at http://www.honeywell.com. The information on or linked to/from our Web site is not part of, and is not incorporated by reference into, this prospectus. Reference to our Web site is made as an inactive textual reference. You may also inspect reports, proxy statements and other information about Honeywell at the office of the New York Stock Exchange, 20 Broad Street, New York, NY 10005. </w:t>
      </w:r>
    </w:p>
    <w:p>
      <w:pPr>
        <w:pStyle w:val="TextBody"/>
        <w:spacing w:before="480" w:after="0"/>
        <w:jc w:val="center"/>
        <w:rPr>
          <w:rFonts w:ascii="Times New Roman" w:hAnsi="Times New Roman"/>
          <w:b/>
          <w:sz w:val="17"/>
        </w:rPr>
      </w:pPr>
      <w:bookmarkStart w:id="15" w:name="rom655836_13"/>
      <w:bookmarkEnd w:id="15"/>
      <w:r>
        <w:rPr>
          <w:rFonts w:ascii="Times New Roman" w:hAnsi="Times New Roman"/>
          <w:b/>
          <w:sz w:val="17"/>
        </w:rPr>
        <w:t xml:space="preserve">INCORPORATION OF CERTAIN INFORMATION BY REFERENCE </w:t>
      </w:r>
    </w:p>
    <w:p>
      <w:pPr>
        <w:pStyle w:val="TextBody"/>
        <w:spacing w:before="240" w:after="0"/>
        <w:jc w:val="left"/>
        <w:rPr>
          <w:rFonts w:ascii="Times New Roman" w:hAnsi="Times New Roman"/>
          <w:sz w:val="17"/>
        </w:rPr>
      </w:pPr>
      <w:r>
        <w:rPr>
          <w:rFonts w:ascii="Times New Roman" w:hAnsi="Times New Roman"/>
          <w:sz w:val="17"/>
        </w:rPr>
        <w:t xml:space="preserve">The SEC allows us to incorporate by reference into this prospectus the information in other documents that we file with it, which means that we can disclose important information to you by referring you to those documents. The information incorporated by reference is considered to be a part of this prospectus, and information in documents filed with the SEC after the date of this prospectus will automatically update and supersede information contained herein or on file with the SEC as of the date of this prospectus. We incorporate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Annual Report on Form 10-K for the year ended December 31, 2017, filed with the SEC on February 9,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Quarterly Reports on Form 10-Q for the quarter ended March 31, 2018, filed with the SEC on April 20, 2018, for the quarter ended June 30, 2018, filed with the SEC on July 20, 2018 and for the quarter ended September 30, 2018, filed on October 19, 2018;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Current Reports on Form 8-K filed with the SEC on February 14, 2018, April 23, 2018, May 1, 2018, May 31, 2018, June 19, 2018, August 2, 2018, October 19, 2018 and October 29, 2018. </w:t>
            </w:r>
          </w:p>
        </w:tc>
      </w:tr>
    </w:tbl>
    <w:p>
      <w:pPr>
        <w:pStyle w:val="TextBody"/>
        <w:spacing w:before="240" w:after="0"/>
        <w:jc w:val="left"/>
        <w:rPr>
          <w:rFonts w:ascii="Times New Roman" w:hAnsi="Times New Roman"/>
          <w:sz w:val="17"/>
        </w:rPr>
      </w:pPr>
      <w:r>
        <w:rPr>
          <w:rFonts w:ascii="Times New Roman" w:hAnsi="Times New Roman"/>
          <w:sz w:val="17"/>
        </w:rPr>
        <w:t xml:space="preserve">We also incorporate by reference additional documents that we may file with the SEC after the date of this prospectus under Sections 13(a), 13(c), 14 or 15(d) of the Securities Exchange Act of 1934, as amended. These documents include periodic reports, which may include Annual Reports on Form 10-K, Quarterly Reports on Form 10-Q and Current Reports on Form 8-K, as well as proxy statements. </w:t>
      </w:r>
    </w:p>
    <w:p>
      <w:pPr>
        <w:pStyle w:val="TextBody"/>
        <w:spacing w:before="240" w:after="0"/>
        <w:jc w:val="left"/>
        <w:rPr>
          <w:rFonts w:ascii="Times New Roman" w:hAnsi="Times New Roman"/>
          <w:sz w:val="17"/>
        </w:rPr>
      </w:pPr>
      <w:r>
        <w:rPr>
          <w:rFonts w:ascii="Times New Roman" w:hAnsi="Times New Roman"/>
          <w:sz w:val="17"/>
        </w:rPr>
        <w:t xml:space="preserve">You can obtain any of the documents incorporated by reference in this prospectus through us, or from the SEC through the SECs Web site at the address provided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and a copy of the indenture and other agreements referred to in this prospectus free of charge by requesting them in writing or by telephone from us at the following address and telephone number: Honeywell International Inc., 115 Tabor Road, Morris Plains, New Jersey 07950, Attention: Assistant Corporate Secretary, Telephone No.: (973) 455-2000.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6" w:name="rom655836_14"/>
      <w:bookmarkEnd w:id="16"/>
      <w:r>
        <w:rPr>
          <w:rFonts w:ascii="Times New Roman" w:hAnsi="Times New Roman"/>
          <w:b/>
          <w:sz w:val="17"/>
        </w:rPr>
        <w:t xml:space="preserve">CAUTIONARY STATEMENT CONCERNING FORWARD-LOOKING STATEMENTS </w:t>
      </w:r>
    </w:p>
    <w:p>
      <w:pPr>
        <w:pStyle w:val="TextBody"/>
        <w:spacing w:before="240" w:after="0"/>
        <w:jc w:val="left"/>
        <w:rPr>
          <w:rFonts w:ascii="Times New Roman" w:hAnsi="Times New Roman"/>
          <w:sz w:val="17"/>
        </w:rPr>
      </w:pPr>
      <w:r>
        <w:rPr>
          <w:rFonts w:ascii="Times New Roman" w:hAnsi="Times New Roman"/>
          <w:sz w:val="17"/>
        </w:rPr>
        <w:t xml:space="preserve">This prospectus contains forward-looking statements within the meaning of the Private Securities Litigation Reform Act of 1995.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 and long term. These forward-looking statements should be considered in light of the information included in this prospectus, including the information under the heading Risk Factors and the description of trends and other factors in Managements Discussion and Analysis of Financial Condition and Results of Operations set forth in our Annual Report on Form 10-K for the year ended December 31, 2017 and in Managements Discussion and Analysis of Financial Condition and Results of Operations set forth in our Quarterly Report on Form 10-Q for the quarter ended September 30, 2018, which are incorporated herein by reference, and in our other filings with the SEC.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73355" cy="336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3355" cy="33655"/>
                    </a:xfrm>
                    <a:prstGeom prst="rect">
                      <a:avLst/>
                    </a:prstGeom>
                  </pic:spPr>
                </pic:pic>
              </a:graphicData>
            </a:graphic>
          </wp:inline>
        </w:drawing>
      </w:r>
      <w:r>
        <w:rPr/>
        <w:t xml:space="preserve"> </w:t>
      </w:r>
    </w:p>
    <w:p>
      <w:pPr>
        <w:pStyle w:val="TextBody"/>
        <w:spacing w:before="240" w:after="0"/>
        <w:jc w:val="center"/>
        <w:rPr>
          <w:rFonts w:ascii="Times New Roman" w:hAnsi="Times New Roman"/>
          <w:b/>
          <w:sz w:val="40"/>
        </w:rPr>
      </w:pPr>
      <w:r>
        <w:rPr>
          <w:rFonts w:ascii="Times New Roman" w:hAnsi="Times New Roman"/>
          <w:b/>
          <w:sz w:val="40"/>
        </w:rPr>
        <w:t xml:space="preserve">Honeywell International Inc. </w:t>
      </w:r>
    </w:p>
    <w:p>
      <w:pPr>
        <w:pStyle w:val="TextBody"/>
        <w:spacing w:before="240" w:after="0"/>
        <w:jc w:val="center"/>
        <w:rPr>
          <w:rFonts w:ascii="Times New Roman" w:hAnsi="Times New Roman"/>
          <w:b/>
          <w:sz w:val="23"/>
        </w:rPr>
      </w:pPr>
      <w:r>
        <w:rPr>
          <w:rFonts w:ascii="Times New Roman" w:hAnsi="Times New Roman"/>
          <w:b/>
          <w:sz w:val="23"/>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7"/>
        </w:rPr>
      </w:pPr>
      <w:r>
        <w:rPr>
          <w:rFonts w:ascii="Times New Roman" w:hAnsi="Times New Roman"/>
          <w:sz w:val="17"/>
        </w:rPr>
        <w:t xml:space="preserve">This prospectus covers the resale, from time to time, by Honeywell International Inc. Master Retirement Trust (the </w:t>
      </w:r>
      <w:r>
        <w:rPr>
          <w:rFonts w:ascii="Times New Roman" w:hAnsi="Times New Roman"/>
          <w:b/>
          <w:i/>
          <w:sz w:val="17"/>
        </w:rPr>
        <w:t>Selling Stockholder</w:t>
      </w:r>
      <w:r>
        <w:rPr>
          <w:rFonts w:ascii="Times New Roman" w:hAnsi="Times New Roman"/>
          <w:sz w:val="17"/>
        </w:rPr>
        <w:t>), of shares of common stock, par value $1.00 per share, of Honeywell International Inc. (</w:t>
      </w:r>
      <w:r>
        <w:rPr>
          <w:rFonts w:ascii="Times New Roman" w:hAnsi="Times New Roman"/>
          <w:b/>
          <w:i/>
          <w:sz w:val="17"/>
        </w:rPr>
        <w:t>Honeywell</w:t>
      </w:r>
      <w:r>
        <w:rPr>
          <w:rFonts w:ascii="Times New Roman" w:hAnsi="Times New Roman"/>
          <w:sz w:val="17"/>
        </w:rPr>
        <w:t xml:space="preserve">). The shares of common stock to which this prospectus relates (i) will be contributed by Honeywell to the Selling Stockholder, from time to time, in one or more private transactions, or (ii) may be purchased by the Selling Stockholder in the open market. The number of shares to be sold by the Selling Stockholder shall be specified from time to time in a prospectus supplement. The shares of common stock will be held by The Northern Trust Company, the trustee of the Selling Stockholder (the </w:t>
      </w:r>
      <w:r>
        <w:rPr>
          <w:rFonts w:ascii="Times New Roman" w:hAnsi="Times New Roman"/>
          <w:b/>
          <w:i/>
          <w:sz w:val="17"/>
        </w:rPr>
        <w:t>Trustee</w:t>
      </w:r>
      <w:r>
        <w:rPr>
          <w:rFonts w:ascii="Times New Roman" w:hAnsi="Times New Roman"/>
          <w:sz w:val="17"/>
        </w:rPr>
        <w:t xml:space="preserve">), and sold upon the instructions from an independent, third party investment fiduciary. The investment fiduciary will be chosen by Honeywells Pension Investment Committee (the </w:t>
      </w:r>
      <w:r>
        <w:rPr>
          <w:rFonts w:ascii="Times New Roman" w:hAnsi="Times New Roman"/>
          <w:b/>
          <w:i/>
          <w:sz w:val="17"/>
        </w:rPr>
        <w:t>PIC</w:t>
      </w:r>
      <w:r>
        <w:rPr>
          <w:rFonts w:ascii="Times New Roman" w:hAnsi="Times New Roman"/>
          <w:sz w:val="17"/>
        </w:rPr>
        <w:t xml:space="preserve">) under a delegation of authority from the Retirement Plans Committee of the board of directors of Honeywell, and appointed by the PIC to instruct the Trustee. The investment fiduciary will determine the time and manner of sale of the shares of common stock. See Selling Shareholder and Plan of Distribution. </w:t>
      </w:r>
    </w:p>
    <w:p>
      <w:pPr>
        <w:pStyle w:val="TextBody"/>
        <w:spacing w:before="240" w:after="0"/>
        <w:jc w:val="left"/>
        <w:rPr>
          <w:rFonts w:ascii="Times New Roman" w:hAnsi="Times New Roman"/>
          <w:sz w:val="17"/>
        </w:rPr>
      </w:pPr>
      <w:r>
        <w:rPr>
          <w:rFonts w:ascii="Times New Roman" w:hAnsi="Times New Roman"/>
          <w:sz w:val="17"/>
        </w:rPr>
        <w:t xml:space="preserve">The shares of common stock to which this prospectus relates may be sold from time to time through public or private transactions on or off the United States exchanges on which our common stock is traded, and at prevailing market prices or negotiated prices, all as more fully described under Plan of Distribution. </w:t>
      </w:r>
    </w:p>
    <w:p>
      <w:pPr>
        <w:pStyle w:val="TextBody"/>
        <w:spacing w:before="240" w:after="0"/>
        <w:jc w:val="left"/>
        <w:rPr>
          <w:rFonts w:ascii="Times New Roman" w:hAnsi="Times New Roman"/>
          <w:sz w:val="17"/>
        </w:rPr>
      </w:pPr>
      <w:r>
        <w:rPr>
          <w:rFonts w:ascii="Times New Roman" w:hAnsi="Times New Roman"/>
          <w:sz w:val="17"/>
        </w:rPr>
        <w:t xml:space="preserve">This prospectus describes the general manner in which the shares of common stock may be offered or sold by the Selling Stockholder. If necessary, the specific manner in which shares of our common stock may be offered or sold will be described in a prospectus supplement. </w:t>
      </w:r>
    </w:p>
    <w:p>
      <w:pPr>
        <w:pStyle w:val="TextBody"/>
        <w:spacing w:before="240" w:after="0"/>
        <w:jc w:val="left"/>
        <w:rPr>
          <w:rFonts w:ascii="Times New Roman" w:hAnsi="Times New Roman"/>
          <w:sz w:val="17"/>
        </w:rPr>
      </w:pPr>
      <w:r>
        <w:rPr>
          <w:rFonts w:ascii="Times New Roman" w:hAnsi="Times New Roman"/>
          <w:sz w:val="17"/>
        </w:rPr>
        <w:t xml:space="preserve">The proceeds from the sale of the shares of common stock to which this prospectus relates are solely for the account of the Selling Stockholder. Honeywell will not receive any of the proceeds from such sales. See Use of Proceeds.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7"/>
        </w:rPr>
      </w:pPr>
      <w:r>
        <w:rPr>
          <w:rFonts w:ascii="Times New Roman" w:hAnsi="Times New Roman"/>
          <w:sz w:val="17"/>
        </w:rPr>
        <w:t xml:space="preserve">Our common stock is listed on the New York Stock Exchange and the London Stock Exchange under the symbol HON. On December 7, 2018, the last reported sale price of our common stock on the New York Stock Exchange was $138.71.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0"/>
        </w:rPr>
        <w:t>Investing in our common stock involves certain risks. See </w:t>
      </w:r>
      <w:hyperlink w:anchor="mrtrom655836_3">
        <w:r>
          <w:rPr>
            <w:rStyle w:val="InternetLink"/>
            <w:rFonts w:ascii="Times New Roman" w:hAnsi="Times New Roman"/>
            <w:b/>
            <w:sz w:val="20"/>
          </w:rPr>
          <w:t>Risk Factors</w:t>
        </w:r>
      </w:hyperlink>
      <w:r>
        <w:rPr>
          <w:rFonts w:ascii="Times New Roman" w:hAnsi="Times New Roman"/>
          <w:b/>
          <w:sz w:val="20"/>
        </w:rPr>
        <w:t xml:space="preserve"> on page 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17"/>
        </w:rPr>
      </w:pPr>
      <w:r>
        <w:rPr>
          <w:rFonts w:ascii="Times New Roman" w:hAnsi="Times New Roman"/>
          <w:b/>
          <w:sz w:val="17"/>
        </w:rPr>
        <w:t xml:space="preserve">Neither the Securities and Exchange Commission nor any other regulatory body has approved or disapproved of these securities or passed upon the accuracy or adequacy of this prospectus. Any representation to the contrary is a criminal offense. </w:t>
      </w:r>
    </w:p>
    <w:p>
      <w:pPr>
        <w:pStyle w:val="TextBody"/>
        <w:spacing w:before="240" w:after="0"/>
        <w:jc w:val="center"/>
        <w:rPr>
          <w:rFonts w:ascii="Times New Roman" w:hAnsi="Times New Roman"/>
          <w:sz w:val="17"/>
        </w:rPr>
      </w:pPr>
      <w:r>
        <w:rPr>
          <w:rFonts w:ascii="Times New Roman" w:hAnsi="Times New Roman"/>
          <w:sz w:val="17"/>
        </w:rPr>
        <w:t xml:space="preserve">The date of this prospectus is December 10, 2018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7" w:name="index"/>
      <w:bookmarkEnd w:id="17"/>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42"/>
        <w:gridCol w:w="387"/>
        <w:gridCol w:w="154"/>
        <w:gridCol w:w="361"/>
        <w:gridCol w:w="61"/>
      </w:tblGrid>
      <w:tr>
        <w:trPr/>
        <w:tc>
          <w:tcPr>
            <w:tcW w:w="924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924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1">
              <w:r>
                <w:rPr>
                  <w:rStyle w:val="InternetLink"/>
                  <w:rFonts w:ascii="Times New Roman" w:hAnsi="Times New Roman"/>
                  <w:sz w:val="17"/>
                </w:rPr>
                <w:t>About this Prospectus</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ii</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2">
              <w:r>
                <w:rPr>
                  <w:rStyle w:val="InternetLink"/>
                  <w:rFonts w:ascii="Times New Roman" w:hAnsi="Times New Roman"/>
                  <w:sz w:val="17"/>
                </w:rPr>
                <w:t>Honeywell</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1</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3">
              <w:r>
                <w:rPr>
                  <w:rStyle w:val="InternetLink"/>
                  <w:rFonts w:ascii="Times New Roman" w:hAnsi="Times New Roman"/>
                  <w:sz w:val="17"/>
                </w:rPr>
                <w:t>Risk Factors</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1</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4">
              <w:r>
                <w:rPr>
                  <w:rStyle w:val="InternetLink"/>
                  <w:rFonts w:ascii="Times New Roman" w:hAnsi="Times New Roman"/>
                  <w:sz w:val="17"/>
                </w:rPr>
                <w:t>Use of Proceeds</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1</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5">
              <w:r>
                <w:rPr>
                  <w:rStyle w:val="InternetLink"/>
                  <w:rFonts w:ascii="Times New Roman" w:hAnsi="Times New Roman"/>
                  <w:sz w:val="17"/>
                </w:rPr>
                <w:t>Selling Stockholder</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2</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6">
              <w:r>
                <w:rPr>
                  <w:rStyle w:val="InternetLink"/>
                  <w:rFonts w:ascii="Times New Roman" w:hAnsi="Times New Roman"/>
                  <w:sz w:val="17"/>
                </w:rPr>
                <w:t>Description of Common Stock</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3</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7">
              <w:r>
                <w:rPr>
                  <w:rStyle w:val="InternetLink"/>
                  <w:rFonts w:ascii="Times New Roman" w:hAnsi="Times New Roman"/>
                  <w:sz w:val="17"/>
                </w:rPr>
                <w:t>Plan of Distribution</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4</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8">
              <w:r>
                <w:rPr>
                  <w:rStyle w:val="InternetLink"/>
                  <w:rFonts w:ascii="Times New Roman" w:hAnsi="Times New Roman"/>
                  <w:sz w:val="17"/>
                </w:rPr>
                <w:t>Experts</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6</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9">
              <w:r>
                <w:rPr>
                  <w:rStyle w:val="InternetLink"/>
                  <w:rFonts w:ascii="Times New Roman" w:hAnsi="Times New Roman"/>
                  <w:sz w:val="17"/>
                </w:rPr>
                <w:t>Legal Opinions</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10">
              <w:r>
                <w:rPr>
                  <w:rStyle w:val="InternetLink"/>
                  <w:rFonts w:ascii="Times New Roman" w:hAnsi="Times New Roman"/>
                  <w:sz w:val="17"/>
                </w:rPr>
                <w:t>Where You Can Find More Information About Honeywell</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11">
              <w:r>
                <w:rPr>
                  <w:rStyle w:val="InternetLink"/>
                  <w:rFonts w:ascii="Times New Roman" w:hAnsi="Times New Roman"/>
                  <w:sz w:val="17"/>
                </w:rPr>
                <w:t>Incorporation of Certain Information by Reference</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242" w:type="dxa"/>
            <w:tcBorders/>
            <w:shd w:fill="auto" w:val="clear"/>
          </w:tcPr>
          <w:p>
            <w:pPr>
              <w:pStyle w:val="TableContents"/>
              <w:spacing w:before="0" w:after="0"/>
              <w:rPr/>
            </w:pPr>
            <w:hyperlink w:anchor="mrtrom655836_12">
              <w:r>
                <w:rPr>
                  <w:rStyle w:val="InternetLink"/>
                  <w:rFonts w:ascii="Times New Roman" w:hAnsi="Times New Roman"/>
                  <w:sz w:val="17"/>
                </w:rPr>
                <w:t>Cautionary Statement Concerning Forward-Looking Statements</w:t>
              </w:r>
            </w:hyperlink>
          </w:p>
        </w:tc>
        <w:tc>
          <w:tcPr>
            <w:tcW w:w="387"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pPr>
            <w:r>
              <w:rPr/>
              <w:t>8</w:t>
            </w:r>
          </w:p>
        </w:tc>
        <w:tc>
          <w:tcPr>
            <w:tcW w:w="61"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17"/>
        </w:rPr>
      </w:pPr>
      <w:r>
        <w:rPr>
          <w:rFonts w:ascii="Times New Roman" w:hAnsi="Times New Roman"/>
          <w:b/>
          <w:sz w:val="17"/>
        </w:rPr>
        <w:t xml:space="preserve">We and the selling security holder have not authorized anyone to provide any information or make any representations other than those contained in this prospectus, the related registration statement or in any of the materials that we have incorporated by reference into this prospectus. You should carefully evaluate the information provided by us in light of the total mix of information available to you, recognizing that we can provide no assurance as to the reliability of any information other than that contained in this prospectus, the related registration statement or in any of the materials that we have incorporated by reference into this prospectus. If you are in a jurisdiction where offers to sell, or solicitations of offers to purchase, the securities offered by this prospectus are unlawful, or if you are a person to whom it is unlawful to direct these types of activities, then the offer presented in this prospectus does not extend to you. The information contained in this prospectus speaks only as of the date of this prospectus unless the information specifically indicates that another date applies.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8" w:name="mrtrom655836_1"/>
      <w:bookmarkEnd w:id="18"/>
      <w:r>
        <w:rPr>
          <w:rFonts w:ascii="Times New Roman" w:hAnsi="Times New Roman"/>
          <w:b/>
          <w:sz w:val="17"/>
        </w:rPr>
        <w:t xml:space="preserve">ABOUT THIS PROSPECTUS </w:t>
      </w:r>
    </w:p>
    <w:p>
      <w:pPr>
        <w:pStyle w:val="TextBody"/>
        <w:spacing w:before="240" w:after="0"/>
        <w:jc w:val="left"/>
        <w:rPr>
          <w:rFonts w:ascii="Times New Roman" w:hAnsi="Times New Roman"/>
          <w:sz w:val="17"/>
        </w:rPr>
      </w:pPr>
      <w:r>
        <w:rPr>
          <w:rFonts w:ascii="Times New Roman" w:hAnsi="Times New Roman"/>
          <w:sz w:val="17"/>
        </w:rPr>
        <w:t xml:space="preserve">This prospectus is part of a registration statement that Honeywell filed with the Securities and Exchange Commission (the </w:t>
      </w:r>
      <w:r>
        <w:rPr>
          <w:rFonts w:ascii="Times New Roman" w:hAnsi="Times New Roman"/>
          <w:b/>
          <w:i/>
          <w:sz w:val="17"/>
        </w:rPr>
        <w:t>SEC</w:t>
      </w:r>
      <w:r>
        <w:rPr>
          <w:rFonts w:ascii="Times New Roman" w:hAnsi="Times New Roman"/>
          <w:sz w:val="17"/>
        </w:rPr>
        <w:t xml:space="preserve">) utilizing a shelf registration process as a well-known seasoned issuer as defined in Rule 405 under the Securities Act of 1933, as amended. Under this process, the Selling Stockholder may offer our shares of common stock in one or more offerings. Some transactions in which the Selling Stockholder offers shares of our common stock under this registration statement may require that we provide a prospectus supplement that will contain additional information about the terms of that offering. A prospectus supplement may also add, update or change information contained in this prospectus. If there is any inconsistency between the information in this prospectus and any applicable prospectus supplement, you should rely on the information in the applicable prospectus supplement. </w:t>
      </w:r>
    </w:p>
    <w:p>
      <w:pPr>
        <w:pStyle w:val="TextBody"/>
        <w:spacing w:before="240" w:after="0"/>
        <w:jc w:val="left"/>
        <w:rPr>
          <w:rFonts w:ascii="Times New Roman" w:hAnsi="Times New Roman"/>
          <w:sz w:val="17"/>
        </w:rPr>
      </w:pPr>
      <w:r>
        <w:rPr>
          <w:rFonts w:ascii="Times New Roman" w:hAnsi="Times New Roman"/>
          <w:sz w:val="17"/>
        </w:rPr>
        <w:t xml:space="preserve">This prospectus provides you with a general description of our shares of common stock. To understand the terms of our securities, you should carefully read this document with any applicable prospectus supplement. You should also read the documents we have referred you to in Where You Can Find More Information About Honeywell below for information on Honeywell and our financial statements. </w:t>
      </w:r>
    </w:p>
    <w:p>
      <w:pPr>
        <w:pStyle w:val="TextBody"/>
        <w:spacing w:before="240" w:after="0"/>
        <w:jc w:val="left"/>
        <w:rPr>
          <w:rFonts w:ascii="Times New Roman" w:hAnsi="Times New Roman"/>
          <w:sz w:val="17"/>
        </w:rPr>
      </w:pPr>
      <w:r>
        <w:rPr>
          <w:rFonts w:ascii="Times New Roman" w:hAnsi="Times New Roman"/>
          <w:sz w:val="17"/>
        </w:rPr>
        <w:t xml:space="preserve">In this prospectus and any prospectus supplement, unless otherwise specified, the terms Honeywell, we, us or our mean Honeywell International Inc. and its consolidated subsidiaries. </w:t>
      </w:r>
    </w:p>
    <w:p>
      <w:pPr>
        <w:pStyle w:val="TextBody"/>
        <w:spacing w:before="240" w:after="0"/>
        <w:jc w:val="left"/>
        <w:rPr>
          <w:rFonts w:ascii="Times New Roman" w:hAnsi="Times New Roman"/>
          <w:sz w:val="17"/>
        </w:rPr>
      </w:pPr>
      <w:r>
        <w:rPr>
          <w:rFonts w:ascii="Times New Roman" w:hAnsi="Times New Roman"/>
          <w:sz w:val="17"/>
        </w:rPr>
        <w:t xml:space="preserve">Unless otherwise stated, currency amounts in this prospectus and any prospectus supplement are stated in United States dollars, or $.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HON</w:t>
      </w:r>
      <w:bookmarkStart w:id="19" w:name="mrtrom655836_2"/>
      <w:bookmarkEnd w:id="19"/>
      <w:r>
        <w:rPr>
          <w:rFonts w:ascii="Times New Roman" w:hAnsi="Times New Roman"/>
          <w:b/>
          <w:sz w:val="17"/>
        </w:rPr>
        <w:t xml:space="preserve">EYWELL </w:t>
      </w:r>
    </w:p>
    <w:p>
      <w:pPr>
        <w:pStyle w:val="TextBody"/>
        <w:spacing w:before="240" w:after="0"/>
        <w:jc w:val="left"/>
        <w:rPr>
          <w:rFonts w:ascii="Times New Roman" w:hAnsi="Times New Roman"/>
          <w:sz w:val="17"/>
        </w:rPr>
      </w:pPr>
      <w:r>
        <w:rPr>
          <w:rFonts w:ascii="Times New Roman" w:hAnsi="Times New Roman"/>
          <w:sz w:val="17"/>
        </w:rPr>
        <w:t xml:space="preserve">Honeywell International Inc. is a technology company that delivers industry specific solutions that include aerospace products and services, control technologies for buildings and industry, and performance materials globally. Honeywell was incorporated in Delaware in 1985, and its principal executive offices are located at 115 Tabor Road, Morris Plains, New Jersey 07950. Its main telephone number is (973) 455-2000. </w:t>
      </w:r>
    </w:p>
    <w:p>
      <w:pPr>
        <w:pStyle w:val="TextBody"/>
        <w:spacing w:before="480" w:after="0"/>
        <w:jc w:val="center"/>
        <w:rPr>
          <w:rFonts w:ascii="Times New Roman" w:hAnsi="Times New Roman"/>
          <w:b/>
          <w:sz w:val="17"/>
        </w:rPr>
      </w:pPr>
      <w:bookmarkStart w:id="20" w:name="mrtrom655836_3"/>
      <w:bookmarkEnd w:id="20"/>
      <w:r>
        <w:rPr>
          <w:rFonts w:ascii="Times New Roman" w:hAnsi="Times New Roman"/>
          <w:b/>
          <w:sz w:val="17"/>
        </w:rPr>
        <w:t xml:space="preserve">RISK FACTORS </w:t>
      </w:r>
    </w:p>
    <w:p>
      <w:pPr>
        <w:pStyle w:val="TextBody"/>
        <w:spacing w:before="240" w:after="0"/>
        <w:jc w:val="left"/>
        <w:rPr>
          <w:rFonts w:ascii="Times New Roman" w:hAnsi="Times New Roman"/>
          <w:sz w:val="17"/>
        </w:rPr>
      </w:pPr>
      <w:r>
        <w:rPr>
          <w:rFonts w:ascii="Times New Roman" w:hAnsi="Times New Roman"/>
          <w:sz w:val="17"/>
        </w:rPr>
        <w:t xml:space="preserve">Investing in Honeywells common stock involves risk. Before making an investment decision, you should carefully consider the risks disclosed in Honeywells most recent annual and quarterly reports filed with the SEC, as well as other information Honeywell includes or incorporates by reference in this prospectus or any prospectus supplement. These risks could materially affect Honeywells business, results of operations or financial condition and cause the value of Honeywells common stock to decline. You could lose all or part of your investment. </w:t>
      </w:r>
    </w:p>
    <w:p>
      <w:pPr>
        <w:pStyle w:val="TextBody"/>
        <w:spacing w:before="480" w:after="0"/>
        <w:jc w:val="center"/>
        <w:rPr>
          <w:rFonts w:ascii="Times New Roman" w:hAnsi="Times New Roman"/>
          <w:b/>
          <w:sz w:val="17"/>
        </w:rPr>
      </w:pPr>
      <w:bookmarkStart w:id="21" w:name="mrtrom655836_4"/>
      <w:bookmarkEnd w:id="21"/>
      <w:r>
        <w:rPr>
          <w:rFonts w:ascii="Times New Roman" w:hAnsi="Times New Roman"/>
          <w:b/>
          <w:sz w:val="17"/>
        </w:rPr>
        <w:t xml:space="preserve">USE OF PROCEEDS </w:t>
      </w:r>
    </w:p>
    <w:p>
      <w:pPr>
        <w:pStyle w:val="TextBody"/>
        <w:spacing w:before="240" w:after="0"/>
        <w:jc w:val="left"/>
        <w:rPr>
          <w:rFonts w:ascii="Times New Roman" w:hAnsi="Times New Roman"/>
          <w:sz w:val="17"/>
        </w:rPr>
      </w:pPr>
      <w:r>
        <w:rPr>
          <w:rFonts w:ascii="Times New Roman" w:hAnsi="Times New Roman"/>
          <w:sz w:val="17"/>
        </w:rPr>
        <w:t xml:space="preserve">The proceeds from the sale of the common stock to which this prospectus relates are solely for the account of the Selling Stockholder. Honeywell will not receive any of the proceeds from such sales.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2" w:name="mrtrom655836_5"/>
      <w:bookmarkEnd w:id="22"/>
      <w:r>
        <w:rPr>
          <w:rFonts w:ascii="Times New Roman" w:hAnsi="Times New Roman"/>
          <w:b/>
          <w:sz w:val="17"/>
        </w:rPr>
        <w:t xml:space="preserve">SELLING STOCKHOLDER </w:t>
      </w:r>
    </w:p>
    <w:p>
      <w:pPr>
        <w:pStyle w:val="TextBody"/>
        <w:spacing w:before="240" w:after="0"/>
        <w:jc w:val="left"/>
        <w:rPr>
          <w:rFonts w:ascii="Times New Roman" w:hAnsi="Times New Roman"/>
          <w:sz w:val="17"/>
        </w:rPr>
      </w:pPr>
      <w:r>
        <w:rPr>
          <w:rFonts w:ascii="Times New Roman" w:hAnsi="Times New Roman"/>
          <w:sz w:val="17"/>
        </w:rPr>
        <w:t xml:space="preserve">This prospectus covers the resale, from time to time, by the Selling Stockholder, of shares of common stock, par value $1.00 per share, of Honeywell. The number of shares to be sold by the Selling Stockholder shall be specified from time to time in a prospectus supplement. </w:t>
      </w:r>
    </w:p>
    <w:p>
      <w:pPr>
        <w:pStyle w:val="TextBody"/>
        <w:spacing w:before="240" w:after="0"/>
        <w:jc w:val="left"/>
        <w:rPr>
          <w:rFonts w:ascii="Times New Roman" w:hAnsi="Times New Roman"/>
          <w:sz w:val="17"/>
        </w:rPr>
      </w:pPr>
      <w:r>
        <w:rPr>
          <w:rFonts w:ascii="Times New Roman" w:hAnsi="Times New Roman"/>
          <w:sz w:val="17"/>
        </w:rPr>
        <w:t xml:space="preserve">In 2018, Honeywell is not required to make any contributions to its U.S. pension plans to satisfy minimum statutory funding requirements. Honeywell does not presently anticipate making any voluntary contributions of Honeywell common stock to the Selling Stockholder in 2019. The shares of common stock to which this prospectus relates (i) have been or will be contributed by Honeywell to the Selling Stockholder, from time to time, in one or more private transactions, or (ii) may be purchased by the Selling Stockholder in the open market. </w:t>
      </w:r>
    </w:p>
    <w:p>
      <w:pPr>
        <w:pStyle w:val="TextBody"/>
        <w:spacing w:before="240" w:after="0"/>
        <w:jc w:val="left"/>
        <w:rPr>
          <w:rFonts w:ascii="Times New Roman" w:hAnsi="Times New Roman"/>
          <w:sz w:val="17"/>
        </w:rPr>
      </w:pPr>
      <w:r>
        <w:rPr>
          <w:rFonts w:ascii="Times New Roman" w:hAnsi="Times New Roman"/>
          <w:sz w:val="17"/>
        </w:rPr>
        <w:t xml:space="preserve">The Selling Stockholder is a tax-qualified trust that holds the assets for most of our U.S. defined benefit pension plans. We make contributions to the Selling Stockholder from time to time in amounts that are not less than the minimum amount required under, or more than the maximum deductible amount permitted by, the Internal Revenue Code. </w:t>
      </w:r>
    </w:p>
    <w:p>
      <w:pPr>
        <w:pStyle w:val="TextBody"/>
        <w:spacing w:before="240" w:after="0"/>
        <w:jc w:val="left"/>
        <w:rPr>
          <w:rFonts w:ascii="Times New Roman" w:hAnsi="Times New Roman"/>
          <w:sz w:val="17"/>
        </w:rPr>
      </w:pPr>
      <w:r>
        <w:rPr>
          <w:rFonts w:ascii="Times New Roman" w:hAnsi="Times New Roman"/>
          <w:sz w:val="17"/>
        </w:rPr>
        <w:t xml:space="preserve">The registration of the shares of common stock does not necessarily mean that the Selling Stockholder will sell all or any of the shares of common stock registered by the registration statement of which this prospectus forms a part. The Selling Stockholder may offer and sell all or any portion of the shares of common stock covered by this prospectus and any applicable prospectus supplement from time to time, but is under no obligation to offer or sell any such shares. Because the Selling Stockholder may sell, transfer or otherwise dispose of all, some or none of the shares of common stock covered by this prospectus, or may acquire additional shares from us or in the market in the future, we cannot determine the number of such shares of common stock that will be sold, transferred or otherwise disposed of by the Selling Stockholder or the amount or percentage of shares of common stock that will be held by the Selling Stockholder upon termination of any particular offering. See Plan of Distribution. </w:t>
      </w:r>
    </w:p>
    <w:p>
      <w:pPr>
        <w:pStyle w:val="TextBody"/>
        <w:spacing w:before="240" w:after="0"/>
        <w:jc w:val="left"/>
        <w:rPr>
          <w:rFonts w:ascii="Times New Roman" w:hAnsi="Times New Roman"/>
          <w:sz w:val="17"/>
        </w:rPr>
      </w:pPr>
      <w:r>
        <w:rPr>
          <w:rFonts w:ascii="Times New Roman" w:hAnsi="Times New Roman"/>
          <w:sz w:val="17"/>
        </w:rPr>
        <w:t xml:space="preserve">The shares of common stock are held in the custody of The Northern Trust Company, 50 South LaSalle Street, Chicago, IL 60675, as the Trustee. Honeywell currently has on-going banking relationships with the Trustee in the ordinary course of business and expects to continue to have similar relationships with the Trustee in the future. The shares of common stock will be held in a separate investment account at the Trustee. An independent, third party investment fiduciary will be chosen by the PIC under a delegation of authority from the Retirement Plans Committee of the board of directors of Honeywell and appointed by the PIC to instruct the Trustee as to any disposition of the shares of common stock. The investment fiduciary will have sole authority to manage the shares of common stock, subject to general investment criteria established by the PIC, and the sole power to vote and to dispose of the shares of common stock. </w:t>
      </w:r>
    </w:p>
    <w:p>
      <w:pPr>
        <w:pStyle w:val="TextBody"/>
        <w:spacing w:before="240" w:after="0"/>
        <w:jc w:val="left"/>
        <w:rPr>
          <w:rFonts w:ascii="Times New Roman" w:hAnsi="Times New Roman"/>
          <w:sz w:val="17"/>
        </w:rPr>
      </w:pPr>
      <w:r>
        <w:rPr>
          <w:rFonts w:ascii="Times New Roman" w:hAnsi="Times New Roman"/>
          <w:sz w:val="17"/>
        </w:rPr>
        <w:t xml:space="preserve">The shares offered by this prospectus and the shares of common stock previously registered for resale pursuant to a prospectus supplement dated December 11, 2015 and related registration statement (19,712,106 shares), are the only shares of common stock owned by the Selling Stockholder as of December 10, 2018.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DESCRIPTIO</w:t>
      </w:r>
      <w:bookmarkStart w:id="23" w:name="mrtrom655836_6"/>
      <w:bookmarkEnd w:id="23"/>
      <w:r>
        <w:rPr>
          <w:rFonts w:ascii="Times New Roman" w:hAnsi="Times New Roman"/>
          <w:b/>
          <w:sz w:val="17"/>
        </w:rPr>
        <w:t xml:space="preserve">N OF COMMON STOCK </w:t>
      </w:r>
    </w:p>
    <w:p>
      <w:pPr>
        <w:pStyle w:val="TextBody"/>
        <w:spacing w:before="240" w:after="0"/>
        <w:jc w:val="left"/>
        <w:rPr>
          <w:rFonts w:ascii="Times New Roman" w:hAnsi="Times New Roman"/>
          <w:b/>
          <w:sz w:val="17"/>
        </w:rPr>
      </w:pPr>
      <w:r>
        <w:rPr>
          <w:rFonts w:ascii="Times New Roman" w:hAnsi="Times New Roman"/>
          <w:b/>
          <w:sz w:val="17"/>
        </w:rPr>
        <w:t xml:space="preserve">General </w:t>
      </w:r>
    </w:p>
    <w:p>
      <w:pPr>
        <w:pStyle w:val="TextBody"/>
        <w:spacing w:before="120" w:after="0"/>
        <w:jc w:val="left"/>
        <w:rPr>
          <w:rFonts w:ascii="Times New Roman" w:hAnsi="Times New Roman"/>
          <w:sz w:val="17"/>
        </w:rPr>
      </w:pPr>
      <w:r>
        <w:rPr>
          <w:rFonts w:ascii="Times New Roman" w:hAnsi="Times New Roman"/>
          <w:sz w:val="17"/>
        </w:rPr>
        <w:t xml:space="preserve">As of the date of this prospectus, we are authorized to issue up to 2,000,000,000 shares of common stock. As of September 30, 2018, we had approximately 958 million shares of common stock issued (including approximately 217.3 million shares held in treasury). EQ Shareowner Services, a division of Equiniti Trust Company, is the transfer agent and registrar for our common stock. Shares of our common stock are listed on the New York Stock Exchange and the London Stock Exchange under the symbol HON. </w:t>
      </w:r>
    </w:p>
    <w:p>
      <w:pPr>
        <w:pStyle w:val="TextBody"/>
        <w:spacing w:before="240" w:after="0"/>
        <w:jc w:val="left"/>
        <w:rPr>
          <w:rFonts w:ascii="Times New Roman" w:hAnsi="Times New Roman"/>
          <w:sz w:val="17"/>
        </w:rPr>
      </w:pPr>
      <w:r>
        <w:rPr>
          <w:rFonts w:ascii="Times New Roman" w:hAnsi="Times New Roman"/>
          <w:sz w:val="17"/>
        </w:rPr>
        <w:t xml:space="preserve">The following summary is not complete. You should refer to the applicable provision of Honeywells charter and by-laws and to Delaware corporate law for a complete statement of the terms and rights of our common stock. </w:t>
      </w:r>
    </w:p>
    <w:p>
      <w:pPr>
        <w:pStyle w:val="TextBody"/>
        <w:spacing w:before="360" w:after="0"/>
        <w:jc w:val="left"/>
        <w:rPr>
          <w:rFonts w:ascii="Times New Roman" w:hAnsi="Times New Roman"/>
          <w:b/>
          <w:sz w:val="17"/>
        </w:rPr>
      </w:pPr>
      <w:r>
        <w:rPr>
          <w:rFonts w:ascii="Times New Roman" w:hAnsi="Times New Roman"/>
          <w:b/>
          <w:sz w:val="17"/>
        </w:rPr>
        <w:t xml:space="preserve">Dividends </w:t>
      </w:r>
    </w:p>
    <w:p>
      <w:pPr>
        <w:pStyle w:val="TextBody"/>
        <w:spacing w:before="120" w:after="0"/>
        <w:jc w:val="left"/>
        <w:rPr>
          <w:rFonts w:ascii="Times New Roman" w:hAnsi="Times New Roman"/>
          <w:sz w:val="17"/>
        </w:rPr>
      </w:pPr>
      <w:r>
        <w:rPr>
          <w:rFonts w:ascii="Times New Roman" w:hAnsi="Times New Roman"/>
          <w:sz w:val="17"/>
        </w:rPr>
        <w:t xml:space="preserve">Holders of common stock are entitled to receive dividends when, as and if declared by the board of directors of Honeywell, out of funds legally available for their payment, subject to the rights of holders of any preferred stock outstanding. </w:t>
      </w:r>
    </w:p>
    <w:p>
      <w:pPr>
        <w:pStyle w:val="TextBody"/>
        <w:spacing w:before="360" w:after="0"/>
        <w:jc w:val="left"/>
        <w:rPr>
          <w:rFonts w:ascii="Times New Roman" w:hAnsi="Times New Roman"/>
          <w:b/>
          <w:sz w:val="17"/>
        </w:rPr>
      </w:pPr>
      <w:r>
        <w:rPr>
          <w:rFonts w:ascii="Times New Roman" w:hAnsi="Times New Roman"/>
          <w:b/>
          <w:sz w:val="17"/>
        </w:rPr>
        <w:t xml:space="preserve">Voting Rights </w:t>
      </w:r>
    </w:p>
    <w:p>
      <w:pPr>
        <w:pStyle w:val="TextBody"/>
        <w:spacing w:before="120" w:after="0"/>
        <w:jc w:val="left"/>
        <w:rPr>
          <w:rFonts w:ascii="Times New Roman" w:hAnsi="Times New Roman"/>
          <w:sz w:val="17"/>
        </w:rPr>
      </w:pPr>
      <w:r>
        <w:rPr>
          <w:rFonts w:ascii="Times New Roman" w:hAnsi="Times New Roman"/>
          <w:sz w:val="17"/>
        </w:rPr>
        <w:t xml:space="preserve">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 </w:t>
      </w:r>
    </w:p>
    <w:p>
      <w:pPr>
        <w:pStyle w:val="TextBody"/>
        <w:spacing w:before="360" w:after="0"/>
        <w:jc w:val="left"/>
        <w:rPr>
          <w:rFonts w:ascii="Times New Roman" w:hAnsi="Times New Roman"/>
          <w:b/>
          <w:sz w:val="17"/>
        </w:rPr>
      </w:pPr>
      <w:r>
        <w:rPr>
          <w:rFonts w:ascii="Times New Roman" w:hAnsi="Times New Roman"/>
          <w:b/>
          <w:sz w:val="17"/>
        </w:rPr>
        <w:t xml:space="preserve">Rights Upon Liquidation </w:t>
      </w:r>
    </w:p>
    <w:p>
      <w:pPr>
        <w:pStyle w:val="TextBody"/>
        <w:spacing w:before="120" w:after="0"/>
        <w:jc w:val="left"/>
        <w:rPr>
          <w:rFonts w:ascii="Times New Roman" w:hAnsi="Times New Roman"/>
          <w:sz w:val="17"/>
        </w:rPr>
      </w:pPr>
      <w:r>
        <w:rPr>
          <w:rFonts w:ascii="Times New Roman" w:hAnsi="Times New Roman"/>
          <w:sz w:val="17"/>
        </w:rPr>
        <w:t xml:space="preserve">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 </w:t>
      </w:r>
    </w:p>
    <w:p>
      <w:pPr>
        <w:pStyle w:val="TextBody"/>
        <w:spacing w:before="360" w:after="0"/>
        <w:jc w:val="left"/>
        <w:rPr>
          <w:rFonts w:ascii="Times New Roman" w:hAnsi="Times New Roman"/>
          <w:b/>
          <w:sz w:val="17"/>
        </w:rPr>
      </w:pPr>
      <w:r>
        <w:rPr>
          <w:rFonts w:ascii="Times New Roman" w:hAnsi="Times New Roman"/>
          <w:b/>
          <w:sz w:val="17"/>
        </w:rPr>
        <w:t xml:space="preserve">Other Rights </w:t>
      </w:r>
    </w:p>
    <w:p>
      <w:pPr>
        <w:pStyle w:val="TextBody"/>
        <w:spacing w:before="120" w:after="0"/>
        <w:jc w:val="left"/>
        <w:rPr>
          <w:rFonts w:ascii="Times New Roman" w:hAnsi="Times New Roman"/>
          <w:sz w:val="17"/>
        </w:rPr>
      </w:pPr>
      <w:r>
        <w:rPr>
          <w:rFonts w:ascii="Times New Roman" w:hAnsi="Times New Roman"/>
          <w:sz w:val="17"/>
        </w:rPr>
        <w:t xml:space="preserve">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 same kind and amount of consideration per share of common stock. </w:t>
      </w:r>
    </w:p>
    <w:p>
      <w:pPr>
        <w:pStyle w:val="TextBody"/>
        <w:spacing w:before="360" w:after="0"/>
        <w:jc w:val="left"/>
        <w:rPr>
          <w:rFonts w:ascii="Times New Roman" w:hAnsi="Times New Roman"/>
          <w:b/>
          <w:sz w:val="17"/>
        </w:rPr>
      </w:pPr>
      <w:r>
        <w:rPr>
          <w:rFonts w:ascii="Times New Roman" w:hAnsi="Times New Roman"/>
          <w:b/>
          <w:sz w:val="17"/>
        </w:rPr>
        <w:t xml:space="preserve">Possible Anti-Takeover Provisions </w:t>
      </w:r>
    </w:p>
    <w:p>
      <w:pPr>
        <w:pStyle w:val="TextBody"/>
        <w:spacing w:before="120" w:after="0"/>
        <w:jc w:val="left"/>
        <w:rPr>
          <w:rFonts w:ascii="Times New Roman" w:hAnsi="Times New Roman"/>
          <w:sz w:val="17"/>
        </w:rPr>
      </w:pPr>
      <w:r>
        <w:rPr>
          <w:rFonts w:ascii="Times New Roman" w:hAnsi="Times New Roman"/>
          <w:sz w:val="17"/>
        </w:rPr>
        <w:t xml:space="preserve">Honeywells charter and by-laws provide: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vacancies on the board of directors other than at the annual meeting are filled by a vote of the remaining directors;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special meetings of shareowners generally may be called by the chief executive officer, by a majority of the authorized number of directors, or by the holders of not less than fifteen percent of the outstanding shares of Honeywell common stock (excluding derivatives);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action may be taken by shareowners only at annual or special meetings and not by written consent;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advance notice must be given to Honeywell for a shareowner to nominate directors for election at a shareowner meeting;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 </w:t>
            </w:r>
          </w:p>
        </w:tc>
      </w:tr>
    </w:tbl>
    <w:p>
      <w:pPr>
        <w:pStyle w:val="TextBody"/>
        <w:spacing w:before="240" w:after="0"/>
        <w:jc w:val="left"/>
        <w:rPr>
          <w:rFonts w:ascii="Times New Roman" w:hAnsi="Times New Roman"/>
          <w:sz w:val="17"/>
        </w:rPr>
      </w:pPr>
      <w:r>
        <w:rPr>
          <w:rFonts w:ascii="Times New Roman" w:hAnsi="Times New Roman"/>
          <w:sz w:val="17"/>
        </w:rPr>
        <w:t xml:space="preserve">Any of these provisions could delay, deter or prevent a tender offer for or attempted takeover of Honeywell. </w:t>
      </w:r>
    </w:p>
    <w:p>
      <w:pPr>
        <w:pStyle w:val="TextBody"/>
        <w:spacing w:before="240" w:after="0"/>
        <w:jc w:val="left"/>
        <w:rPr>
          <w:rFonts w:ascii="Times New Roman" w:hAnsi="Times New Roman"/>
          <w:sz w:val="17"/>
        </w:rPr>
      </w:pPr>
      <w:r>
        <w:rPr>
          <w:rFonts w:ascii="Times New Roman" w:hAnsi="Times New Roman"/>
          <w:sz w:val="17"/>
        </w:rPr>
        <w:t xml:space="preserve">Our charter permits us to issue up to 40,000,000 shares of preferred stock with terms that may be set by the board of directors of Honeywell or a committee of our board of directors. That preferred stock could have terms that could delay, deter or prevent a tender offer or takeover attempt of Honeywell. </w:t>
      </w:r>
    </w:p>
    <w:p>
      <w:pPr>
        <w:pStyle w:val="TextBody"/>
        <w:spacing w:before="240" w:after="0"/>
        <w:jc w:val="left"/>
        <w:rPr>
          <w:rFonts w:ascii="Times New Roman" w:hAnsi="Times New Roman"/>
          <w:sz w:val="17"/>
        </w:rPr>
      </w:pPr>
      <w:r>
        <w:rPr>
          <w:rFonts w:ascii="Times New Roman" w:hAnsi="Times New Roman"/>
          <w:sz w:val="17"/>
        </w:rPr>
        <w:t xml:space="preserve">Under Delaware law, an acquirer of 15% or more of our shares of common stock must wait three years before a business combination with us unless one of the following exceptions is available: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approval by our board of directors prior to the time the acquirer became a 15% shareowner of Honeywell;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acquisition of at least 85% of our voting stock in the transaction in which the acquirer became a 15% shareowner of Honeywell;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approval of the business combination by our board of directors and two-thirds of our disinterested shareowners. </w:t>
            </w:r>
          </w:p>
        </w:tc>
      </w:tr>
    </w:tbl>
    <w:p>
      <w:pPr>
        <w:pStyle w:val="TextBody"/>
        <w:spacing w:before="240" w:after="0"/>
        <w:jc w:val="left"/>
        <w:rPr>
          <w:rFonts w:ascii="Times New Roman" w:hAnsi="Times New Roman"/>
          <w:sz w:val="17"/>
        </w:rPr>
      </w:pPr>
      <w:r>
        <w:rPr>
          <w:rFonts w:ascii="Times New Roman" w:hAnsi="Times New Roman"/>
          <w:sz w:val="17"/>
        </w:rPr>
        <w:t xml:space="preserve">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 Honeywells by-laws also provide that any person or entity purchasing or otherwise acquiring any interest in shares of capital stock of Honeywell will be deemed to have notice of and consented to the exclusive forum provisions described above. </w:t>
      </w:r>
    </w:p>
    <w:p>
      <w:pPr>
        <w:pStyle w:val="TextBody"/>
        <w:spacing w:before="480" w:after="0"/>
        <w:jc w:val="center"/>
        <w:rPr>
          <w:rFonts w:ascii="Times New Roman" w:hAnsi="Times New Roman"/>
          <w:b/>
          <w:sz w:val="17"/>
        </w:rPr>
      </w:pPr>
      <w:bookmarkStart w:id="24" w:name="mrtrom655836_7"/>
      <w:bookmarkEnd w:id="24"/>
      <w:r>
        <w:rPr>
          <w:rFonts w:ascii="Times New Roman" w:hAnsi="Times New Roman"/>
          <w:b/>
          <w:sz w:val="17"/>
        </w:rPr>
        <w:t xml:space="preserve">PLAN OF DISTRIBUTION </w:t>
      </w:r>
    </w:p>
    <w:p>
      <w:pPr>
        <w:pStyle w:val="TextBody"/>
        <w:spacing w:before="240" w:after="0"/>
        <w:jc w:val="left"/>
        <w:rPr>
          <w:rFonts w:ascii="Times New Roman" w:hAnsi="Times New Roman"/>
          <w:sz w:val="17"/>
        </w:rPr>
      </w:pPr>
      <w:r>
        <w:rPr>
          <w:rFonts w:ascii="Times New Roman" w:hAnsi="Times New Roman"/>
          <w:sz w:val="17"/>
        </w:rPr>
        <w:t xml:space="preserve">The Selling Stockholder may, upon the instructions from the independent, third party investment fiduciary, sell all or a portion of the shares of common stock to which this prospectus relates either (1) on the markets in which our common stock is traded or (2) through underwriters or in privately negotiated transactions. </w:t>
      </w:r>
    </w:p>
    <w:p>
      <w:pPr>
        <w:pStyle w:val="TextBody"/>
        <w:spacing w:before="240" w:after="0"/>
        <w:jc w:val="left"/>
        <w:rPr>
          <w:rFonts w:ascii="Times New Roman" w:hAnsi="Times New Roman"/>
          <w:sz w:val="17"/>
        </w:rPr>
      </w:pPr>
      <w:r>
        <w:rPr>
          <w:rFonts w:ascii="Times New Roman" w:hAnsi="Times New Roman"/>
          <w:sz w:val="17"/>
        </w:rPr>
        <w:t xml:space="preserve">Market sales may be effected from time to time in one or more transactions (which may involve block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on any of the U.S. securities exchanges on which our common stock is listed, including the New York Stock Exchange, in transactions that may include special offerings, exchange distributions pursuant to and in accordance with the rules of such exchanges;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the over-the-counter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transactions otherwise than on such exchanges or in the over-the-counter market;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a combination of any such transactions. </w:t>
            </w:r>
          </w:p>
        </w:tc>
      </w:tr>
    </w:tbl>
    <w:p>
      <w:pPr>
        <w:pStyle w:val="TextBody"/>
        <w:spacing w:before="240" w:after="0"/>
        <w:jc w:val="left"/>
        <w:rPr>
          <w:rFonts w:ascii="Times New Roman" w:hAnsi="Times New Roman"/>
          <w:sz w:val="17"/>
        </w:rPr>
      </w:pPr>
      <w:r>
        <w:rPr>
          <w:rFonts w:ascii="Times New Roman" w:hAnsi="Times New Roman"/>
          <w:sz w:val="17"/>
        </w:rPr>
        <w:t xml:space="preserve">Such transactions may be effected by the Selling Stockholder, upon instructions from the independent, third party investment fiduciary, at market prices prevailing at the time of sale, at prices related to such prevailing market prices, at negotiated prices or at fixed prices. The Selling Stockholder will act independently of us with respect to the timing, manner and size of each sale. </w:t>
      </w:r>
    </w:p>
    <w:p>
      <w:pPr>
        <w:pStyle w:val="TextBody"/>
        <w:spacing w:before="240" w:after="0"/>
        <w:jc w:val="left"/>
        <w:rPr>
          <w:rFonts w:ascii="Times New Roman" w:hAnsi="Times New Roman"/>
          <w:sz w:val="17"/>
        </w:rPr>
      </w:pPr>
      <w:r>
        <w:rPr>
          <w:rFonts w:ascii="Times New Roman" w:hAnsi="Times New Roman"/>
          <w:sz w:val="17"/>
        </w:rPr>
        <w:t xml:space="preserve">The Selling Stockholder may, upon instructions from the independent, third party investment fiduciary, effect such transactions by selling shares of common stock to or through broker-dealers. Such broker-dealers may receive compensation in the form of discounts or commissions from the Selling Stockholder and may receive commissions from the purchasers of shares for whom they may act as agent in amounts to be negotiated. Such compensation may be received if the broker-dealer acts as either an agent or as a principal. The Selling Stockholder does not expect these discounts or commissions to exceed what is customary in the types of transactions involved. Any offering price, and any discounts or concessions allowed or reallowed or paid to dealers, may be changed from time to time. </w:t>
      </w:r>
    </w:p>
    <w:p>
      <w:pPr>
        <w:pStyle w:val="TextBody"/>
        <w:spacing w:before="240" w:after="0"/>
        <w:jc w:val="left"/>
        <w:rPr>
          <w:rFonts w:ascii="Times New Roman" w:hAnsi="Times New Roman"/>
          <w:sz w:val="17"/>
        </w:rPr>
      </w:pPr>
      <w:r>
        <w:rPr>
          <w:rFonts w:ascii="Times New Roman" w:hAnsi="Times New Roman"/>
          <w:sz w:val="17"/>
        </w:rPr>
        <w:t xml:space="preserve">The Selling Stockholder may, upon instructions from the independent, third party investment fiduciary, cause such transactions to be conducted via an underwritten offering. In the case of an underwritten offering, a prospectus supplement with respect to an offering of shares of common stock will set forth the terms of the offering of the shares of common stock, including the name or names of the underwriters, the purchase price and the proceeds to the Selling Stockholder from such sale, any underwriting discounts and other items constituting underwriters compensation, the public offering price and any discounts or concessions allowed or reallowed or paid to dealers. The shares of common stock will be acquired by the underwriters for their own account and may be sold from time to time in one or more transactions at a fixed public offering price determined at the time of sale. Unless otherwise set forth in the prospectus supplement, the obligations of the underwriters to purchase shares of common stock will be subject to conditions precedent and the underwriters will be obligated to purchase all the shares of common stock if any are purchased. The public offering price and any discounts or concessions allowed or reallowed or paid to dealers may be changed from time to time. </w:t>
      </w:r>
    </w:p>
    <w:p>
      <w:pPr>
        <w:pStyle w:val="TextBody"/>
        <w:spacing w:before="240" w:after="0"/>
        <w:jc w:val="left"/>
        <w:rPr>
          <w:rFonts w:ascii="Times New Roman" w:hAnsi="Times New Roman"/>
          <w:sz w:val="17"/>
        </w:rPr>
      </w:pPr>
      <w:r>
        <w:rPr>
          <w:rFonts w:ascii="Times New Roman" w:hAnsi="Times New Roman"/>
          <w:sz w:val="17"/>
        </w:rPr>
        <w:t xml:space="preserve">The aggregate proceeds to the Selling Stockholder will be the purchase price of the shares of common stock less discounts and commissions, if any. </w:t>
      </w:r>
    </w:p>
    <w:p>
      <w:pPr>
        <w:pStyle w:val="TextBody"/>
        <w:spacing w:before="240" w:after="0"/>
        <w:jc w:val="left"/>
        <w:rPr>
          <w:rFonts w:ascii="Times New Roman" w:hAnsi="Times New Roman"/>
          <w:sz w:val="17"/>
        </w:rPr>
      </w:pPr>
      <w:r>
        <w:rPr>
          <w:rFonts w:ascii="Times New Roman" w:hAnsi="Times New Roman"/>
          <w:sz w:val="17"/>
        </w:rPr>
        <w:t xml:space="preserve">In offering the shares of common stock covered by this prospectus, the Selling Stockholder and any broker-dealers, underwriters or agents who execute sales for the Selling Stockholder may be deemed to be underwriters within the meaning of the Securities Act of 1933, as amended (the </w:t>
      </w:r>
      <w:r>
        <w:rPr>
          <w:rFonts w:ascii="Times New Roman" w:hAnsi="Times New Roman"/>
          <w:b/>
          <w:i/>
          <w:sz w:val="17"/>
        </w:rPr>
        <w:t>Securities Act</w:t>
      </w:r>
      <w:r>
        <w:rPr>
          <w:rFonts w:ascii="Times New Roman" w:hAnsi="Times New Roman"/>
          <w:sz w:val="17"/>
        </w:rPr>
        <w:t xml:space="preserve">), in connection with such sales. Any profits realized by the Selling Stockholder and the compensation of any broker-dealer, underwriter or agent may be deemed to be underwriting discounts and commissions. We know of no existing arrangements between the Selling Stockholder and any broker-dealer, underwriter or other agent relating to the sale or distribution of the shares of common stock. Honeywell has not engaged any broker-dealer, underwriter or agent in connection with the distribution of the shares of common stock. </w:t>
      </w:r>
    </w:p>
    <w:p>
      <w:pPr>
        <w:pStyle w:val="TextBody"/>
        <w:spacing w:before="240" w:after="0"/>
        <w:jc w:val="left"/>
        <w:rPr>
          <w:rFonts w:ascii="Times New Roman" w:hAnsi="Times New Roman"/>
          <w:sz w:val="17"/>
        </w:rPr>
      </w:pPr>
      <w:r>
        <w:rPr>
          <w:rFonts w:ascii="Times New Roman" w:hAnsi="Times New Roman"/>
          <w:sz w:val="17"/>
        </w:rPr>
        <w:t xml:space="preserve">Under the terms of any particular transactions, dealers, underwriters or agents may be entitled to indemnification by us against certain civil liabilities, including liabilities under the Securities Act, or to contribution with respect to payments which the agents, dealers or underwriters may be required to make in respect thereof. </w:t>
      </w:r>
    </w:p>
    <w:p>
      <w:pPr>
        <w:pStyle w:val="TextBody"/>
        <w:spacing w:before="240" w:after="0"/>
        <w:jc w:val="left"/>
        <w:rPr>
          <w:rFonts w:ascii="Times New Roman" w:hAnsi="Times New Roman"/>
          <w:sz w:val="17"/>
        </w:rPr>
      </w:pPr>
      <w:r>
        <w:rPr>
          <w:rFonts w:ascii="Times New Roman" w:hAnsi="Times New Roman"/>
          <w:sz w:val="17"/>
        </w:rPr>
        <w:t xml:space="preserve">Agents and underwriters may be engaged in transactions with, or perform commercial or investment banking or other services for, us or our subsidiaries or affiliates, in the ordinary course of business.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All of the shares of common stock will be listed on the New York Stock Exchange and the London Stock Exchange. Any agents or underwriters to whom the shares of common stock are sold may make a market in our common stock. However, those agents or underwriters will not be obligated to do so and may discontinue any market making at any time without notice. </w:t>
      </w:r>
    </w:p>
    <w:p>
      <w:pPr>
        <w:pStyle w:val="TextBody"/>
        <w:spacing w:before="480" w:after="0"/>
        <w:jc w:val="center"/>
        <w:rPr>
          <w:rFonts w:ascii="Times New Roman" w:hAnsi="Times New Roman"/>
          <w:b/>
          <w:sz w:val="17"/>
        </w:rPr>
      </w:pPr>
      <w:bookmarkStart w:id="25" w:name="mrtrom655836_8"/>
      <w:bookmarkEnd w:id="25"/>
      <w:r>
        <w:rPr>
          <w:rFonts w:ascii="Times New Roman" w:hAnsi="Times New Roman"/>
          <w:b/>
          <w:sz w:val="17"/>
        </w:rPr>
        <w:t xml:space="preserve">EXPERTS </w:t>
      </w:r>
    </w:p>
    <w:p>
      <w:pPr>
        <w:pStyle w:val="TextBody"/>
        <w:spacing w:before="240" w:after="0"/>
        <w:jc w:val="left"/>
        <w:rPr>
          <w:rFonts w:ascii="Times New Roman" w:hAnsi="Times New Roman"/>
          <w:sz w:val="17"/>
        </w:rPr>
      </w:pPr>
      <w:r>
        <w:rPr>
          <w:rFonts w:ascii="Times New Roman" w:hAnsi="Times New Roman"/>
          <w:sz w:val="17"/>
        </w:rPr>
        <w:t xml:space="preserve">The financial statements incorporated in this Prospectus by reference from the Companys Annual Report on Form 10-K, and the effectiveness of Honeywells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LEGAL OPI</w:t>
      </w:r>
      <w:bookmarkStart w:id="26" w:name="mrtrom655836_9"/>
      <w:bookmarkEnd w:id="26"/>
      <w:r>
        <w:rPr>
          <w:rFonts w:ascii="Times New Roman" w:hAnsi="Times New Roman"/>
          <w:b/>
          <w:sz w:val="17"/>
        </w:rPr>
        <w:t xml:space="preserve">NIONS </w:t>
      </w:r>
    </w:p>
    <w:p>
      <w:pPr>
        <w:pStyle w:val="TextBody"/>
        <w:spacing w:before="240" w:after="0"/>
        <w:jc w:val="left"/>
        <w:rPr>
          <w:rFonts w:ascii="Times New Roman" w:hAnsi="Times New Roman"/>
          <w:sz w:val="17"/>
        </w:rPr>
      </w:pPr>
      <w:r>
        <w:rPr>
          <w:rFonts w:ascii="Times New Roman" w:hAnsi="Times New Roman"/>
          <w:sz w:val="17"/>
        </w:rPr>
        <w:t xml:space="preserve">Certain legal matters will be passed upon for Honeywell by Anne T. Madden, Senior Vice President, General Counsel and Corporate Secretary, of Honeywell. </w:t>
      </w:r>
    </w:p>
    <w:p>
      <w:pPr>
        <w:pStyle w:val="TextBody"/>
        <w:spacing w:before="400" w:after="0"/>
        <w:jc w:val="center"/>
        <w:rPr>
          <w:rFonts w:ascii="Times New Roman" w:hAnsi="Times New Roman"/>
          <w:b/>
          <w:sz w:val="17"/>
        </w:rPr>
      </w:pPr>
      <w:bookmarkStart w:id="27" w:name="mrtrom655836_10"/>
      <w:bookmarkEnd w:id="27"/>
      <w:r>
        <w:rPr>
          <w:rFonts w:ascii="Times New Roman" w:hAnsi="Times New Roman"/>
          <w:b/>
          <w:sz w:val="17"/>
        </w:rPr>
        <w:t xml:space="preserve">WHERE YOU CAN FIND MORE INFORMATION ABOUT HONEYWELL </w:t>
      </w:r>
    </w:p>
    <w:p>
      <w:pPr>
        <w:pStyle w:val="TextBody"/>
        <w:spacing w:before="240" w:after="0"/>
        <w:jc w:val="left"/>
        <w:rPr>
          <w:rFonts w:ascii="Times New Roman" w:hAnsi="Times New Roman"/>
          <w:sz w:val="17"/>
        </w:rPr>
      </w:pPr>
      <w:r>
        <w:rPr>
          <w:rFonts w:ascii="Times New Roman" w:hAnsi="Times New Roman"/>
          <w:sz w:val="17"/>
        </w:rPr>
        <w:t xml:space="preserve">This prospectus, which constitutes a part of the registration statement, does not contain all of the information set forth in the registration statement or the exhibits and schedules filed with it. For further information about us, our securities and other information set forth herein, reference is made to the registration statement and exhibits and schedules filed with it. Statements contained in this prospectus regarding the contents of any contract or any other document that is filed as an exhibit to the registration statement are not necessarily complete, and each such statement is subject to, and qualified in its entirety by, reference to the applicable contract or other document filed herewith. </w:t>
      </w:r>
    </w:p>
    <w:p>
      <w:pPr>
        <w:pStyle w:val="TextBody"/>
        <w:spacing w:before="240" w:after="0"/>
        <w:jc w:val="left"/>
        <w:rPr>
          <w:rFonts w:ascii="Times New Roman" w:hAnsi="Times New Roman"/>
          <w:sz w:val="17"/>
        </w:rPr>
      </w:pPr>
      <w:r>
        <w:rPr>
          <w:rFonts w:ascii="Times New Roman" w:hAnsi="Times New Roman"/>
          <w:sz w:val="17"/>
        </w:rPr>
        <w:t xml:space="preserve">We file annual, quarterly and current reports, proxy statements and other information with the SEC. Our SEC filings are available to the public from the SECs Web site at http://www.sec.gov. You may also read and copy any document we file at the SECs public reference room located at 100 F Street N.E., Room 1580, Washington, D.C. 20549. You may also obtain copies of any document we file at prescribed rates by writing to the Public Reference Section of the SEC at that address. Please call the SEC at 1-800-SEC-0330 for further information on the public reference room. Information about us, including our SEC filings, is also available on our Web site at http://www.honeywell.com. The information on or linked to/from our Web site is not part of, and is not incorporated by reference into, this prospectus. Reference to our Web site is made as an inactive textual reference. You may also inspect reports, proxy statements and other information about Honeywell at the office of the New York Stock Exchange, 20 Broad Street, New York, NY 10005. </w:t>
      </w:r>
    </w:p>
    <w:p>
      <w:pPr>
        <w:pStyle w:val="TextBody"/>
        <w:spacing w:before="400" w:after="0"/>
        <w:jc w:val="center"/>
        <w:rPr>
          <w:rFonts w:ascii="Times New Roman" w:hAnsi="Times New Roman"/>
          <w:b/>
          <w:sz w:val="17"/>
        </w:rPr>
      </w:pPr>
      <w:bookmarkStart w:id="28" w:name="mrtrom655836_11"/>
      <w:bookmarkEnd w:id="28"/>
      <w:r>
        <w:rPr>
          <w:rFonts w:ascii="Times New Roman" w:hAnsi="Times New Roman"/>
          <w:b/>
          <w:sz w:val="17"/>
        </w:rPr>
        <w:t xml:space="preserve">INCORPORATION OF CERTAIN INFORMATION BY REFERENCE </w:t>
      </w:r>
    </w:p>
    <w:p>
      <w:pPr>
        <w:pStyle w:val="TextBody"/>
        <w:spacing w:before="240" w:after="0"/>
        <w:jc w:val="left"/>
        <w:rPr>
          <w:rFonts w:ascii="Times New Roman" w:hAnsi="Times New Roman"/>
          <w:sz w:val="17"/>
        </w:rPr>
      </w:pPr>
      <w:r>
        <w:rPr>
          <w:rFonts w:ascii="Times New Roman" w:hAnsi="Times New Roman"/>
          <w:sz w:val="17"/>
        </w:rPr>
        <w:t xml:space="preserve">The SEC allows us to incorporate by reference into this prospectus the information in other documents that we file with it, which means that we can disclose important information to you by referring you to those documents. The information incorporated by reference is considered to be a part of this prospectus, and information in documents filed with the SEC after the date of this prospectus will automatically update and supersede information contained herein or on file with the SEC as of the date of this prospectus. We incorporate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Annual Report on Form 10-K for the year ended December 31, 2017, filed with the SEC on February 9,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Quarterly Reports on Form 10-Q for the quarter ended March 31, 2018, filed with the SEC on April 20, 2018, for the quarter ended June 30, 2018, filed with the SEC on July 20, 2018 and for the quarter ended September 30, 2018, filed on October 19, 2018;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Current Reports on Form 8-K filed with the SEC on February 14, 2018, April 23, 2018, May 1, 2018, May 31, 2018, June 19, 2018, August 2, 2018, October 19, 2018 and October 29, 2018. </w:t>
            </w:r>
          </w:p>
        </w:tc>
      </w:tr>
    </w:tbl>
    <w:p>
      <w:pPr>
        <w:pStyle w:val="TextBody"/>
        <w:spacing w:before="240" w:after="0"/>
        <w:jc w:val="left"/>
        <w:rPr>
          <w:rFonts w:ascii="Times New Roman" w:hAnsi="Times New Roman"/>
          <w:sz w:val="17"/>
        </w:rPr>
      </w:pPr>
      <w:r>
        <w:rPr>
          <w:rFonts w:ascii="Times New Roman" w:hAnsi="Times New Roman"/>
          <w:sz w:val="17"/>
        </w:rPr>
        <w:t xml:space="preserve">We also incorporate by reference additional documents that we may file with the SEC after the date of this prospectus under Sections 13(a), 13(c), 14 or 15(d) of the Securities Exchange Act of 1934, as amended. These documents include periodic reports, which may include Annual Reports on Form 10-K, Quarterly Reports on Form 10-Q and Current Reports on Form 8-K, as well as proxy statements. </w:t>
      </w:r>
    </w:p>
    <w:p>
      <w:pPr>
        <w:pStyle w:val="TextBody"/>
        <w:spacing w:before="240" w:after="0"/>
        <w:jc w:val="left"/>
        <w:rPr>
          <w:rFonts w:ascii="Times New Roman" w:hAnsi="Times New Roman"/>
          <w:sz w:val="17"/>
        </w:rPr>
      </w:pPr>
      <w:r>
        <w:rPr>
          <w:rFonts w:ascii="Times New Roman" w:hAnsi="Times New Roman"/>
          <w:sz w:val="17"/>
        </w:rPr>
        <w:t xml:space="preserve">You can obtain any of the documents incorporated by reference in this prospectus through us, or from the SEC through the SECs Web site at the address provided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free of charge by requesting them in writing or by telephone from us at the following address and telephone number: Honeywell International Inc., 115 Tabor Road, Morris Plains, New Jersey 07950, Attention: Assistant Corporate Secretary, Telephone No.: (973) 455-2000.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CAUTIONARY STATEMENT CONCERNING FORWARD-LO</w:t>
      </w:r>
      <w:bookmarkStart w:id="29" w:name="mrtrom655836_12"/>
      <w:bookmarkEnd w:id="29"/>
      <w:r>
        <w:rPr>
          <w:rFonts w:ascii="Times New Roman" w:hAnsi="Times New Roman"/>
          <w:b/>
          <w:sz w:val="17"/>
        </w:rPr>
        <w:t xml:space="preserve">OKING STATEMENTS </w:t>
      </w:r>
    </w:p>
    <w:p>
      <w:pPr>
        <w:pStyle w:val="TextBody"/>
        <w:spacing w:before="240" w:after="0"/>
        <w:jc w:val="left"/>
        <w:rPr>
          <w:rFonts w:ascii="Times New Roman" w:hAnsi="Times New Roman"/>
          <w:sz w:val="17"/>
        </w:rPr>
      </w:pPr>
      <w:r>
        <w:rPr>
          <w:rFonts w:ascii="Times New Roman" w:hAnsi="Times New Roman"/>
          <w:sz w:val="17"/>
        </w:rPr>
        <w:t xml:space="preserve">This prospectus contains forward-looking statements within the meaning of the Private Securities Litigation Reform Act of 1995.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 and long-term. These forward-looking statements should be considered in light of the information included in this prospectus, including the information under the heading Risk Factors and the description of trends and other factors in Managements Discussion and Analysis of Financial Condition and Results of Operations set forth in our Annual Report on Form 10-K for the year ended December 31, 2017 and in Managements Discussion and Analysis of Financial Condition and Results of Operations set forth in our Quarterly Report on Form 10-Q for the quarter ended September 30, 2018, which are incorporated herein by reference, and in our other filings with the SEC.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17"/>
        </w:rPr>
      </w:pPr>
      <w:r>
        <w:rPr>
          <w:rFonts w:ascii="Arial Narrow" w:hAnsi="Arial Narrow"/>
          <w:b/>
          <w:color w:val="FF4338"/>
          <w:sz w:val="17"/>
        </w:rPr>
        <w:t xml:space="preserve">The information in this preliminary prospectus is not complete and may be changed. This preliminary prospectus is not an offer to sell these securities and is not soliciting an offer to buy these securities in any jurisdiction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17"/>
        </w:rPr>
      </w:pPr>
      <w:r>
        <w:rPr>
          <w:rFonts w:ascii="Times New Roman" w:hAnsi="Times New Roman"/>
          <w:b/>
          <w:color w:val="FF4338"/>
          <w:sz w:val="17"/>
        </w:rPr>
        <w:t xml:space="preserve">Subject to Completion </w:t>
      </w:r>
    </w:p>
    <w:p>
      <w:pPr>
        <w:pStyle w:val="TextBody"/>
        <w:spacing w:before="0" w:after="0"/>
        <w:jc w:val="center"/>
        <w:rPr>
          <w:rFonts w:ascii="Times New Roman" w:hAnsi="Times New Roman"/>
          <w:b/>
          <w:color w:val="FF4338"/>
          <w:sz w:val="17"/>
        </w:rPr>
      </w:pPr>
      <w:r>
        <w:rPr>
          <w:rFonts w:ascii="Times New Roman" w:hAnsi="Times New Roman"/>
          <w:b/>
          <w:color w:val="FF4338"/>
          <w:sz w:val="17"/>
        </w:rPr>
        <w:t xml:space="preserve">Preliminary Prospectus dated December 10, 2018 </w:t>
      </w:r>
    </w:p>
    <w:p>
      <w:pPr>
        <w:pStyle w:val="TextBody"/>
        <w:spacing w:before="0" w:after="0"/>
        <w:jc w:val="left"/>
        <w:rPr/>
      </w:pPr>
      <w:r>
        <w:rPr/>
        <w:t> </w:t>
      </w:r>
    </w:p>
    <w:p>
      <w:pPr>
        <w:pStyle w:val="TextBody"/>
        <w:spacing w:before="0" w:after="0"/>
        <w:jc w:val="center"/>
        <w:rPr/>
      </w:pPr>
      <w:r>
        <w:rPr/>
        <w:drawing>
          <wp:inline distT="0" distB="0" distL="0" distR="0">
            <wp:extent cx="173355" cy="336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3355" cy="33655"/>
                    </a:xfrm>
                    <a:prstGeom prst="rect">
                      <a:avLst/>
                    </a:prstGeom>
                  </pic:spPr>
                </pic:pic>
              </a:graphicData>
            </a:graphic>
          </wp:inline>
        </w:drawing>
      </w:r>
      <w:r>
        <w:rPr/>
        <w:t xml:space="preserve"> </w:t>
      </w:r>
    </w:p>
    <w:p>
      <w:pPr>
        <w:pStyle w:val="TextBody"/>
        <w:spacing w:before="240" w:after="0"/>
        <w:jc w:val="center"/>
        <w:rPr>
          <w:rFonts w:ascii="Times New Roman" w:hAnsi="Times New Roman"/>
          <w:b/>
          <w:sz w:val="40"/>
        </w:rPr>
      </w:pPr>
      <w:r>
        <w:rPr>
          <w:rFonts w:ascii="Times New Roman" w:hAnsi="Times New Roman"/>
          <w:b/>
          <w:sz w:val="40"/>
        </w:rPr>
        <w:t xml:space="preserve">Honeywell International Inc. </w:t>
      </w:r>
    </w:p>
    <w:p>
      <w:pPr>
        <w:pStyle w:val="TextBody"/>
        <w:spacing w:before="120" w:after="0"/>
        <w:jc w:val="center"/>
        <w:rPr>
          <w:rFonts w:ascii="Times New Roman" w:hAnsi="Times New Roman"/>
          <w:b/>
          <w:sz w:val="23"/>
        </w:rPr>
      </w:pPr>
      <w:r>
        <w:rPr>
          <w:rFonts w:ascii="Times New Roman" w:hAnsi="Times New Roman"/>
          <w:b/>
          <w:sz w:val="23"/>
        </w:rPr>
        <w:t xml:space="preserve">Dividend Reinvestment and Share Purchase Plan </w:t>
      </w:r>
    </w:p>
    <w:p>
      <w:pPr>
        <w:pStyle w:val="TextBody"/>
        <w:spacing w:before="0" w:after="0"/>
        <w:jc w:val="center"/>
        <w:rPr>
          <w:rFonts w:ascii="Times New Roman" w:hAnsi="Times New Roman"/>
          <w:b/>
          <w:sz w:val="23"/>
        </w:rPr>
      </w:pPr>
      <w:r>
        <w:rPr>
          <w:rFonts w:ascii="Times New Roman" w:hAnsi="Times New Roman"/>
          <w:b/>
          <w:sz w:val="23"/>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7"/>
        </w:rPr>
      </w:pPr>
      <w:r>
        <w:rPr>
          <w:rFonts w:ascii="Times New Roman" w:hAnsi="Times New Roman"/>
          <w:sz w:val="17"/>
        </w:rPr>
        <w:t xml:space="preserve">The Honeywell International Inc. Dividend Reinvestment and Share Purchase Plan (the </w:t>
      </w:r>
      <w:r>
        <w:rPr>
          <w:rFonts w:ascii="Times New Roman" w:hAnsi="Times New Roman"/>
          <w:b/>
          <w:i/>
          <w:sz w:val="17"/>
        </w:rPr>
        <w:t>Plan</w:t>
      </w:r>
      <w:r>
        <w:rPr>
          <w:rFonts w:ascii="Times New Roman" w:hAnsi="Times New Roman"/>
          <w:sz w:val="17"/>
        </w:rPr>
        <w:t xml:space="preserve">) provides holders of the common stock of Honeywell International Inc. with a simple and convenient method of investing cash dividends and optional cash payments in additional shares of common stock without payment of any brokerage commission or service charge. Any holder of record of the common stock is eligible to participate in the Plan. </w:t>
      </w:r>
    </w:p>
    <w:p>
      <w:pPr>
        <w:pStyle w:val="TextBody"/>
        <w:spacing w:before="240" w:after="0"/>
        <w:jc w:val="left"/>
        <w:rPr>
          <w:rFonts w:ascii="Times New Roman" w:hAnsi="Times New Roman"/>
          <w:sz w:val="17"/>
        </w:rPr>
      </w:pPr>
      <w:r>
        <w:rPr>
          <w:rFonts w:ascii="Times New Roman" w:hAnsi="Times New Roman"/>
          <w:sz w:val="17"/>
        </w:rPr>
        <w:t xml:space="preserve">A participant in the Plan may purchase additional shares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reinvesting dividends on all shares of common stock held by the participant;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reinvesting dividends on part of the shares of common stock held by the participant (while continuing to receive cash dividends on the other shares);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making optional cash payments of not less than $25 each up to a maximum of $120,000 per calendar year, whether or not the participants dividends are being reinvested. </w:t>
            </w:r>
          </w:p>
        </w:tc>
      </w:tr>
    </w:tbl>
    <w:p>
      <w:pPr>
        <w:pStyle w:val="TextBody"/>
        <w:spacing w:before="240" w:after="0"/>
        <w:jc w:val="left"/>
        <w:rPr>
          <w:rFonts w:ascii="Times New Roman" w:hAnsi="Times New Roman"/>
          <w:sz w:val="17"/>
        </w:rPr>
      </w:pPr>
      <w:r>
        <w:rPr>
          <w:rFonts w:ascii="Times New Roman" w:hAnsi="Times New Roman"/>
          <w:sz w:val="17"/>
        </w:rPr>
        <w:t xml:space="preserve">Cash dividends on all shares held for the participants account under the Plan will automatically be reinvested if no dividend reinvestment option is selected. </w:t>
      </w:r>
    </w:p>
    <w:p>
      <w:pPr>
        <w:pStyle w:val="TextBody"/>
        <w:spacing w:before="240" w:after="0"/>
        <w:jc w:val="left"/>
        <w:rPr>
          <w:rFonts w:ascii="Times New Roman" w:hAnsi="Times New Roman"/>
          <w:sz w:val="17"/>
        </w:rPr>
      </w:pPr>
      <w:r>
        <w:rPr>
          <w:rFonts w:ascii="Times New Roman" w:hAnsi="Times New Roman"/>
          <w:sz w:val="17"/>
        </w:rPr>
        <w:t xml:space="preserve">Shares purchased under the Plan will be purchased from Honeywell or, in the limited circumstances described in the Plan, on the open market. The purchase price of shares purchased from Honeywell will be the average of the high and low sales prices of the common stock reported as New York Stock Exchange Composite Transactions for the relevant investment date, which is the dividend payment date for months in which dividends are paid and the first business day of the month for all other months. The purchase price of shares purchased on the open market will be the negotiated price for such shares or, in the case of multiple open market purchases, the purchase price will be the average of the negotiated prices for such open market purchases. </w:t>
      </w:r>
    </w:p>
    <w:p>
      <w:pPr>
        <w:pStyle w:val="TextBody"/>
        <w:spacing w:before="240" w:after="0"/>
        <w:jc w:val="left"/>
        <w:rPr>
          <w:rFonts w:ascii="Times New Roman" w:hAnsi="Times New Roman"/>
          <w:sz w:val="17"/>
        </w:rPr>
      </w:pPr>
      <w:r>
        <w:rPr>
          <w:rFonts w:ascii="Times New Roman" w:hAnsi="Times New Roman"/>
          <w:sz w:val="17"/>
        </w:rPr>
        <w:t xml:space="preserve">This prospectus relates to                  shares of common stock registered for sale under the Plan. Shares sold under the Plan may be authorized but unissued shares or shares held in Honeywells treasury, or shares acquired on the open market. You should retain this prospectus for future reference.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7"/>
        </w:rPr>
      </w:pPr>
      <w:r>
        <w:rPr>
          <w:rFonts w:ascii="Times New Roman" w:hAnsi="Times New Roman"/>
          <w:sz w:val="17"/>
        </w:rPr>
        <w:t xml:space="preserve">Our common stock is listed on the New York Stock Exchange and the London Stock Exchange under the symbol HON. On         , 20         , the last reported sale price of our common stock on the New York Stock Exchange was $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0"/>
        </w:rPr>
        <w:t>Investing in our common stock involves certain risks. See </w:t>
      </w:r>
      <w:hyperlink w:anchor="driprom655836_3">
        <w:r>
          <w:rPr>
            <w:rStyle w:val="InternetLink"/>
            <w:rFonts w:ascii="Times New Roman" w:hAnsi="Times New Roman"/>
            <w:b/>
            <w:sz w:val="20"/>
          </w:rPr>
          <w:t>Risk Factors</w:t>
        </w:r>
      </w:hyperlink>
      <w:r>
        <w:rPr>
          <w:rFonts w:ascii="Times New Roman" w:hAnsi="Times New Roman"/>
          <w:b/>
          <w:sz w:val="20"/>
        </w:rPr>
        <w:t xml:space="preserve"> on page 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17"/>
        </w:rPr>
      </w:pPr>
      <w:r>
        <w:rPr>
          <w:rFonts w:ascii="Times New Roman" w:hAnsi="Times New Roman"/>
          <w:b/>
          <w:sz w:val="17"/>
        </w:rPr>
        <w:t xml:space="preserve">Neither the Securities and Exchange Commission nor any other regulatory body has approved or disapproved of these securities or passed upon the accuracy or adequacy of this prospectus. Any representation to the contrary is a criminal offense. </w:t>
      </w:r>
    </w:p>
    <w:p>
      <w:pPr>
        <w:pStyle w:val="TextBody"/>
        <w:spacing w:before="240" w:after="0"/>
        <w:jc w:val="center"/>
        <w:rPr>
          <w:rFonts w:ascii="Times New Roman" w:hAnsi="Times New Roman"/>
          <w:sz w:val="17"/>
        </w:rPr>
      </w:pPr>
      <w:r>
        <w:rPr>
          <w:rFonts w:ascii="Times New Roman" w:hAnsi="Times New Roman"/>
          <w:sz w:val="17"/>
        </w:rPr>
        <w:t xml:space="preserve">The date of this prospectus is December     , 2018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0" w:name="index1"/>
      <w:bookmarkEnd w:id="30"/>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58"/>
        <w:gridCol w:w="358"/>
        <w:gridCol w:w="96"/>
        <w:gridCol w:w="431"/>
        <w:gridCol w:w="62"/>
      </w:tblGrid>
      <w:tr>
        <w:trPr/>
        <w:tc>
          <w:tcPr>
            <w:tcW w:w="92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258"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5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1">
              <w:r>
                <w:rPr>
                  <w:rStyle w:val="InternetLink"/>
                  <w:rFonts w:ascii="Times New Roman" w:hAnsi="Times New Roman"/>
                  <w:sz w:val="17"/>
                </w:rPr>
                <w:t>About this Prospectus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ii</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2">
              <w:r>
                <w:rPr>
                  <w:rStyle w:val="InternetLink"/>
                  <w:rFonts w:ascii="Times New Roman" w:hAnsi="Times New Roman"/>
                  <w:sz w:val="17"/>
                </w:rPr>
                <w:t>Honeywell</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3">
              <w:r>
                <w:rPr>
                  <w:rStyle w:val="InternetLink"/>
                  <w:rFonts w:ascii="Times New Roman" w:hAnsi="Times New Roman"/>
                  <w:sz w:val="17"/>
                </w:rPr>
                <w:t>Risk Factors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4">
              <w:r>
                <w:rPr>
                  <w:rStyle w:val="InternetLink"/>
                  <w:rFonts w:ascii="Times New Roman" w:hAnsi="Times New Roman"/>
                  <w:sz w:val="17"/>
                </w:rPr>
                <w:t>Use of Proceeds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5">
              <w:r>
                <w:rPr>
                  <w:rStyle w:val="InternetLink"/>
                  <w:rFonts w:ascii="Times New Roman" w:hAnsi="Times New Roman"/>
                  <w:sz w:val="17"/>
                </w:rPr>
                <w:t>Description of the Plan</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6">
              <w:r>
                <w:rPr>
                  <w:rStyle w:val="InternetLink"/>
                  <w:rFonts w:ascii="Times New Roman" w:hAnsi="Times New Roman"/>
                  <w:sz w:val="17"/>
                </w:rPr>
                <w:t>Description of Common Stock</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7">
              <w:r>
                <w:rPr>
                  <w:rStyle w:val="InternetLink"/>
                  <w:rFonts w:ascii="Times New Roman" w:hAnsi="Times New Roman"/>
                  <w:sz w:val="17"/>
                </w:rPr>
                <w:t>Experts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8">
              <w:r>
                <w:rPr>
                  <w:rStyle w:val="InternetLink"/>
                  <w:rFonts w:ascii="Times New Roman" w:hAnsi="Times New Roman"/>
                  <w:sz w:val="17"/>
                </w:rPr>
                <w:t>Legal Opinions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9">
              <w:r>
                <w:rPr>
                  <w:rStyle w:val="InternetLink"/>
                  <w:rFonts w:ascii="Times New Roman" w:hAnsi="Times New Roman"/>
                  <w:sz w:val="17"/>
                </w:rPr>
                <w:t>Where You Can Find More Information About Honeywell</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17</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10">
              <w:r>
                <w:rPr>
                  <w:rStyle w:val="InternetLink"/>
                  <w:rFonts w:ascii="Times New Roman" w:hAnsi="Times New Roman"/>
                  <w:sz w:val="17"/>
                </w:rPr>
                <w:t>Incorporation of Certain Information by Reference</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17</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11">
              <w:r>
                <w:rPr>
                  <w:rStyle w:val="InternetLink"/>
                  <w:rFonts w:ascii="Times New Roman" w:hAnsi="Times New Roman"/>
                  <w:sz w:val="17"/>
                </w:rPr>
                <w:t>Cautionary Statement Concerning Forward-Looking Statements</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258" w:type="dxa"/>
            <w:tcBorders/>
            <w:shd w:fill="auto" w:val="clear"/>
          </w:tcPr>
          <w:p>
            <w:pPr>
              <w:pStyle w:val="TableContents"/>
              <w:spacing w:before="0" w:after="0"/>
              <w:rPr/>
            </w:pPr>
            <w:hyperlink w:anchor="driprom655836_12">
              <w:r>
                <w:rPr>
                  <w:rStyle w:val="InternetLink"/>
                  <w:rFonts w:ascii="Times New Roman" w:hAnsi="Times New Roman"/>
                  <w:sz w:val="17"/>
                </w:rPr>
                <w:t>Indemnification under the Securities Act</w:t>
              </w:r>
            </w:hyperlink>
          </w:p>
        </w:tc>
        <w:tc>
          <w:tcPr>
            <w:tcW w:w="358"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17"/>
        </w:rPr>
      </w:pPr>
      <w:r>
        <w:rPr>
          <w:rFonts w:ascii="Times New Roman" w:hAnsi="Times New Roman"/>
          <w:b/>
          <w:sz w:val="17"/>
        </w:rPr>
        <w:t xml:space="preserve">We have not authorized anyone to provide any information or make any representations other than those contained in this prospectus, the related registration statement or in any of the materials that we have incorporated by reference into this prospectus. You should carefully evaluate the information provided by us in light of the total mix of information available to you, recognizing that we can provide no assurance as to the reliability of any information other than that contained in this prospectus, the related registration statement or in any of the materials that we have incorporated by reference into this prospectus. If you are in a jurisdiction where offers to sell, or solicitations of offers to purchase, the securities offered by this prospectus are unlawful, or if you are a person to whom it is unlawful to direct these types of activities, then the offer presented in this prospectus does not extend to you. The information contained in this prospectus speaks only as of the date of this prospectus unless the information specifically indicates that another date applies.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1" w:name="driprom655836_1"/>
      <w:bookmarkEnd w:id="31"/>
      <w:r>
        <w:rPr>
          <w:rFonts w:ascii="Times New Roman" w:hAnsi="Times New Roman"/>
          <w:b/>
          <w:sz w:val="17"/>
        </w:rPr>
        <w:t xml:space="preserve">ABOUT THIS PROSPECTUS </w:t>
      </w:r>
    </w:p>
    <w:p>
      <w:pPr>
        <w:pStyle w:val="TextBody"/>
        <w:spacing w:before="240" w:after="0"/>
        <w:jc w:val="left"/>
        <w:rPr>
          <w:rFonts w:ascii="Times New Roman" w:hAnsi="Times New Roman"/>
          <w:sz w:val="17"/>
        </w:rPr>
      </w:pPr>
      <w:r>
        <w:rPr>
          <w:rFonts w:ascii="Times New Roman" w:hAnsi="Times New Roman"/>
          <w:sz w:val="17"/>
        </w:rPr>
        <w:t xml:space="preserve">This prospectus is part of a registration statement that Honeywell filed with the Securities and Exchange Commission (the </w:t>
      </w:r>
      <w:r>
        <w:rPr>
          <w:rFonts w:ascii="Times New Roman" w:hAnsi="Times New Roman"/>
          <w:b/>
          <w:i/>
          <w:sz w:val="17"/>
        </w:rPr>
        <w:t>SEC</w:t>
      </w:r>
      <w:r>
        <w:rPr>
          <w:rFonts w:ascii="Times New Roman" w:hAnsi="Times New Roman"/>
          <w:sz w:val="17"/>
        </w:rPr>
        <w:t xml:space="preserve">) utilizing a shelf registration process as a well-known seasoned issuer as defined in Rule 405 under the Securities Act of 1933, as amended. Under this process, we may offer our shares of common stock in one or more offerings. Some transactions in which we offer shares of our common stock under this registration statement may require that we provide a prospectus supplement that will contain additional information about the terms of that offering. A prospectus supplement may also add, update or change information contained in this prospectus. If there is any inconsistency between the information in this prospectus and any applicable prospectus supplement, you should rely on the information in the applicable prospectus supplement. </w:t>
      </w:r>
    </w:p>
    <w:p>
      <w:pPr>
        <w:pStyle w:val="TextBody"/>
        <w:spacing w:before="240" w:after="0"/>
        <w:jc w:val="left"/>
        <w:rPr>
          <w:rFonts w:ascii="Times New Roman" w:hAnsi="Times New Roman"/>
          <w:sz w:val="17"/>
        </w:rPr>
      </w:pPr>
      <w:r>
        <w:rPr>
          <w:rFonts w:ascii="Times New Roman" w:hAnsi="Times New Roman"/>
          <w:sz w:val="17"/>
        </w:rPr>
        <w:t xml:space="preserve">This prospectus provides you with a general description of our shares of common stock. To understand the terms of our securities, you should carefully read this document with any applicable prospectus supplement. You should also read the documents we have referred you to in Where You Can Find More Information About Honeywell below for information on Honeywell and our financial statements. </w:t>
      </w:r>
    </w:p>
    <w:p>
      <w:pPr>
        <w:pStyle w:val="TextBody"/>
        <w:spacing w:before="240" w:after="0"/>
        <w:jc w:val="left"/>
        <w:rPr>
          <w:rFonts w:ascii="Times New Roman" w:hAnsi="Times New Roman"/>
          <w:sz w:val="17"/>
        </w:rPr>
      </w:pPr>
      <w:r>
        <w:rPr>
          <w:rFonts w:ascii="Times New Roman" w:hAnsi="Times New Roman"/>
          <w:sz w:val="17"/>
        </w:rPr>
        <w:t xml:space="preserve">In this prospectus and any prospectus supplement, unless otherwise specified, the terms Honeywell, we, us or our mean Honeywell International Inc. and its consolidated subsidiaries. </w:t>
      </w:r>
    </w:p>
    <w:p>
      <w:pPr>
        <w:pStyle w:val="TextBody"/>
        <w:spacing w:before="240" w:after="0"/>
        <w:jc w:val="left"/>
        <w:rPr>
          <w:rFonts w:ascii="Times New Roman" w:hAnsi="Times New Roman"/>
          <w:sz w:val="17"/>
        </w:rPr>
      </w:pPr>
      <w:r>
        <w:rPr>
          <w:rFonts w:ascii="Times New Roman" w:hAnsi="Times New Roman"/>
          <w:sz w:val="17"/>
        </w:rPr>
        <w:t xml:space="preserve">Unless otherwise stated, currency amounts in this prospectus and any prospectus supplement are stated in U.S. dollars, or $.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2" w:name="driprom655836_2"/>
      <w:bookmarkEnd w:id="32"/>
      <w:r>
        <w:rPr>
          <w:rFonts w:ascii="Times New Roman" w:hAnsi="Times New Roman"/>
          <w:b/>
          <w:sz w:val="17"/>
        </w:rPr>
        <w:t xml:space="preserve">HONEYWELL </w:t>
      </w:r>
    </w:p>
    <w:p>
      <w:pPr>
        <w:pStyle w:val="TextBody"/>
        <w:spacing w:before="240" w:after="0"/>
        <w:jc w:val="left"/>
        <w:rPr>
          <w:rFonts w:ascii="Times New Roman" w:hAnsi="Times New Roman"/>
          <w:sz w:val="17"/>
        </w:rPr>
      </w:pPr>
      <w:r>
        <w:rPr>
          <w:rFonts w:ascii="Times New Roman" w:hAnsi="Times New Roman"/>
          <w:sz w:val="17"/>
        </w:rPr>
        <w:t xml:space="preserve">Honeywell International Inc. is a technology company that delivers industry specific solutions that include aerospace products and services, control technologies for buildings and industry, and performance materials globally. Honeywell was incorporated in Delaware in 1985, and its principal executive offices are located at 115 Tabor Road, Morris Plains, New Jersey 07950. Its main telephone number is (973) 455-2000. </w:t>
      </w:r>
    </w:p>
    <w:p>
      <w:pPr>
        <w:pStyle w:val="TextBody"/>
        <w:spacing w:before="480" w:after="0"/>
        <w:jc w:val="center"/>
        <w:rPr>
          <w:rFonts w:ascii="Times New Roman" w:hAnsi="Times New Roman"/>
          <w:b/>
          <w:sz w:val="17"/>
        </w:rPr>
      </w:pPr>
      <w:bookmarkStart w:id="33" w:name="driprom655836_3"/>
      <w:bookmarkEnd w:id="33"/>
      <w:r>
        <w:rPr>
          <w:rFonts w:ascii="Times New Roman" w:hAnsi="Times New Roman"/>
          <w:b/>
          <w:sz w:val="17"/>
        </w:rPr>
        <w:t xml:space="preserve">RISK FACTORS </w:t>
      </w:r>
    </w:p>
    <w:p>
      <w:pPr>
        <w:pStyle w:val="TextBody"/>
        <w:spacing w:before="240" w:after="0"/>
        <w:jc w:val="left"/>
        <w:rPr>
          <w:rFonts w:ascii="Times New Roman" w:hAnsi="Times New Roman"/>
          <w:sz w:val="17"/>
        </w:rPr>
      </w:pPr>
      <w:r>
        <w:rPr>
          <w:rFonts w:ascii="Times New Roman" w:hAnsi="Times New Roman"/>
          <w:sz w:val="17"/>
        </w:rPr>
        <w:t xml:space="preserve">Investing in Honeywells common stock involves risk. Before making an investment decision, you should carefully consider the risks disclosed in Honeywells most recent annual and quarterly reports filed with the SEC, as well as other information Honeywell includes or incorporates by reference in this prospectus or any prospectus supplement. These risks could materially affect Honeywells business, results of operations or financial condition and cause the value of Honeywells common stock to decline. You could lose all or part of your investment. </w:t>
      </w:r>
    </w:p>
    <w:p>
      <w:pPr>
        <w:pStyle w:val="TextBody"/>
        <w:spacing w:before="480" w:after="0"/>
        <w:jc w:val="center"/>
        <w:rPr>
          <w:rFonts w:ascii="Times New Roman" w:hAnsi="Times New Roman"/>
          <w:b/>
          <w:sz w:val="17"/>
        </w:rPr>
      </w:pPr>
      <w:bookmarkStart w:id="34" w:name="driprom655836_4"/>
      <w:bookmarkEnd w:id="34"/>
      <w:r>
        <w:rPr>
          <w:rFonts w:ascii="Times New Roman" w:hAnsi="Times New Roman"/>
          <w:b/>
          <w:sz w:val="17"/>
        </w:rPr>
        <w:t xml:space="preserve">USE OF PROCEEDS </w:t>
      </w:r>
    </w:p>
    <w:p>
      <w:pPr>
        <w:pStyle w:val="TextBody"/>
        <w:spacing w:before="240" w:after="0"/>
        <w:jc w:val="left"/>
        <w:rPr>
          <w:rFonts w:ascii="Times New Roman" w:hAnsi="Times New Roman"/>
          <w:sz w:val="17"/>
        </w:rPr>
      </w:pPr>
      <w:r>
        <w:rPr>
          <w:rFonts w:ascii="Times New Roman" w:hAnsi="Times New Roman"/>
          <w:sz w:val="17"/>
        </w:rPr>
        <w:t xml:space="preserve">Unless otherwise specified in the applicable prospectus supplement, the net proceeds Honeywell receives from the sale of securities described by this prospectus and any accompanying prospectus supplement will be used for general corporate purposes. General corporate purposes may include the repayment of outstanding debt, repurchase of our common stock, investments in or extensions of credit to our subsidiaries, or the financing of possible acquisitions or business expansion. Honeywell currently has no specific plans for any such proceeds. The net proceeds may be invested temporarily or applied to repay short-term debt until they are used for their stated purpose. Pending application for specific purposes, the net proceeds may be invested in marketable securities.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5" w:name="driprom655836_5"/>
      <w:bookmarkEnd w:id="35"/>
      <w:r>
        <w:rPr>
          <w:rFonts w:ascii="Times New Roman" w:hAnsi="Times New Roman"/>
          <w:b/>
          <w:sz w:val="17"/>
        </w:rPr>
        <w:t xml:space="preserve">DESCRIPTION OF THE PLAN </w:t>
      </w:r>
    </w:p>
    <w:p>
      <w:pPr>
        <w:pStyle w:val="TextBody"/>
        <w:spacing w:before="240" w:after="0"/>
        <w:jc w:val="left"/>
        <w:rPr>
          <w:rFonts w:ascii="Times New Roman" w:hAnsi="Times New Roman"/>
          <w:sz w:val="17"/>
        </w:rPr>
      </w:pPr>
      <w:r>
        <w:rPr>
          <w:rFonts w:ascii="Times New Roman" w:hAnsi="Times New Roman"/>
          <w:sz w:val="17"/>
        </w:rPr>
        <w:t xml:space="preserve">The text of the description of the Plan consists of a series of questions and answers: </w:t>
      </w:r>
    </w:p>
    <w:p>
      <w:pPr>
        <w:pStyle w:val="TextBody"/>
        <w:spacing w:before="360" w:after="0"/>
        <w:jc w:val="left"/>
        <w:rPr>
          <w:rFonts w:ascii="Times New Roman" w:hAnsi="Times New Roman"/>
          <w:b/>
          <w:sz w:val="17"/>
        </w:rPr>
      </w:pPr>
      <w:r>
        <w:rPr>
          <w:rFonts w:ascii="Times New Roman" w:hAnsi="Times New Roman"/>
          <w:b/>
          <w:sz w:val="17"/>
        </w:rPr>
        <w:t xml:space="preserve">Purpose </w:t>
      </w:r>
    </w:p>
    <w:p>
      <w:pPr>
        <w:pStyle w:val="TextBody"/>
        <w:spacing w:before="120" w:after="0"/>
        <w:jc w:val="left"/>
        <w:rPr>
          <w:rFonts w:ascii="Times New Roman" w:hAnsi="Times New Roman"/>
          <w:i/>
          <w:sz w:val="17"/>
        </w:rPr>
      </w:pPr>
      <w:r>
        <w:rPr>
          <w:rFonts w:ascii="Times New Roman" w:hAnsi="Times New Roman"/>
          <w:i/>
          <w:sz w:val="17"/>
        </w:rPr>
        <w:t xml:space="preserve">1. What is the purpose of the Plan? </w:t>
      </w:r>
    </w:p>
    <w:p>
      <w:pPr>
        <w:pStyle w:val="TextBody"/>
        <w:spacing w:before="120" w:after="0"/>
        <w:jc w:val="left"/>
        <w:rPr>
          <w:rFonts w:ascii="Times New Roman" w:hAnsi="Times New Roman"/>
          <w:sz w:val="17"/>
        </w:rPr>
      </w:pPr>
      <w:r>
        <w:rPr>
          <w:rFonts w:ascii="Times New Roman" w:hAnsi="Times New Roman"/>
          <w:sz w:val="17"/>
        </w:rPr>
        <w:t xml:space="preserve">The purpose of the Honeywell International Inc. Dividend Reinvestment and Share Purchase Plan is to provide holders of record of shares of the common stock of Honeywell International Inc. with a simple and convenient method of investing cash dividends and optional cash payments in additional shares of common stock without payment of any brokerage commission or service charge. </w:t>
      </w:r>
    </w:p>
    <w:p>
      <w:pPr>
        <w:pStyle w:val="TextBody"/>
        <w:spacing w:before="360" w:after="0"/>
        <w:jc w:val="left"/>
        <w:rPr>
          <w:rFonts w:ascii="Times New Roman" w:hAnsi="Times New Roman"/>
          <w:b/>
          <w:sz w:val="17"/>
        </w:rPr>
      </w:pPr>
      <w:r>
        <w:rPr>
          <w:rFonts w:ascii="Times New Roman" w:hAnsi="Times New Roman"/>
          <w:b/>
          <w:sz w:val="17"/>
        </w:rPr>
        <w:t xml:space="preserve">Advantages of the Plan </w:t>
      </w:r>
    </w:p>
    <w:p>
      <w:pPr>
        <w:pStyle w:val="TextBody"/>
        <w:spacing w:before="120" w:after="0"/>
        <w:jc w:val="left"/>
        <w:rPr>
          <w:rFonts w:ascii="Times New Roman" w:hAnsi="Times New Roman"/>
          <w:i/>
          <w:sz w:val="17"/>
        </w:rPr>
      </w:pPr>
      <w:r>
        <w:rPr>
          <w:rFonts w:ascii="Times New Roman" w:hAnsi="Times New Roman"/>
          <w:i/>
          <w:sz w:val="17"/>
        </w:rPr>
        <w:t xml:space="preserve">2. What are the advantages of the Plan? </w:t>
      </w:r>
    </w:p>
    <w:p>
      <w:pPr>
        <w:pStyle w:val="TextBody"/>
        <w:spacing w:before="120" w:after="0"/>
        <w:jc w:val="left"/>
        <w:rPr>
          <w:rFonts w:ascii="Times New Roman" w:hAnsi="Times New Roman"/>
          <w:sz w:val="17"/>
        </w:rPr>
      </w:pPr>
      <w:r>
        <w:rPr>
          <w:rFonts w:ascii="Times New Roman" w:hAnsi="Times New Roman"/>
          <w:sz w:val="17"/>
        </w:rPr>
        <w:t xml:space="preserve">A participant in the Plan may (a) have cash dividends on all of its shares automatically reinvested in common stock, or (b) have cash dividends on part of its shares automatically reinvested or (c) whether or not it has elected to have any such dividends automatically reinvested, invest in additional shares by making optional cash payments of not less than $25 each up to a maximum of $120,000 per calendar year. Participants do not pay any commission or service charge in connection with purchases under the Plan. Full investment of funds is possible under the Plan because fractions of shares, as well as whole shares, will be credited to a participants account. Further, dividends in respect of such fractions, as well as whole shares, will be reinvested in additional shares of common stock and such shares will be credited to a participants account. A participant can avoid the need for safekeeping of certificates for shares credited to its account under the Plan. Statements of account sent to Plan participants will provide simplified recordkeeping. Under the Emergency Economic Stabilization Act, passed by Congress in 2008, you must reinvest at least 10% of your dividend distribution. </w:t>
      </w:r>
    </w:p>
    <w:p>
      <w:pPr>
        <w:pStyle w:val="TextBody"/>
        <w:spacing w:before="360" w:after="0"/>
        <w:jc w:val="left"/>
        <w:rPr>
          <w:rFonts w:ascii="Times New Roman" w:hAnsi="Times New Roman"/>
          <w:b/>
          <w:sz w:val="17"/>
        </w:rPr>
      </w:pPr>
      <w:r>
        <w:rPr>
          <w:rFonts w:ascii="Times New Roman" w:hAnsi="Times New Roman"/>
          <w:b/>
          <w:sz w:val="17"/>
        </w:rPr>
        <w:t xml:space="preserve">Administration </w:t>
      </w:r>
    </w:p>
    <w:p>
      <w:pPr>
        <w:pStyle w:val="TextBody"/>
        <w:spacing w:before="120" w:after="0"/>
        <w:jc w:val="left"/>
        <w:rPr>
          <w:rFonts w:ascii="Times New Roman" w:hAnsi="Times New Roman"/>
          <w:i/>
          <w:sz w:val="17"/>
        </w:rPr>
      </w:pPr>
      <w:r>
        <w:rPr>
          <w:rFonts w:ascii="Times New Roman" w:hAnsi="Times New Roman"/>
          <w:i/>
          <w:sz w:val="17"/>
        </w:rPr>
        <w:t xml:space="preserve">3. Who administers the Plan for participants? </w:t>
      </w:r>
    </w:p>
    <w:p>
      <w:pPr>
        <w:pStyle w:val="TextBody"/>
        <w:spacing w:before="120" w:after="0"/>
        <w:jc w:val="left"/>
        <w:rPr>
          <w:rFonts w:ascii="Times New Roman" w:hAnsi="Times New Roman"/>
          <w:sz w:val="17"/>
        </w:rPr>
      </w:pPr>
      <w:r>
        <w:rPr>
          <w:rFonts w:ascii="Times New Roman" w:hAnsi="Times New Roman"/>
          <w:sz w:val="17"/>
        </w:rPr>
        <w:t xml:space="preserve">The transfer agent and registrar for Honeywell International Inc. common stock is EQ Shareowner Services, a division of Equiniti Trust Company (the </w:t>
      </w:r>
      <w:r>
        <w:rPr>
          <w:rFonts w:ascii="Times New Roman" w:hAnsi="Times New Roman"/>
          <w:b/>
          <w:i/>
          <w:sz w:val="17"/>
        </w:rPr>
        <w:t>Agent</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The Agent is responsible for administering the Plan, receiving all cash investments made by participants, forwarding funds to be used to purchase common stock, holding shares of stock acquired under the Plan, maintaining records, sending statements of account to participants and performing other duties related to the Plan. </w:t>
      </w:r>
    </w:p>
    <w:p>
      <w:pPr>
        <w:pStyle w:val="TextBody"/>
        <w:spacing w:before="360" w:after="0"/>
        <w:jc w:val="left"/>
        <w:rPr>
          <w:rFonts w:ascii="Times New Roman" w:hAnsi="Times New Roman"/>
          <w:b/>
          <w:sz w:val="17"/>
        </w:rPr>
      </w:pPr>
      <w:r>
        <w:rPr>
          <w:rFonts w:ascii="Times New Roman" w:hAnsi="Times New Roman"/>
          <w:b/>
          <w:sz w:val="17"/>
        </w:rPr>
        <w:t xml:space="preserve">Contact information </w:t>
      </w:r>
    </w:p>
    <w:p>
      <w:pPr>
        <w:pStyle w:val="TextBody"/>
        <w:spacing w:before="120" w:after="0"/>
        <w:jc w:val="left"/>
        <w:rPr>
          <w:rFonts w:ascii="Times New Roman" w:hAnsi="Times New Roman"/>
          <w:i/>
          <w:sz w:val="17"/>
        </w:rPr>
      </w:pPr>
      <w:r>
        <w:rPr>
          <w:rFonts w:ascii="Times New Roman" w:hAnsi="Times New Roman"/>
          <w:i/>
          <w:sz w:val="17"/>
        </w:rPr>
        <w:t xml:space="preserve">Online: </w:t>
      </w:r>
    </w:p>
    <w:p>
      <w:pPr>
        <w:pStyle w:val="TextBody"/>
        <w:spacing w:before="0" w:after="0"/>
        <w:jc w:val="left"/>
        <w:rPr>
          <w:rFonts w:ascii="Times New Roman" w:hAnsi="Times New Roman"/>
          <w:b/>
          <w:sz w:val="17"/>
        </w:rPr>
      </w:pPr>
      <w:r>
        <w:rPr>
          <w:rFonts w:ascii="Times New Roman" w:hAnsi="Times New Roman"/>
          <w:b/>
          <w:sz w:val="17"/>
        </w:rPr>
        <w:t xml:space="preserve">shareowneronline.com </w:t>
      </w:r>
    </w:p>
    <w:p>
      <w:pPr>
        <w:pStyle w:val="TextBody"/>
        <w:spacing w:before="120" w:after="0"/>
        <w:jc w:val="left"/>
        <w:rPr>
          <w:rFonts w:ascii="Times New Roman" w:hAnsi="Times New Roman"/>
          <w:sz w:val="17"/>
        </w:rPr>
      </w:pPr>
      <w:r>
        <w:rPr>
          <w:rFonts w:ascii="Times New Roman" w:hAnsi="Times New Roman"/>
          <w:sz w:val="17"/>
        </w:rPr>
        <w:t xml:space="preserve">To obtain information and perform certain transactions on your account online, including investments via automatic withdrawal, share withdrawals and sale of shares, you may use the Agents website at: </w:t>
      </w:r>
      <w:r>
        <w:rPr>
          <w:rFonts w:ascii="Times New Roman" w:hAnsi="Times New Roman"/>
          <w:b/>
          <w:sz w:val="17"/>
        </w:rPr>
        <w:t>shareowneronline.com</w:t>
      </w:r>
      <w:r>
        <w:rPr>
          <w:rFonts w:ascii="Times New Roman" w:hAnsi="Times New Roman"/>
          <w:sz w:val="17"/>
        </w:rPr>
        <w:t xml:space="preserve">. The information on or linked to/from the Agents website is not part of, and is not incorporated by reference into, this prospectus. Reference to the Agents website is made as an inactive textual reference. </w:t>
      </w:r>
    </w:p>
    <w:p>
      <w:pPr>
        <w:pStyle w:val="TextBody"/>
        <w:spacing w:before="240" w:after="0"/>
        <w:jc w:val="left"/>
        <w:rPr>
          <w:rFonts w:ascii="Times New Roman" w:hAnsi="Times New Roman"/>
          <w:sz w:val="17"/>
        </w:rPr>
      </w:pPr>
      <w:r>
        <w:rPr>
          <w:rFonts w:ascii="Times New Roman" w:hAnsi="Times New Roman"/>
          <w:sz w:val="17"/>
        </w:rPr>
        <w:t>Click on </w:t>
      </w:r>
      <w:r>
        <w:rPr>
          <w:rFonts w:ascii="Times New Roman" w:hAnsi="Times New Roman"/>
          <w:b/>
          <w:sz w:val="17"/>
        </w:rPr>
        <w:t>Sign Up Now!</w:t>
      </w:r>
      <w:r>
        <w:rPr>
          <w:rFonts w:ascii="Times New Roman" w:hAnsi="Times New Roman"/>
          <w:sz w:val="17"/>
        </w:rPr>
        <w:t> under </w:t>
      </w:r>
      <w:r>
        <w:rPr>
          <w:rFonts w:ascii="Times New Roman" w:hAnsi="Times New Roman"/>
          <w:b/>
          <w:sz w:val="17"/>
        </w:rPr>
        <w:t>I am a Current Shareowner</w:t>
      </w:r>
      <w:r>
        <w:rPr>
          <w:rFonts w:ascii="Times New Roman" w:hAnsi="Times New Roman"/>
          <w:sz w:val="17"/>
        </w:rPr>
        <w:t xml:space="preserve">. You will need your 10-digit account number, your 12-digit Authentication ID and a valid email address. Your account number can be found on your dividend check, dividend deposit notice or account statement. If you do not have your Authentication ID, you may request one online or by phone. Your Authentication ID will be sent to your mailing address on file.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Telephone: </w:t>
      </w:r>
    </w:p>
    <w:p>
      <w:pPr>
        <w:pStyle w:val="TextBody"/>
        <w:spacing w:before="120" w:after="0"/>
        <w:jc w:val="left"/>
        <w:rPr>
          <w:rFonts w:ascii="Times New Roman" w:hAnsi="Times New Roman"/>
          <w:sz w:val="17"/>
        </w:rPr>
      </w:pPr>
      <w:r>
        <w:rPr>
          <w:rFonts w:ascii="Times New Roman" w:hAnsi="Times New Roman"/>
          <w:sz w:val="17"/>
        </w:rPr>
        <w:t xml:space="preserve">Toll free at 1-800-647-7147 between 8:00 a.m. and 8:00 p.m. Monday through Friday, Eastern Time. </w:t>
      </w:r>
    </w:p>
    <w:p>
      <w:pPr>
        <w:pStyle w:val="TextBody"/>
        <w:spacing w:before="0" w:after="0"/>
        <w:jc w:val="left"/>
        <w:rPr>
          <w:rFonts w:ascii="Times New Roman" w:hAnsi="Times New Roman"/>
          <w:sz w:val="17"/>
        </w:rPr>
      </w:pPr>
      <w:r>
        <w:rPr>
          <w:rFonts w:ascii="Times New Roman" w:hAnsi="Times New Roman"/>
          <w:sz w:val="17"/>
        </w:rPr>
        <w:t xml:space="preserve">International Calls: 1-651-450-4064 </w:t>
      </w:r>
    </w:p>
    <w:p>
      <w:pPr>
        <w:pStyle w:val="TextBody"/>
        <w:spacing w:before="240" w:after="0"/>
        <w:jc w:val="left"/>
        <w:rPr>
          <w:rFonts w:ascii="Times New Roman" w:hAnsi="Times New Roman"/>
          <w:i/>
          <w:sz w:val="17"/>
        </w:rPr>
      </w:pPr>
      <w:r>
        <w:rPr>
          <w:rFonts w:ascii="Times New Roman" w:hAnsi="Times New Roman"/>
          <w:i/>
          <w:sz w:val="17"/>
        </w:rPr>
        <w:t xml:space="preserve">Written correspondence: </w:t>
      </w:r>
    </w:p>
    <w:p>
      <w:pPr>
        <w:pStyle w:val="TextBody"/>
        <w:spacing w:before="120" w:after="0"/>
        <w:jc w:val="left"/>
        <w:rPr>
          <w:rFonts w:ascii="Times New Roman" w:hAnsi="Times New Roman"/>
          <w:sz w:val="17"/>
        </w:rPr>
      </w:pPr>
      <w:r>
        <w:rPr>
          <w:rFonts w:ascii="Times New Roman" w:hAnsi="Times New Roman"/>
          <w:sz w:val="17"/>
        </w:rPr>
        <w:t xml:space="preserve">EQ Shareowner Services </w:t>
      </w:r>
    </w:p>
    <w:p>
      <w:pPr>
        <w:pStyle w:val="TextBody"/>
        <w:spacing w:before="0" w:after="0"/>
        <w:jc w:val="left"/>
        <w:rPr>
          <w:rFonts w:ascii="Times New Roman" w:hAnsi="Times New Roman"/>
          <w:sz w:val="17"/>
        </w:rPr>
      </w:pPr>
      <w:r>
        <w:rPr>
          <w:rFonts w:ascii="Times New Roman" w:hAnsi="Times New Roman"/>
          <w:sz w:val="17"/>
        </w:rPr>
        <w:t xml:space="preserve">P.O. Box 64856 </w:t>
      </w:r>
    </w:p>
    <w:p>
      <w:pPr>
        <w:pStyle w:val="TextBody"/>
        <w:spacing w:before="0" w:after="0"/>
        <w:jc w:val="left"/>
        <w:rPr>
          <w:rFonts w:ascii="Times New Roman" w:hAnsi="Times New Roman"/>
          <w:sz w:val="17"/>
        </w:rPr>
      </w:pPr>
      <w:r>
        <w:rPr>
          <w:rFonts w:ascii="Times New Roman" w:hAnsi="Times New Roman"/>
          <w:sz w:val="17"/>
        </w:rPr>
        <w:t xml:space="preserve">St. Paul, MN 55164-0856 </w:t>
      </w:r>
    </w:p>
    <w:p>
      <w:pPr>
        <w:pStyle w:val="TextBody"/>
        <w:spacing w:before="240" w:after="0"/>
        <w:jc w:val="left"/>
        <w:rPr>
          <w:rFonts w:ascii="Times New Roman" w:hAnsi="Times New Roman"/>
          <w:i/>
          <w:sz w:val="17"/>
        </w:rPr>
      </w:pPr>
      <w:r>
        <w:rPr>
          <w:rFonts w:ascii="Times New Roman" w:hAnsi="Times New Roman"/>
          <w:i/>
          <w:sz w:val="17"/>
        </w:rPr>
        <w:t xml:space="preserve">Certified/Overnight Mail: </w:t>
      </w:r>
    </w:p>
    <w:p>
      <w:pPr>
        <w:pStyle w:val="TextBody"/>
        <w:spacing w:before="120" w:after="0"/>
        <w:jc w:val="left"/>
        <w:rPr>
          <w:rFonts w:ascii="Times New Roman" w:hAnsi="Times New Roman"/>
          <w:sz w:val="17"/>
        </w:rPr>
      </w:pPr>
      <w:r>
        <w:rPr>
          <w:rFonts w:ascii="Times New Roman" w:hAnsi="Times New Roman"/>
          <w:sz w:val="17"/>
        </w:rPr>
        <w:t xml:space="preserve">EQ Shareowner Services </w:t>
      </w:r>
    </w:p>
    <w:p>
      <w:pPr>
        <w:pStyle w:val="TextBody"/>
        <w:spacing w:before="0" w:after="0"/>
        <w:jc w:val="left"/>
        <w:rPr>
          <w:rFonts w:ascii="Times New Roman" w:hAnsi="Times New Roman"/>
          <w:sz w:val="17"/>
        </w:rPr>
      </w:pPr>
      <w:r>
        <w:rPr>
          <w:rFonts w:ascii="Times New Roman" w:hAnsi="Times New Roman"/>
          <w:sz w:val="17"/>
        </w:rPr>
        <w:t xml:space="preserve">1110 Centre Pointe Curve, Suite 101 </w:t>
      </w:r>
    </w:p>
    <w:p>
      <w:pPr>
        <w:pStyle w:val="TextBody"/>
        <w:spacing w:before="0" w:after="0"/>
        <w:jc w:val="left"/>
        <w:rPr>
          <w:rFonts w:ascii="Times New Roman" w:hAnsi="Times New Roman"/>
          <w:sz w:val="17"/>
        </w:rPr>
      </w:pPr>
      <w:r>
        <w:rPr>
          <w:rFonts w:ascii="Times New Roman" w:hAnsi="Times New Roman"/>
          <w:sz w:val="17"/>
        </w:rPr>
        <w:t xml:space="preserve">Mendota Heights, MN 55120-4100 </w:t>
      </w:r>
    </w:p>
    <w:p>
      <w:pPr>
        <w:pStyle w:val="TextBody"/>
        <w:spacing w:before="360" w:after="0"/>
        <w:jc w:val="left"/>
        <w:rPr>
          <w:rFonts w:ascii="Times New Roman" w:hAnsi="Times New Roman"/>
          <w:b/>
          <w:sz w:val="17"/>
        </w:rPr>
      </w:pPr>
      <w:r>
        <w:rPr>
          <w:rFonts w:ascii="Times New Roman" w:hAnsi="Times New Roman"/>
          <w:b/>
          <w:sz w:val="17"/>
        </w:rPr>
        <w:t xml:space="preserve">Participation </w:t>
      </w:r>
    </w:p>
    <w:p>
      <w:pPr>
        <w:pStyle w:val="TextBody"/>
        <w:spacing w:before="120" w:after="0"/>
        <w:jc w:val="left"/>
        <w:rPr>
          <w:rFonts w:ascii="Times New Roman" w:hAnsi="Times New Roman"/>
          <w:i/>
          <w:sz w:val="17"/>
        </w:rPr>
      </w:pPr>
      <w:r>
        <w:rPr>
          <w:rFonts w:ascii="Times New Roman" w:hAnsi="Times New Roman"/>
          <w:i/>
          <w:sz w:val="17"/>
        </w:rPr>
        <w:t xml:space="preserve">4. Who is eligible to participate? </w:t>
      </w:r>
    </w:p>
    <w:p>
      <w:pPr>
        <w:pStyle w:val="TextBody"/>
        <w:spacing w:before="120" w:after="0"/>
        <w:jc w:val="left"/>
        <w:rPr>
          <w:rFonts w:ascii="Times New Roman" w:hAnsi="Times New Roman"/>
          <w:sz w:val="17"/>
        </w:rPr>
      </w:pPr>
      <w:r>
        <w:rPr>
          <w:rFonts w:ascii="Times New Roman" w:hAnsi="Times New Roman"/>
          <w:sz w:val="17"/>
        </w:rPr>
        <w:t>All holders of record of shares of Honeywell common stock are eligible to participate in the Plan. For any shareowner whose shares are registered in the name of someone else (</w:t>
      </w:r>
      <w:r>
        <w:rPr>
          <w:rFonts w:ascii="Times New Roman" w:hAnsi="Times New Roman"/>
          <w:i/>
          <w:sz w:val="17"/>
        </w:rPr>
        <w:t>e.g.</w:t>
      </w:r>
      <w:r>
        <w:rPr>
          <w:rFonts w:ascii="Times New Roman" w:hAnsi="Times New Roman"/>
          <w:sz w:val="17"/>
        </w:rPr>
        <w:t xml:space="preserve">, in the name of a broker or bank nominee) to participate, the shareowner must either become a shareowner of record by having some or all of such shares transferred into the shareowners own name, or make appropriate arrangements with the registered holder. </w:t>
      </w:r>
    </w:p>
    <w:p>
      <w:pPr>
        <w:pStyle w:val="TextBody"/>
        <w:spacing w:before="360" w:after="0"/>
        <w:jc w:val="left"/>
        <w:rPr>
          <w:rFonts w:ascii="Times New Roman" w:hAnsi="Times New Roman"/>
          <w:i/>
          <w:sz w:val="17"/>
        </w:rPr>
      </w:pPr>
      <w:r>
        <w:rPr>
          <w:rFonts w:ascii="Times New Roman" w:hAnsi="Times New Roman"/>
          <w:i/>
          <w:sz w:val="17"/>
        </w:rPr>
        <w:t xml:space="preserve">5. Is partial participation possible under the Plan? </w:t>
      </w:r>
    </w:p>
    <w:p>
      <w:pPr>
        <w:pStyle w:val="TextBody"/>
        <w:spacing w:before="120" w:after="0"/>
        <w:jc w:val="left"/>
        <w:rPr>
          <w:rFonts w:ascii="Times New Roman" w:hAnsi="Times New Roman"/>
          <w:sz w:val="17"/>
        </w:rPr>
      </w:pPr>
      <w:r>
        <w:rPr>
          <w:rFonts w:ascii="Times New Roman" w:hAnsi="Times New Roman"/>
          <w:sz w:val="17"/>
        </w:rPr>
        <w:t xml:space="preserve">Yes. A shareowner of record who desires the dividends on only some of its shares to be reinvested under the Plan may indicate such number of shares on the Authorization Form under Partial Dividend Reinvestment. Dividends on the remaining shares will not be reinvested and will be mailed directly to the participant. Under the Emergency Economic Stabilization Act, passed by Congress in 2008, you must reinvest at least 10% of your dividend distribution. </w:t>
      </w:r>
    </w:p>
    <w:p>
      <w:pPr>
        <w:pStyle w:val="TextBody"/>
        <w:spacing w:before="360" w:after="0"/>
        <w:jc w:val="left"/>
        <w:rPr>
          <w:rFonts w:ascii="Times New Roman" w:hAnsi="Times New Roman"/>
          <w:i/>
          <w:sz w:val="17"/>
        </w:rPr>
      </w:pPr>
      <w:r>
        <w:rPr>
          <w:rFonts w:ascii="Times New Roman" w:hAnsi="Times New Roman"/>
          <w:i/>
          <w:sz w:val="17"/>
        </w:rPr>
        <w:t xml:space="preserve">6. How does an eligible shareowner participate? </w:t>
      </w:r>
    </w:p>
    <w:p>
      <w:pPr>
        <w:pStyle w:val="TextBody"/>
        <w:spacing w:before="120" w:after="0"/>
        <w:jc w:val="left"/>
        <w:rPr>
          <w:rFonts w:ascii="Times New Roman" w:hAnsi="Times New Roman"/>
          <w:sz w:val="17"/>
        </w:rPr>
      </w:pPr>
      <w:r>
        <w:rPr>
          <w:rFonts w:ascii="Times New Roman" w:hAnsi="Times New Roman"/>
          <w:sz w:val="17"/>
        </w:rPr>
        <w:t xml:space="preserve">A holder of record of the common stock may join the Plan by signing an authorization form (the </w:t>
      </w:r>
      <w:r>
        <w:rPr>
          <w:rFonts w:ascii="Times New Roman" w:hAnsi="Times New Roman"/>
          <w:b/>
          <w:i/>
          <w:sz w:val="17"/>
        </w:rPr>
        <w:t>Authorization Form</w:t>
      </w:r>
      <w:r>
        <w:rPr>
          <w:rFonts w:ascii="Times New Roman" w:hAnsi="Times New Roman"/>
          <w:sz w:val="17"/>
        </w:rPr>
        <w:t xml:space="preserve">) and returning it to the Agent at the address set forth in Question 3. A business reply envelope will be provided with the Authorization Form for this purpose. An Authorization Form may be obtained at any time by calling the Agent at the number set forth in Question 3, or you may enroll online at </w:t>
      </w:r>
      <w:r>
        <w:rPr>
          <w:rFonts w:ascii="Times New Roman" w:hAnsi="Times New Roman"/>
          <w:b/>
          <w:sz w:val="17"/>
        </w:rPr>
        <w:t>shareowneronline.com</w:t>
      </w:r>
      <w:r>
        <w:rPr>
          <w:rFonts w:ascii="Times New Roman" w:hAnsi="Times New Roman"/>
          <w:sz w:val="17"/>
        </w:rPr>
        <w:t xml:space="preserve">. </w:t>
      </w:r>
    </w:p>
    <w:p>
      <w:pPr>
        <w:pStyle w:val="TextBody"/>
        <w:spacing w:before="360" w:after="0"/>
        <w:jc w:val="left"/>
        <w:rPr>
          <w:rFonts w:ascii="Times New Roman" w:hAnsi="Times New Roman"/>
          <w:i/>
          <w:sz w:val="17"/>
        </w:rPr>
      </w:pPr>
      <w:r>
        <w:rPr>
          <w:rFonts w:ascii="Times New Roman" w:hAnsi="Times New Roman"/>
          <w:i/>
          <w:sz w:val="17"/>
        </w:rPr>
        <w:t xml:space="preserve">7. When may an eligible shareowner join the Plan? </w:t>
      </w:r>
    </w:p>
    <w:p>
      <w:pPr>
        <w:pStyle w:val="TextBody"/>
        <w:spacing w:before="120" w:after="0"/>
        <w:jc w:val="left"/>
        <w:rPr>
          <w:rFonts w:ascii="Times New Roman" w:hAnsi="Times New Roman"/>
          <w:sz w:val="17"/>
        </w:rPr>
      </w:pPr>
      <w:r>
        <w:rPr>
          <w:rFonts w:ascii="Times New Roman" w:hAnsi="Times New Roman"/>
          <w:sz w:val="17"/>
        </w:rPr>
        <w:t xml:space="preserve">An eligible shareowner may join the Plan at any time. </w:t>
      </w:r>
    </w:p>
    <w:p>
      <w:pPr>
        <w:pStyle w:val="TextBody"/>
        <w:spacing w:before="240" w:after="0"/>
        <w:jc w:val="left"/>
        <w:rPr>
          <w:rFonts w:ascii="Times New Roman" w:hAnsi="Times New Roman"/>
          <w:sz w:val="17"/>
        </w:rPr>
      </w:pPr>
      <w:r>
        <w:rPr>
          <w:rFonts w:ascii="Times New Roman" w:hAnsi="Times New Roman"/>
          <w:sz w:val="17"/>
        </w:rPr>
        <w:t xml:space="preserve">If the Authorization Form is received by the Agent on or prior to the record date for a dividend payment, reinvestment of dividends will begin with that dividend payment date. If the Authorization Form is received after a record date, reinvestment of dividends will begin with the dividend payment date following the next record date. (Common stock dividend payment dates ordinarily are the tenth day of March, June, September and December, or the preceding business day if such tenth day is a Saturday or Sunday; corresponding record dates ordinarily precede payment dates by at least two weeks.)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Optional cash payments will be invested beginning with the first business day of the month following receipt by the Agent of the Authorization Form (which may be submitted online at </w:t>
      </w:r>
      <w:r>
        <w:rPr>
          <w:rFonts w:ascii="Times New Roman" w:hAnsi="Times New Roman"/>
          <w:b/>
          <w:sz w:val="17"/>
        </w:rPr>
        <w:t>shareowneronline.com</w:t>
      </w:r>
      <w:r>
        <w:rPr>
          <w:rFonts w:ascii="Times New Roman" w:hAnsi="Times New Roman"/>
          <w:sz w:val="17"/>
        </w:rPr>
        <w:t xml:space="preserve">), unless such month is a month in which common stock dividends are paid, in which case optional cash payments will be invested on the dividend payment date. </w:t>
      </w:r>
    </w:p>
    <w:p>
      <w:pPr>
        <w:pStyle w:val="TextBody"/>
        <w:spacing w:before="240" w:after="0"/>
        <w:jc w:val="left"/>
        <w:rPr>
          <w:rFonts w:ascii="Times New Roman" w:hAnsi="Times New Roman"/>
          <w:sz w:val="17"/>
        </w:rPr>
      </w:pPr>
      <w:r>
        <w:rPr>
          <w:rFonts w:ascii="Times New Roman" w:hAnsi="Times New Roman"/>
          <w:sz w:val="17"/>
        </w:rPr>
        <w:t xml:space="preserve">As used in the Plan, the term investment date means (a) the dividend payment date for those months in which there is a dividend payment date and (b) the first business day of a month in which there is no dividend payment date. </w:t>
      </w:r>
    </w:p>
    <w:p>
      <w:pPr>
        <w:pStyle w:val="TextBody"/>
        <w:spacing w:before="360" w:after="0"/>
        <w:jc w:val="left"/>
        <w:rPr>
          <w:rFonts w:ascii="Times New Roman" w:hAnsi="Times New Roman"/>
          <w:i/>
          <w:sz w:val="17"/>
        </w:rPr>
      </w:pPr>
      <w:r>
        <w:rPr>
          <w:rFonts w:ascii="Times New Roman" w:hAnsi="Times New Roman"/>
          <w:i/>
          <w:sz w:val="17"/>
        </w:rPr>
        <w:t xml:space="preserve">8. What does the Authorization Form provide? </w:t>
      </w:r>
    </w:p>
    <w:p>
      <w:pPr>
        <w:pStyle w:val="TextBody"/>
        <w:spacing w:before="120" w:after="0"/>
        <w:jc w:val="left"/>
        <w:rPr>
          <w:rFonts w:ascii="Times New Roman" w:hAnsi="Times New Roman"/>
          <w:sz w:val="17"/>
        </w:rPr>
      </w:pPr>
      <w:r>
        <w:rPr>
          <w:rFonts w:ascii="Times New Roman" w:hAnsi="Times New Roman"/>
          <w:sz w:val="17"/>
        </w:rPr>
        <w:t xml:space="preserve">The Authorization Form, which is available online at </w:t>
      </w:r>
      <w:r>
        <w:rPr>
          <w:rFonts w:ascii="Times New Roman" w:hAnsi="Times New Roman"/>
          <w:b/>
          <w:sz w:val="17"/>
        </w:rPr>
        <w:t>shareowneronline.com</w:t>
      </w:r>
      <w:r>
        <w:rPr>
          <w:rFonts w:ascii="Times New Roman" w:hAnsi="Times New Roman"/>
          <w:sz w:val="17"/>
        </w:rPr>
        <w:t xml:space="preserve">, provides for the purchase of additional shares of common stock through the following investment options: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A.</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FULL DIVIDEND REINVESTMENT, which directs Honeywell to pay to the Agent for reinvestment in accordance with the Plan all of the participants cash dividends on all shares of common stock then-registered or subsequently registered in the participants name, and which permits the participant to make optional cash payments for the purchase of additional shares in accordance with the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B.</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PARTIAL DIVIDEND REINVESTMENT, which directs Honeywell to pay to the Agent for reinvestment in accordance with the Plan all of the participants cash dividends on that number of shares of common stock registered in the participants name and designated in the appropriate space on the Authorization Form, and which permits the participant to make optional cash payments for the purchase of additional shares in accordance with the Plan. Under the Emergency Economic Stabilization Act, passed by Congress in 2008, you must reinvest at least 10% of your dividend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C.</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OPTIONAL CASH PURCHASES, which permits the participant to make optional cash payments for the purchase of additional shares in accordance with the Plan. </w:t>
            </w:r>
          </w:p>
        </w:tc>
      </w:tr>
    </w:tbl>
    <w:p>
      <w:pPr>
        <w:pStyle w:val="TextBody"/>
        <w:spacing w:before="240" w:after="0"/>
        <w:jc w:val="left"/>
        <w:rPr>
          <w:rFonts w:ascii="Times New Roman" w:hAnsi="Times New Roman"/>
          <w:sz w:val="17"/>
        </w:rPr>
      </w:pPr>
      <w:r>
        <w:rPr>
          <w:rFonts w:ascii="Times New Roman" w:hAnsi="Times New Roman"/>
          <w:sz w:val="17"/>
        </w:rPr>
        <w:t xml:space="preserve">A participant may select one of the dividend reinvestment options or the optional cash purchases option. Regardless of the option selected, cash dividends on all shares credited to a participants account under the Plan will be reinvested in accordance with the Plan. A participants election may be changed by written notice to the Agent at the address set forth in Question 3 or online at </w:t>
      </w:r>
      <w:r>
        <w:rPr>
          <w:rFonts w:ascii="Times New Roman" w:hAnsi="Times New Roman"/>
          <w:b/>
          <w:sz w:val="17"/>
        </w:rPr>
        <w:t>shareowneronline.com</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The Authorization Form also appoints the Agent as agent for each participant and directs the Agent to apply cash dividends and any optional cash payments a participant might make to the purchase of additional shares of common stock in accordance with the terms of the Plan. </w:t>
      </w:r>
    </w:p>
    <w:p>
      <w:pPr>
        <w:pStyle w:val="TextBody"/>
        <w:spacing w:before="360" w:after="0"/>
        <w:jc w:val="left"/>
        <w:rPr>
          <w:rFonts w:ascii="Times New Roman" w:hAnsi="Times New Roman"/>
          <w:b/>
          <w:sz w:val="17"/>
        </w:rPr>
      </w:pPr>
      <w:r>
        <w:rPr>
          <w:rFonts w:ascii="Times New Roman" w:hAnsi="Times New Roman"/>
          <w:b/>
          <w:sz w:val="17"/>
        </w:rPr>
        <w:t xml:space="preserve">Purchases </w:t>
      </w:r>
    </w:p>
    <w:p>
      <w:pPr>
        <w:pStyle w:val="TextBody"/>
        <w:spacing w:before="120" w:after="0"/>
        <w:jc w:val="left"/>
        <w:rPr>
          <w:rFonts w:ascii="Times New Roman" w:hAnsi="Times New Roman"/>
          <w:i/>
          <w:sz w:val="17"/>
        </w:rPr>
      </w:pPr>
      <w:r>
        <w:rPr>
          <w:rFonts w:ascii="Times New Roman" w:hAnsi="Times New Roman"/>
          <w:i/>
          <w:sz w:val="17"/>
        </w:rPr>
        <w:t xml:space="preserve">9. What will be the price of shares purchased under the Plan? </w:t>
      </w:r>
    </w:p>
    <w:p>
      <w:pPr>
        <w:pStyle w:val="TextBody"/>
        <w:spacing w:before="120" w:after="0"/>
        <w:jc w:val="left"/>
        <w:rPr>
          <w:rFonts w:ascii="Times New Roman" w:hAnsi="Times New Roman"/>
          <w:sz w:val="17"/>
        </w:rPr>
      </w:pPr>
      <w:r>
        <w:rPr>
          <w:rFonts w:ascii="Times New Roman" w:hAnsi="Times New Roman"/>
          <w:sz w:val="17"/>
        </w:rPr>
        <w:t xml:space="preserve">In the case of shares of common stock purchased from Honeywell with reinvested dividends or optional cash payments on any investment date, the purchase price will be the average of the high and low sales prices of the common stock reported as New York Stock Exchange Composite Transactions for the investment date (or the trading day immediately preceding the investment date, if the New York Stock Exchange is closed on the investment date). If there is no trading in the common stock on the New York Stock Exchange for a substantial amount of time during any investment date, the purchase price shall be determined by Honeywell on the basis of such market quotations as it shall deem appropriate. In the event of open market purchases of common stock, the purchase price will be as described in Question 34. Such purchase prices are hereinafter referred to collectively as the purchase prices and individually as the purchase price.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10. How many shares will be purchased for participants? </w:t>
      </w:r>
    </w:p>
    <w:p>
      <w:pPr>
        <w:pStyle w:val="TextBody"/>
        <w:spacing w:before="120" w:after="0"/>
        <w:jc w:val="left"/>
        <w:rPr>
          <w:rFonts w:ascii="Times New Roman" w:hAnsi="Times New Roman"/>
          <w:sz w:val="17"/>
        </w:rPr>
      </w:pPr>
      <w:r>
        <w:rPr>
          <w:rFonts w:ascii="Times New Roman" w:hAnsi="Times New Roman"/>
          <w:sz w:val="17"/>
        </w:rPr>
        <w:t xml:space="preserve">The number of shares to be purchased depends on the amount of a participants dividend and any optional cash payments and the purchase price of the shares. Each participants account will be credited with that number of shares, including fractions computed to three decimal places, equal to each participants total amount to be invested divided by the purchase price. </w:t>
      </w:r>
    </w:p>
    <w:p>
      <w:pPr>
        <w:pStyle w:val="TextBody"/>
        <w:spacing w:before="360" w:after="0"/>
        <w:jc w:val="left"/>
        <w:rPr>
          <w:rFonts w:ascii="Times New Roman" w:hAnsi="Times New Roman"/>
          <w:b/>
          <w:sz w:val="17"/>
        </w:rPr>
      </w:pPr>
      <w:r>
        <w:rPr>
          <w:rFonts w:ascii="Times New Roman" w:hAnsi="Times New Roman"/>
          <w:b/>
          <w:sz w:val="17"/>
        </w:rPr>
        <w:t xml:space="preserve">Optional Cash Purchases </w:t>
      </w:r>
    </w:p>
    <w:p>
      <w:pPr>
        <w:pStyle w:val="TextBody"/>
        <w:spacing w:before="120" w:after="0"/>
        <w:jc w:val="left"/>
        <w:rPr>
          <w:rFonts w:ascii="Times New Roman" w:hAnsi="Times New Roman"/>
          <w:i/>
          <w:sz w:val="17"/>
        </w:rPr>
      </w:pPr>
      <w:r>
        <w:rPr>
          <w:rFonts w:ascii="Times New Roman" w:hAnsi="Times New Roman"/>
          <w:i/>
          <w:sz w:val="17"/>
        </w:rPr>
        <w:t xml:space="preserve">11. How does the cash purchase option work? </w:t>
      </w:r>
    </w:p>
    <w:p>
      <w:pPr>
        <w:pStyle w:val="TextBody"/>
        <w:spacing w:before="120" w:after="0"/>
        <w:jc w:val="left"/>
        <w:rPr>
          <w:rFonts w:ascii="Times New Roman" w:hAnsi="Times New Roman"/>
          <w:sz w:val="17"/>
        </w:rPr>
      </w:pPr>
      <w:r>
        <w:rPr>
          <w:rFonts w:ascii="Times New Roman" w:hAnsi="Times New Roman"/>
          <w:sz w:val="17"/>
        </w:rPr>
        <w:t xml:space="preserve">Optional cash payments received by the Agent from a participant prior to an investment date (see Questions 13 and 14) will be applied by the Agent to the purchase of additional shares on the investment date (or as soon thereafter as possible if open market purchases are made under the circumstances described in Question 34). Cash dividends payable on all shares credited to the account of a participant under the Plan, whether such shares were purchased with reinvested dividends or optional cash payments, will be allocated according to your dividend reinvestment election. </w:t>
      </w:r>
    </w:p>
    <w:p>
      <w:pPr>
        <w:pStyle w:val="TextBody"/>
        <w:spacing w:before="360" w:after="0"/>
        <w:jc w:val="left"/>
        <w:rPr>
          <w:rFonts w:ascii="Times New Roman" w:hAnsi="Times New Roman"/>
          <w:i/>
          <w:sz w:val="17"/>
        </w:rPr>
      </w:pPr>
      <w:r>
        <w:rPr>
          <w:rFonts w:ascii="Times New Roman" w:hAnsi="Times New Roman"/>
          <w:i/>
          <w:sz w:val="17"/>
        </w:rPr>
        <w:t xml:space="preserve">12. How are optional cash payments made? </w:t>
      </w:r>
    </w:p>
    <w:p>
      <w:pPr>
        <w:pStyle w:val="TextBody"/>
        <w:spacing w:before="120" w:after="0"/>
        <w:jc w:val="left"/>
        <w:rPr>
          <w:rFonts w:ascii="Times New Roman" w:hAnsi="Times New Roman"/>
          <w:sz w:val="17"/>
        </w:rPr>
      </w:pPr>
      <w:r>
        <w:rPr>
          <w:rFonts w:ascii="Times New Roman" w:hAnsi="Times New Roman"/>
          <w:sz w:val="17"/>
        </w:rPr>
        <w:t xml:space="preserve">You can make additional cash investments in the Plan at any time either by check or by authorizing one-time or recurring automatic bank withdrawals from a U.S. or Canadian financial institution. </w:t>
      </w:r>
    </w:p>
    <w:p>
      <w:pPr>
        <w:pStyle w:val="TextBody"/>
        <w:spacing w:before="240" w:after="0"/>
        <w:jc w:val="left"/>
        <w:rPr>
          <w:rFonts w:ascii="Times New Roman" w:hAnsi="Times New Roman"/>
          <w:sz w:val="17"/>
        </w:rPr>
      </w:pPr>
      <w:r>
        <w:rPr>
          <w:rFonts w:ascii="Times New Roman" w:hAnsi="Times New Roman"/>
          <w:b/>
          <w:i/>
          <w:sz w:val="17"/>
        </w:rPr>
        <w:t>Check</w:t>
      </w:r>
      <w:r>
        <w:rPr>
          <w:rFonts w:ascii="Times New Roman" w:hAnsi="Times New Roman"/>
          <w:sz w:val="17"/>
        </w:rPr>
        <w:t xml:space="preserve">To make an investment by check, complete and return a Transaction Request Form (attached to your account statement) together with your payment. The check must be made payable to Shareowner Services in U.S. dollars and should be mailed to the Agent at the </w:t>
      </w:r>
      <w:r>
        <w:rPr>
          <w:rFonts w:ascii="Times New Roman" w:hAnsi="Times New Roman"/>
          <w:i/>
          <w:sz w:val="17"/>
        </w:rPr>
        <w:t>Written Correspondence</w:t>
      </w:r>
      <w:r>
        <w:rPr>
          <w:rFonts w:ascii="Times New Roman" w:hAnsi="Times New Roman"/>
          <w:sz w:val="17"/>
        </w:rPr>
        <w:t xml:space="preserve"> address set forth in Question 3. </w:t>
      </w:r>
    </w:p>
    <w:p>
      <w:pPr>
        <w:pStyle w:val="TextBody"/>
        <w:spacing w:before="240" w:after="0"/>
        <w:jc w:val="left"/>
        <w:rPr>
          <w:rFonts w:ascii="Times New Roman" w:hAnsi="Times New Roman"/>
          <w:sz w:val="17"/>
        </w:rPr>
      </w:pPr>
      <w:r>
        <w:rPr>
          <w:rFonts w:ascii="Times New Roman" w:hAnsi="Times New Roman"/>
          <w:b/>
          <w:i/>
          <w:sz w:val="17"/>
        </w:rPr>
        <w:t>One-time automatic withdrawal</w:t>
      </w:r>
      <w:r>
        <w:rPr>
          <w:rFonts w:ascii="Times New Roman" w:hAnsi="Times New Roman"/>
          <w:sz w:val="17"/>
        </w:rPr>
        <w:t xml:space="preserve">You can make a one-time automatic withdrawal from a designated checking or savings account at a qualified financial institution by signing on to </w:t>
      </w:r>
      <w:r>
        <w:rPr>
          <w:rFonts w:ascii="Times New Roman" w:hAnsi="Times New Roman"/>
          <w:b/>
          <w:sz w:val="17"/>
        </w:rPr>
        <w:t>shareowneronline.com</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b/>
          <w:i/>
          <w:sz w:val="17"/>
        </w:rPr>
        <w:t>Recurring automatic withdrawals</w:t>
      </w:r>
      <w:r>
        <w:rPr>
          <w:rFonts w:ascii="Times New Roman" w:hAnsi="Times New Roman"/>
          <w:sz w:val="17"/>
        </w:rPr>
        <w:t xml:space="preserve">You can make regular investments with automatic monthly withdrawals from a designated checking or savings account at a qualified financial institution. You can authorize automatic investments by signing on to </w:t>
      </w:r>
      <w:r>
        <w:rPr>
          <w:rFonts w:ascii="Times New Roman" w:hAnsi="Times New Roman"/>
          <w:b/>
          <w:sz w:val="17"/>
        </w:rPr>
        <w:t>shareowneronline.com</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No cash, money orders, travelers checks or third-party checks will be accepted by the Agent. Optional cash payments received from foreign shareowners must be in U.S. dollars and will be invested in the same manner as payments from other participants. </w:t>
      </w:r>
    </w:p>
    <w:p>
      <w:pPr>
        <w:pStyle w:val="TextBody"/>
        <w:spacing w:before="360" w:after="0"/>
        <w:jc w:val="left"/>
        <w:rPr>
          <w:rFonts w:ascii="Times New Roman" w:hAnsi="Times New Roman"/>
          <w:i/>
          <w:sz w:val="17"/>
        </w:rPr>
      </w:pPr>
      <w:r>
        <w:rPr>
          <w:rFonts w:ascii="Times New Roman" w:hAnsi="Times New Roman"/>
          <w:i/>
          <w:sz w:val="17"/>
        </w:rPr>
        <w:t xml:space="preserve">13. When will optional cash payments received by the Agent be invested? </w:t>
      </w:r>
    </w:p>
    <w:p>
      <w:pPr>
        <w:pStyle w:val="TextBody"/>
        <w:spacing w:before="120" w:after="0"/>
        <w:jc w:val="left"/>
        <w:rPr>
          <w:rFonts w:ascii="Times New Roman" w:hAnsi="Times New Roman"/>
          <w:sz w:val="17"/>
        </w:rPr>
      </w:pPr>
      <w:r>
        <w:rPr>
          <w:rFonts w:ascii="Times New Roman" w:hAnsi="Times New Roman"/>
          <w:sz w:val="17"/>
        </w:rPr>
        <w:t xml:space="preserve">Optional cash payments will be invested on the investment date in the case of shares purchased from Honeywell and as soon as possible (but not more than 30 days) thereafter in the case of open market purchases under the circumstances described in Question 34. </w:t>
      </w:r>
      <w:r>
        <w:rPr>
          <w:rFonts w:ascii="Times New Roman" w:hAnsi="Times New Roman"/>
          <w:b/>
          <w:sz w:val="17"/>
        </w:rPr>
        <w:t>Under no circumstances will interest be paid on optional cash payments</w:t>
      </w:r>
      <w:r>
        <w:rPr>
          <w:rFonts w:ascii="Times New Roman" w:hAnsi="Times New Roman"/>
          <w:sz w:val="17"/>
        </w:rPr>
        <w:t xml:space="preserve">. Participants are therefore strongly urged to transmit their optional cash payments so as to be received by the Agent as close as possible but prior to the investment date. </w:t>
      </w:r>
    </w:p>
    <w:p>
      <w:pPr>
        <w:pStyle w:val="TextBody"/>
        <w:spacing w:before="360" w:after="0"/>
        <w:jc w:val="left"/>
        <w:rPr>
          <w:rFonts w:ascii="Times New Roman" w:hAnsi="Times New Roman"/>
          <w:i/>
          <w:sz w:val="17"/>
        </w:rPr>
      </w:pPr>
      <w:r>
        <w:rPr>
          <w:rFonts w:ascii="Times New Roman" w:hAnsi="Times New Roman"/>
          <w:i/>
          <w:sz w:val="17"/>
        </w:rPr>
        <w:t xml:space="preserve">14. Under what circumstances will optional cash payments be returned? </w:t>
      </w:r>
    </w:p>
    <w:p>
      <w:pPr>
        <w:pStyle w:val="TextBody"/>
        <w:spacing w:before="120" w:after="0"/>
        <w:jc w:val="left"/>
        <w:rPr>
          <w:rFonts w:ascii="Times New Roman" w:hAnsi="Times New Roman"/>
          <w:sz w:val="17"/>
        </w:rPr>
      </w:pPr>
      <w:r>
        <w:rPr>
          <w:rFonts w:ascii="Times New Roman" w:hAnsi="Times New Roman"/>
          <w:sz w:val="17"/>
        </w:rPr>
        <w:t xml:space="preserve">Optional cash payments received by the Agent will be returned to the participant upon written request received by the Agent at least two business days prior to an investment date. The Agent may, however, delay issuance of any refund check for at least ten business days after receipt of the request to allow for clearance of the original payment. Any optional cash payments in excess of the $120,000 per calendar year limit will be returned, as will cash, money orders, travelers checks, third-party checks and checks not in U.S. dollars.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15. What happens if an optional cash payment is returned to the Agent due to insufficient funds? </w:t>
      </w:r>
    </w:p>
    <w:p>
      <w:pPr>
        <w:pStyle w:val="TextBody"/>
        <w:spacing w:before="120" w:after="0"/>
        <w:jc w:val="left"/>
        <w:rPr>
          <w:rFonts w:ascii="Times New Roman" w:hAnsi="Times New Roman"/>
          <w:sz w:val="17"/>
        </w:rPr>
      </w:pPr>
      <w:r>
        <w:rPr>
          <w:rFonts w:ascii="Times New Roman" w:hAnsi="Times New Roman"/>
          <w:sz w:val="17"/>
        </w:rPr>
        <w:t xml:space="preserve">If an optional cash payment is returned to the Agent due to insufficient funds, the Agent will debit any uninvested cash to satisfy the return of the optional cash payment amount. If the funds have already been invested, the Agent will sell the shares that have been purchased to satisfy the return of the optional cash payment amount. If the sale of the shares purchased is not sufficient to satisfy the return of the optional cash payment amount, the Agent will sell additional shares from the participants account to make up the difference. In addition, the Agent reserves the right to sell additional shares from the participants account to satisfy any fees related to the return of the optional cash payment amount. </w:t>
      </w:r>
    </w:p>
    <w:p>
      <w:pPr>
        <w:pStyle w:val="TextBody"/>
        <w:spacing w:before="360" w:after="0"/>
        <w:jc w:val="left"/>
        <w:rPr>
          <w:rFonts w:ascii="Times New Roman" w:hAnsi="Times New Roman"/>
          <w:b/>
          <w:sz w:val="17"/>
        </w:rPr>
      </w:pPr>
      <w:r>
        <w:rPr>
          <w:rFonts w:ascii="Times New Roman" w:hAnsi="Times New Roman"/>
          <w:b/>
          <w:sz w:val="17"/>
        </w:rPr>
        <w:t xml:space="preserve">Costs </w:t>
      </w:r>
    </w:p>
    <w:p>
      <w:pPr>
        <w:pStyle w:val="TextBody"/>
        <w:spacing w:before="120" w:after="0"/>
        <w:jc w:val="left"/>
        <w:rPr>
          <w:rFonts w:ascii="Times New Roman" w:hAnsi="Times New Roman"/>
          <w:i/>
          <w:sz w:val="17"/>
        </w:rPr>
      </w:pPr>
      <w:r>
        <w:rPr>
          <w:rFonts w:ascii="Times New Roman" w:hAnsi="Times New Roman"/>
          <w:i/>
          <w:sz w:val="17"/>
        </w:rPr>
        <w:t xml:space="preserve">16. Are there any out-of-pocket costs to participants in connection with participation in the Plan? </w:t>
      </w:r>
    </w:p>
    <w:p>
      <w:pPr>
        <w:pStyle w:val="TextBody"/>
        <w:spacing w:before="120" w:after="0"/>
        <w:jc w:val="left"/>
        <w:rPr>
          <w:rFonts w:ascii="Times New Roman" w:hAnsi="Times New Roman"/>
          <w:sz w:val="17"/>
        </w:rPr>
      </w:pPr>
      <w:r>
        <w:rPr>
          <w:rFonts w:ascii="Times New Roman" w:hAnsi="Times New Roman"/>
          <w:sz w:val="17"/>
        </w:rPr>
        <w:t xml:space="preserve">All costs of administration of the Plan are paid by Honeywell. No service charges or brokerage commissions are charged to participants in connection with the purchase of shares under the Plan. Certain expenses may be incurred by the participant if the participant requests the re-registration of shares upon the issuance of a certificate or if the participant requests that shares be sold upon their withdrawal from the Plan (see Questions 22, 23 and 24). In addition, any service charges imposed by the Agent in connection with termination of participation in the Plan (Question 24) will be passed on to the participant. For additional fees and expenses to be borne by the participant, see Question 34. </w:t>
      </w:r>
    </w:p>
    <w:p>
      <w:pPr>
        <w:pStyle w:val="TextBody"/>
        <w:spacing w:before="360" w:after="0"/>
        <w:jc w:val="left"/>
        <w:rPr>
          <w:rFonts w:ascii="Times New Roman" w:hAnsi="Times New Roman"/>
          <w:b/>
          <w:sz w:val="17"/>
        </w:rPr>
      </w:pPr>
      <w:r>
        <w:rPr>
          <w:rFonts w:ascii="Times New Roman" w:hAnsi="Times New Roman"/>
          <w:b/>
          <w:sz w:val="17"/>
        </w:rPr>
        <w:t xml:space="preserve">Taxes </w:t>
      </w:r>
    </w:p>
    <w:p>
      <w:pPr>
        <w:pStyle w:val="TextBody"/>
        <w:spacing w:before="120" w:after="0"/>
        <w:jc w:val="left"/>
        <w:rPr>
          <w:rFonts w:ascii="Times New Roman" w:hAnsi="Times New Roman"/>
          <w:i/>
          <w:sz w:val="17"/>
        </w:rPr>
      </w:pPr>
      <w:r>
        <w:rPr>
          <w:rFonts w:ascii="Times New Roman" w:hAnsi="Times New Roman"/>
          <w:i/>
          <w:sz w:val="17"/>
        </w:rPr>
        <w:t xml:space="preserve">17. What are the income tax consequences of participation in the Plan? </w:t>
      </w:r>
    </w:p>
    <w:p>
      <w:pPr>
        <w:pStyle w:val="TextBody"/>
        <w:spacing w:before="120" w:after="0"/>
        <w:jc w:val="left"/>
        <w:rPr>
          <w:rFonts w:ascii="Times New Roman" w:hAnsi="Times New Roman"/>
          <w:sz w:val="17"/>
        </w:rPr>
      </w:pPr>
      <w:r>
        <w:rPr>
          <w:rFonts w:ascii="Times New Roman" w:hAnsi="Times New Roman"/>
          <w:b/>
          <w:sz w:val="17"/>
        </w:rPr>
        <w:t xml:space="preserve">Under federal income tax law, in the case of shares acquired from Honeywell with reinvested dividends, a participant will realize, on the determination date (defined below), a taxable dividend in an amount equal to the fair market value on the determination date of the shares so acquired rather than a dividend in the amount of the cash otherwise payable to the participant. </w:t>
      </w:r>
      <w:r>
        <w:rPr>
          <w:rFonts w:ascii="Times New Roman" w:hAnsi="Times New Roman"/>
          <w:sz w:val="17"/>
        </w:rPr>
        <w:t xml:space="preserve">Such amount will also be the tax basis of the shares. Alternatively, when the Agent purchases shares on the open market with reinvested dividends, a participant will realize a taxable dividend in an amount equal to the purchase price of the shares so acquired plus any brokerage commissions paid by Honeywell which are attributable to the purchase of the participants shares. Such amount will also be the participants tax basis in such shares. </w:t>
      </w:r>
    </w:p>
    <w:p>
      <w:pPr>
        <w:pStyle w:val="TextBody"/>
        <w:spacing w:before="240" w:after="0"/>
        <w:jc w:val="left"/>
        <w:rPr>
          <w:rFonts w:ascii="Times New Roman" w:hAnsi="Times New Roman"/>
          <w:sz w:val="17"/>
        </w:rPr>
      </w:pPr>
      <w:r>
        <w:rPr>
          <w:rFonts w:ascii="Times New Roman" w:hAnsi="Times New Roman"/>
          <w:sz w:val="17"/>
        </w:rPr>
        <w:t xml:space="preserve">In the case of shares purchased with optional cash payments, a participant will not realize any taxable income if the shares are purchased from Honeywell. If the shares are purchased on the open market, a participant will realize a taxable dividend in an amount equal to any brokerage commissions paid by Honeywell which are attributable to the purchase of the participants shares. The tax basis of shares purchased with an optional cash payment and credited to the participants account will be the purchase price of such shares plus allocable brokerage commissions, if any. </w:t>
      </w:r>
    </w:p>
    <w:p>
      <w:pPr>
        <w:pStyle w:val="TextBody"/>
        <w:spacing w:before="240" w:after="0"/>
        <w:jc w:val="left"/>
        <w:rPr>
          <w:rFonts w:ascii="Times New Roman" w:hAnsi="Times New Roman"/>
          <w:sz w:val="17"/>
        </w:rPr>
      </w:pPr>
      <w:r>
        <w:rPr>
          <w:rFonts w:ascii="Times New Roman" w:hAnsi="Times New Roman"/>
          <w:sz w:val="17"/>
        </w:rPr>
        <w:t xml:space="preserve">For purposes of this Question 17, the fair market value of shares acquired with reinvested dividends will be the average of the high and low sales prices of the shares reported as New York Stock Exchange Composite Transactions for the determination date. The determination date will be the investment date in the case of shares purchased from Honeywell and the date shares are allocated to participants accounts in the case of open market purchases under the circumstances described in Question 34. </w:t>
      </w:r>
    </w:p>
    <w:p>
      <w:pPr>
        <w:pStyle w:val="TextBody"/>
        <w:spacing w:before="240" w:after="0"/>
        <w:jc w:val="left"/>
        <w:rPr>
          <w:rFonts w:ascii="Times New Roman" w:hAnsi="Times New Roman"/>
          <w:sz w:val="17"/>
        </w:rPr>
      </w:pPr>
      <w:r>
        <w:rPr>
          <w:rFonts w:ascii="Times New Roman" w:hAnsi="Times New Roman"/>
          <w:sz w:val="17"/>
        </w:rPr>
        <w:t xml:space="preserve">A participants holding period for shares acquired pursuant to the Plan will begin on the day following the determination date. </w:t>
      </w:r>
    </w:p>
    <w:p>
      <w:pPr>
        <w:pStyle w:val="TextBody"/>
        <w:spacing w:before="240" w:after="0"/>
        <w:jc w:val="left"/>
        <w:rPr>
          <w:rFonts w:ascii="Times New Roman" w:hAnsi="Times New Roman"/>
          <w:sz w:val="17"/>
        </w:rPr>
      </w:pPr>
      <w:r>
        <w:rPr>
          <w:rFonts w:ascii="Times New Roman" w:hAnsi="Times New Roman"/>
          <w:sz w:val="17"/>
        </w:rPr>
        <w:t xml:space="preserve">A participant will not realize any taxable income when the participant receives a certificate for whole shares credited to the participants account, either upon the participants request for certain of those shares or upon termination of the participants account.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 participant will realize gain or loss when shares are sold or exchanged, whether such sale or exchange is pursuant to the participants request under the Plan or takes place after withdrawal from the Plan and, in the case of a fraction of a share, when the participant receives a cash payment for the fraction. The amount of such gain or loss will be the difference between the amount which the participant receives for the shares or fraction of a share and the tax basis thereof. </w:t>
      </w:r>
    </w:p>
    <w:p>
      <w:pPr>
        <w:pStyle w:val="TextBody"/>
        <w:spacing w:before="240" w:after="0"/>
        <w:jc w:val="left"/>
        <w:rPr>
          <w:rFonts w:ascii="Times New Roman" w:hAnsi="Times New Roman"/>
          <w:sz w:val="17"/>
        </w:rPr>
      </w:pPr>
      <w:r>
        <w:rPr>
          <w:rFonts w:ascii="Times New Roman" w:hAnsi="Times New Roman"/>
          <w:sz w:val="17"/>
        </w:rPr>
        <w:t xml:space="preserve">All participants are urged to consult their own tax advisors to determine the particular tax consequences, including those under state and local tax laws, which may result from their participation in the Plan and the subsequent disposition of shares purchased pursuant to the Plan. The income tax consequences for participants who do not reside in the United States will vary from jurisdiction to jurisdiction. </w:t>
      </w:r>
    </w:p>
    <w:p>
      <w:pPr>
        <w:pStyle w:val="TextBody"/>
        <w:spacing w:before="360" w:after="0"/>
        <w:jc w:val="left"/>
        <w:rPr>
          <w:rFonts w:ascii="Times New Roman" w:hAnsi="Times New Roman"/>
          <w:i/>
          <w:sz w:val="17"/>
        </w:rPr>
      </w:pPr>
      <w:r>
        <w:rPr>
          <w:rFonts w:ascii="Times New Roman" w:hAnsi="Times New Roman"/>
          <w:i/>
          <w:sz w:val="17"/>
        </w:rPr>
        <w:t xml:space="preserve">18. What are the requirements for withholding for non-U.S. participants? </w:t>
      </w:r>
    </w:p>
    <w:p>
      <w:pPr>
        <w:pStyle w:val="TextBody"/>
        <w:spacing w:before="120" w:after="0"/>
        <w:jc w:val="left"/>
        <w:rPr>
          <w:rFonts w:ascii="Times New Roman" w:hAnsi="Times New Roman"/>
          <w:sz w:val="17"/>
        </w:rPr>
      </w:pPr>
      <w:r>
        <w:rPr>
          <w:rFonts w:ascii="Times New Roman" w:hAnsi="Times New Roman"/>
          <w:sz w:val="17"/>
        </w:rPr>
        <w:t xml:space="preserve">A participant who is a nonresident alien individual, a foreign corporation, or a person that is otherwise not subject to U.S. federal income tax on a net income basis in respect of the shares (a </w:t>
      </w:r>
      <w:r>
        <w:rPr>
          <w:rFonts w:ascii="Times New Roman" w:hAnsi="Times New Roman"/>
          <w:b/>
          <w:i/>
          <w:sz w:val="17"/>
        </w:rPr>
        <w:t>Non-U.S. participant</w:t>
      </w:r>
      <w:r>
        <w:rPr>
          <w:rFonts w:ascii="Times New Roman" w:hAnsi="Times New Roman"/>
          <w:sz w:val="17"/>
        </w:rPr>
        <w:t xml:space="preserve">) will be subject to U.S. federal withholding tax at a 30% rate, or such lower rate as may be specified by an applicable tax treaty with respect to any taxable dividends (as discussed in Question 17) received by such Non-U.S. participant. Even if a Non-U.S. participant is eligible for a lower treaty rate, Honeywell and other payers will generally be required to withhold at a 30% rate (rather than the lower treaty rate) on dividend payments to such Non-U.S. participant,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such Non-U.S. participant furnishes the applicable Internal Revenue Service Form W-8BEN or other documentary evidence establishing the Non-U.S. participants entitlement to the lower treaty rate with respect to such payments and neither Honeywell nor its Agent (or other payer) have actual knowledge or reason to know to the contrary,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if required by the Foreign Account Tax Compliance Act or any intergovernmental agreement enacted pursuant to that law, such Non-U.S. participant or any entity through with the participant receives dividends, and after December 31, 2018, gross proceeds from the sale or exchange of shares, if required, has provided the applicable withholding agent with certain information with respect to the participants or the entitys direct and indirect U.S. owners, and if a Non-U.S. participant holds the common stock through a foreign financial institution, such institution has entered into an agreement with the U.S. government to collect and provide to the U.S. tax authorities information about its accountholders (including certain investors in such institution or entity) and the participant has provided any required information to such institution, or has otherwise complied with the terms of an intergovernmental agreement. </w:t>
            </w:r>
          </w:p>
        </w:tc>
      </w:tr>
    </w:tbl>
    <w:p>
      <w:pPr>
        <w:pStyle w:val="TextBody"/>
        <w:spacing w:before="240" w:after="0"/>
        <w:jc w:val="left"/>
        <w:rPr>
          <w:rFonts w:ascii="Times New Roman" w:hAnsi="Times New Roman"/>
          <w:sz w:val="17"/>
        </w:rPr>
      </w:pPr>
      <w:r>
        <w:rPr>
          <w:rFonts w:ascii="Times New Roman" w:hAnsi="Times New Roman"/>
          <w:sz w:val="17"/>
        </w:rPr>
        <w:t xml:space="preserve">If a Non-U.S. participant is eligible for a reduced rate of U.S. federal withholding tax pursuant to an applicable income tax treaty or otherwise, such Non-U.S. participant may obtain a refund of any excess amounts withheld by timely filing an appropriate claim for refund with the IRS. Non-U.S. participants are encouraged to consult with their own tax advisors regarding the possible implications of these withholding requirements on their participation in the Plan. </w:t>
      </w:r>
    </w:p>
    <w:p>
      <w:pPr>
        <w:pStyle w:val="TextBody"/>
        <w:spacing w:before="360" w:after="0"/>
        <w:jc w:val="left"/>
        <w:rPr>
          <w:rFonts w:ascii="Times New Roman" w:hAnsi="Times New Roman"/>
          <w:i/>
          <w:sz w:val="17"/>
        </w:rPr>
      </w:pPr>
      <w:r>
        <w:rPr>
          <w:rFonts w:ascii="Times New Roman" w:hAnsi="Times New Roman"/>
          <w:i/>
          <w:sz w:val="17"/>
        </w:rPr>
        <w:t xml:space="preserve">19. What are the requirements for back-up withholding? </w:t>
      </w:r>
    </w:p>
    <w:p>
      <w:pPr>
        <w:pStyle w:val="TextBody"/>
        <w:spacing w:before="120" w:after="0"/>
        <w:jc w:val="left"/>
        <w:rPr>
          <w:rFonts w:ascii="Times New Roman" w:hAnsi="Times New Roman"/>
          <w:sz w:val="17"/>
        </w:rPr>
      </w:pPr>
      <w:r>
        <w:rPr>
          <w:rFonts w:ascii="Times New Roman" w:hAnsi="Times New Roman"/>
          <w:sz w:val="17"/>
        </w:rPr>
        <w:t xml:space="preserve">Under federal income tax law, a participant in the Plan may be subject to backup withholding (currently at the rate of 28%) with respect to the amount of dividends attributable to the participants shares of common stock or from the proceeds of the sale of a fraction of a share or whole shares under the Plan unless the participant (a) is an exempt participant (including, among others, all corporations and certain foreign individuals) or (b) provides the participants correct taxpayer identification number to the Agent, certifies as to no loss of exemption from backup withholding and otherwise complies with applicable requirements of the backup withholding rules. In order to qualify as exempt, a foreign individual participant must submit a statement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attesting to that individuals exempt status. Amounts paid as backup withholding do not constitute an additional tax and would be allowable as a credit against the participants federal income tax liability. Any withheld amounts will be deducted from the amount of dividends to determine the amount of dividends available for reinvestment. </w:t>
      </w:r>
    </w:p>
    <w:p>
      <w:pPr>
        <w:pStyle w:val="TextBody"/>
        <w:spacing w:before="240" w:after="0"/>
        <w:jc w:val="left"/>
        <w:rPr>
          <w:rFonts w:ascii="Times New Roman" w:hAnsi="Times New Roman"/>
          <w:sz w:val="17"/>
        </w:rPr>
      </w:pPr>
      <w:r>
        <w:rPr>
          <w:rFonts w:ascii="Times New Roman" w:hAnsi="Times New Roman"/>
          <w:sz w:val="17"/>
        </w:rPr>
        <w:t xml:space="preserve">Forms for certifying a participants taxpayer identification number and for establishing the exemption of a foreign individual participant from backup withholding, as well as additional information concerning the requirements for certification, may be obtained by writing the Agent at the address set forth in Question 3. Participants should consult their own tax advisors as to their qualification for exemption from backup withholding and the procedure for obtaining such an exemption. </w:t>
      </w:r>
    </w:p>
    <w:p>
      <w:pPr>
        <w:pStyle w:val="TextBody"/>
        <w:spacing w:before="360" w:after="0"/>
        <w:jc w:val="left"/>
        <w:rPr>
          <w:rFonts w:ascii="Times New Roman" w:hAnsi="Times New Roman"/>
          <w:b/>
          <w:sz w:val="17"/>
        </w:rPr>
      </w:pPr>
      <w:r>
        <w:rPr>
          <w:rFonts w:ascii="Times New Roman" w:hAnsi="Times New Roman"/>
          <w:b/>
          <w:sz w:val="17"/>
        </w:rPr>
        <w:t xml:space="preserve">Reports to Participants </w:t>
      </w:r>
    </w:p>
    <w:p>
      <w:pPr>
        <w:pStyle w:val="TextBody"/>
        <w:spacing w:before="120" w:after="0"/>
        <w:jc w:val="left"/>
        <w:rPr>
          <w:rFonts w:ascii="Times New Roman" w:hAnsi="Times New Roman"/>
          <w:i/>
          <w:sz w:val="17"/>
        </w:rPr>
      </w:pPr>
      <w:r>
        <w:rPr>
          <w:rFonts w:ascii="Times New Roman" w:hAnsi="Times New Roman"/>
          <w:i/>
          <w:sz w:val="17"/>
        </w:rPr>
        <w:t xml:space="preserve">20. What kind of reports will be sent to participants in the Plan? </w:t>
      </w:r>
    </w:p>
    <w:p>
      <w:pPr>
        <w:pStyle w:val="TextBody"/>
        <w:spacing w:before="120" w:after="0"/>
        <w:jc w:val="left"/>
        <w:rPr>
          <w:rFonts w:ascii="Times New Roman" w:hAnsi="Times New Roman"/>
          <w:sz w:val="17"/>
        </w:rPr>
      </w:pPr>
      <w:r>
        <w:rPr>
          <w:rFonts w:ascii="Times New Roman" w:hAnsi="Times New Roman"/>
          <w:sz w:val="17"/>
        </w:rPr>
        <w:t xml:space="preserve">As soon as administratively possible after each dividend payment date, a quarterly statement of account will be mailed to each participant by the Agent. In addition, a monthly statement will be mailed as soon as administratively possible after the investment date to those participants investing optional cash payments in months in which there is no dividend payment date. </w:t>
      </w:r>
      <w:r>
        <w:rPr>
          <w:rFonts w:ascii="Times New Roman" w:hAnsi="Times New Roman"/>
          <w:b/>
          <w:sz w:val="17"/>
        </w:rPr>
        <w:t>The latest statement of account for any year contains year-to-date information and should be retained for income tax purposes since it provides the participant with a record of the cost of the participants purchases during that year.</w:t>
      </w:r>
      <w:r>
        <w:rPr>
          <w:rFonts w:ascii="Times New Roman" w:hAnsi="Times New Roman"/>
          <w:sz w:val="17"/>
        </w:rPr>
        <w:t xml:space="preserve"> In addition, each participant will receive copies of communications sent to holders of the common stock, including a Notice of Internet Availability of Proxy Materials or Honeywells annual report to shareowners, notice of annual meeting and proxy statement, and any Internal Revenue Service information for reporting dividend income (</w:t>
      </w:r>
      <w:r>
        <w:rPr>
          <w:rFonts w:ascii="Times New Roman" w:hAnsi="Times New Roman"/>
          <w:i/>
          <w:sz w:val="17"/>
        </w:rPr>
        <w:t>i.e.</w:t>
      </w:r>
      <w:r>
        <w:rPr>
          <w:rFonts w:ascii="Times New Roman" w:hAnsi="Times New Roman"/>
          <w:sz w:val="17"/>
        </w:rPr>
        <w:t xml:space="preserve">, Form 1099). </w:t>
      </w:r>
    </w:p>
    <w:p>
      <w:pPr>
        <w:pStyle w:val="TextBody"/>
        <w:spacing w:before="360" w:after="0"/>
        <w:jc w:val="left"/>
        <w:rPr>
          <w:rFonts w:ascii="Times New Roman" w:hAnsi="Times New Roman"/>
          <w:b/>
          <w:sz w:val="17"/>
        </w:rPr>
      </w:pPr>
      <w:r>
        <w:rPr>
          <w:rFonts w:ascii="Times New Roman" w:hAnsi="Times New Roman"/>
          <w:b/>
          <w:sz w:val="17"/>
        </w:rPr>
        <w:t xml:space="preserve">Dividends on Fractions of Shares </w:t>
      </w:r>
    </w:p>
    <w:p>
      <w:pPr>
        <w:pStyle w:val="TextBody"/>
        <w:spacing w:before="120" w:after="0"/>
        <w:jc w:val="left"/>
        <w:rPr>
          <w:rFonts w:ascii="Times New Roman" w:hAnsi="Times New Roman"/>
          <w:i/>
          <w:sz w:val="17"/>
        </w:rPr>
      </w:pPr>
      <w:r>
        <w:rPr>
          <w:rFonts w:ascii="Times New Roman" w:hAnsi="Times New Roman"/>
          <w:i/>
          <w:sz w:val="17"/>
        </w:rPr>
        <w:t xml:space="preserve">21. Will participants be credited with dividends on fractions of shares? </w:t>
      </w:r>
    </w:p>
    <w:p>
      <w:pPr>
        <w:pStyle w:val="TextBody"/>
        <w:spacing w:before="120" w:after="0"/>
        <w:jc w:val="left"/>
        <w:rPr>
          <w:rFonts w:ascii="Times New Roman" w:hAnsi="Times New Roman"/>
          <w:sz w:val="17"/>
        </w:rPr>
      </w:pPr>
      <w:r>
        <w:rPr>
          <w:rFonts w:ascii="Times New Roman" w:hAnsi="Times New Roman"/>
          <w:sz w:val="17"/>
        </w:rPr>
        <w:t xml:space="preserve">Yes. Dividends with respect to fractions of shares held under the Plan, as well as whole shares, will be credited to the participants account and will be reinvested according to your dividend reinvestment option. </w:t>
      </w:r>
    </w:p>
    <w:p>
      <w:pPr>
        <w:pStyle w:val="TextBody"/>
        <w:spacing w:before="360" w:after="0"/>
        <w:jc w:val="left"/>
        <w:rPr>
          <w:rFonts w:ascii="Times New Roman" w:hAnsi="Times New Roman"/>
          <w:b/>
          <w:sz w:val="17"/>
        </w:rPr>
      </w:pPr>
      <w:r>
        <w:rPr>
          <w:rFonts w:ascii="Times New Roman" w:hAnsi="Times New Roman"/>
          <w:b/>
          <w:sz w:val="17"/>
        </w:rPr>
        <w:t xml:space="preserve">Certificates for Shares </w:t>
      </w:r>
    </w:p>
    <w:p>
      <w:pPr>
        <w:pStyle w:val="TextBody"/>
        <w:spacing w:before="120" w:after="0"/>
        <w:jc w:val="left"/>
        <w:rPr>
          <w:rFonts w:ascii="Times New Roman" w:hAnsi="Times New Roman"/>
          <w:i/>
          <w:sz w:val="17"/>
        </w:rPr>
      </w:pPr>
      <w:r>
        <w:rPr>
          <w:rFonts w:ascii="Times New Roman" w:hAnsi="Times New Roman"/>
          <w:i/>
          <w:sz w:val="17"/>
        </w:rPr>
        <w:t xml:space="preserve">22. Will certificates be issued for shares purchased? </w:t>
      </w:r>
    </w:p>
    <w:p>
      <w:pPr>
        <w:pStyle w:val="TextBody"/>
        <w:spacing w:before="120" w:after="0"/>
        <w:jc w:val="left"/>
        <w:rPr>
          <w:rFonts w:ascii="Times New Roman" w:hAnsi="Times New Roman"/>
          <w:sz w:val="17"/>
        </w:rPr>
      </w:pPr>
      <w:r>
        <w:rPr>
          <w:rFonts w:ascii="Times New Roman" w:hAnsi="Times New Roman"/>
          <w:sz w:val="17"/>
        </w:rPr>
        <w:t xml:space="preserve">No certificate will be issued for shares credited to a participants account unless the participant so requests the Agent in writing as indicated below. The number of shares credited to an account under the Plan will be shown on the participants latest statement of account. This service protects against loss, theft or destruction of stock certificates. </w:t>
      </w:r>
    </w:p>
    <w:p>
      <w:pPr>
        <w:pStyle w:val="TextBody"/>
        <w:spacing w:before="240" w:after="0"/>
        <w:jc w:val="left"/>
        <w:rPr>
          <w:rFonts w:ascii="Times New Roman" w:hAnsi="Times New Roman"/>
          <w:sz w:val="17"/>
        </w:rPr>
      </w:pPr>
      <w:r>
        <w:rPr>
          <w:rFonts w:ascii="Times New Roman" w:hAnsi="Times New Roman"/>
          <w:sz w:val="17"/>
        </w:rPr>
        <w:t xml:space="preserve">At any time, a participant may request a certificate for (or the sale of) all or part of the whole shares credited to the participants account by checking the appropriate box on the tear-off section attached to a recent statement of account provided by the Agent and mailing it to the Agent at the address set forth in Question 3. In addition, a participant may make such a request online at </w:t>
      </w:r>
      <w:r>
        <w:rPr>
          <w:rFonts w:ascii="Times New Roman" w:hAnsi="Times New Roman"/>
          <w:b/>
          <w:sz w:val="17"/>
        </w:rPr>
        <w:t>shareowneronline.com</w:t>
      </w:r>
      <w:r>
        <w:rPr>
          <w:rFonts w:ascii="Times New Roman" w:hAnsi="Times New Roman"/>
          <w:sz w:val="17"/>
        </w:rPr>
        <w:t xml:space="preserve">. For online access to a participants account, the participant must know his or her account number and social security number. The request should contain a reference to Honeywell International Inc. If a sale is requested, the Agent will sell the shares at market within five business days after receipt of the request, and the participant will receive the proceeds from the sale, less any brokerage commission and service charges. Any remaining whole shares and fraction of a share will continue to be credited to the participants account. In no event will a certificate for a fraction of a share be issued to participants.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Shares credited to the account of a participant under the Plan may not be pledged or assigned and any such purported pledge or assignment shall be void. A participant who wishes to pledge or assign any of the shares must request that a certificate for those shares be issued in the participants name. </w:t>
      </w:r>
    </w:p>
    <w:p>
      <w:pPr>
        <w:pStyle w:val="TextBody"/>
        <w:spacing w:before="240" w:after="0"/>
        <w:jc w:val="left"/>
        <w:rPr>
          <w:rFonts w:ascii="Times New Roman" w:hAnsi="Times New Roman"/>
          <w:sz w:val="17"/>
        </w:rPr>
      </w:pPr>
      <w:r>
        <w:rPr>
          <w:rFonts w:ascii="Times New Roman" w:hAnsi="Times New Roman"/>
          <w:sz w:val="17"/>
        </w:rPr>
        <w:t xml:space="preserve">An institution that is required by law to maintain physical possession of certificates may request a special arrangement regarding the issuance of certificates for whole shares purchased under the Plan. This request should be mailed to the Agent at the address set forth in Question 3. </w:t>
      </w:r>
    </w:p>
    <w:p>
      <w:pPr>
        <w:pStyle w:val="TextBody"/>
        <w:spacing w:before="360" w:after="0"/>
        <w:jc w:val="left"/>
        <w:rPr>
          <w:rFonts w:ascii="Times New Roman" w:hAnsi="Times New Roman"/>
          <w:i/>
          <w:sz w:val="17"/>
        </w:rPr>
      </w:pPr>
      <w:r>
        <w:rPr>
          <w:rFonts w:ascii="Times New Roman" w:hAnsi="Times New Roman"/>
          <w:i/>
          <w:sz w:val="17"/>
        </w:rPr>
        <w:t xml:space="preserve">23. In whose name will certificates be registered when issued to participants? </w:t>
      </w:r>
    </w:p>
    <w:p>
      <w:pPr>
        <w:pStyle w:val="TextBody"/>
        <w:spacing w:before="120" w:after="0"/>
        <w:jc w:val="left"/>
        <w:rPr>
          <w:rFonts w:ascii="Times New Roman" w:hAnsi="Times New Roman"/>
          <w:sz w:val="17"/>
        </w:rPr>
      </w:pPr>
      <w:r>
        <w:rPr>
          <w:rFonts w:ascii="Times New Roman" w:hAnsi="Times New Roman"/>
          <w:sz w:val="17"/>
        </w:rPr>
        <w:t xml:space="preserve">Shareowner accounts under the Plan are maintained in the names in which certificates of participants were registered at the time they joined the Plan. Consequently, certificates for whole shares will be similarly registered when issued. If a participant wants these shares registered in any name other than that of the holder of record participating in the Plan or wants to transfer shares to another Plan account, the participant should contact the Agent at the address or telephone number set forth in Question 3 to request the appropriate forms. In the event of such re-registration or transfer, a participant would be responsible for any possible transaction fees and for compliance with any applicable transfer requirements. </w:t>
      </w:r>
    </w:p>
    <w:p>
      <w:pPr>
        <w:pStyle w:val="TextBody"/>
        <w:spacing w:before="360" w:after="0"/>
        <w:jc w:val="left"/>
        <w:rPr>
          <w:rFonts w:ascii="Times New Roman" w:hAnsi="Times New Roman"/>
          <w:b/>
          <w:sz w:val="17"/>
        </w:rPr>
      </w:pPr>
      <w:r>
        <w:rPr>
          <w:rFonts w:ascii="Times New Roman" w:hAnsi="Times New Roman"/>
          <w:b/>
          <w:sz w:val="17"/>
        </w:rPr>
        <w:t xml:space="preserve">Termination of Participation in the Plan </w:t>
      </w:r>
    </w:p>
    <w:p>
      <w:pPr>
        <w:pStyle w:val="TextBody"/>
        <w:spacing w:before="120" w:after="0"/>
        <w:jc w:val="left"/>
        <w:rPr>
          <w:rFonts w:ascii="Times New Roman" w:hAnsi="Times New Roman"/>
          <w:i/>
          <w:sz w:val="17"/>
        </w:rPr>
      </w:pPr>
      <w:r>
        <w:rPr>
          <w:rFonts w:ascii="Times New Roman" w:hAnsi="Times New Roman"/>
          <w:i/>
          <w:sz w:val="17"/>
        </w:rPr>
        <w:t xml:space="preserve">24. How is participation in the Plan terminated? </w:t>
      </w:r>
    </w:p>
    <w:p>
      <w:pPr>
        <w:pStyle w:val="TextBody"/>
        <w:spacing w:before="120" w:after="0"/>
        <w:jc w:val="left"/>
        <w:rPr>
          <w:rFonts w:ascii="Times New Roman" w:hAnsi="Times New Roman"/>
          <w:sz w:val="17"/>
        </w:rPr>
      </w:pPr>
      <w:r>
        <w:rPr>
          <w:rFonts w:ascii="Times New Roman" w:hAnsi="Times New Roman"/>
          <w:sz w:val="17"/>
        </w:rPr>
        <w:t xml:space="preserve">To terminate participation in the Plan, a participant (or participants if a joint registration) must notify the Agent by checking the appropriate box on the tear-off section attached to a recent statement of account provided by the Agent and mailing it to the Agent at the address set forth in Question 3. A participation in the Plan may also be terminated online at </w:t>
      </w:r>
      <w:r>
        <w:rPr>
          <w:rFonts w:ascii="Times New Roman" w:hAnsi="Times New Roman"/>
          <w:b/>
          <w:sz w:val="17"/>
        </w:rPr>
        <w:t>shareowneronline.com</w:t>
      </w:r>
      <w:r>
        <w:rPr>
          <w:rFonts w:ascii="Times New Roman" w:hAnsi="Times New Roman"/>
          <w:sz w:val="17"/>
        </w:rPr>
        <w:t xml:space="preserve">. If a participant elects to keep their shares, the whole shares held in the Plan balance will be moved to book-entry Direct Registration Shares (DRS). Any fractional shares will be sold at the market price, and you will receive a check (less any fees) for the proceeds. If a participant chooses to sell all of their shares, the sale proceeds, less applicable taxes and transaction fees, will be remitted to the participant via check or the participant can choose to have the proceeds directly deposited into their bank account. </w:t>
      </w:r>
    </w:p>
    <w:p>
      <w:pPr>
        <w:pStyle w:val="TextBody"/>
        <w:spacing w:before="360" w:after="0"/>
        <w:jc w:val="left"/>
        <w:rPr>
          <w:rFonts w:ascii="Times New Roman" w:hAnsi="Times New Roman"/>
          <w:i/>
          <w:sz w:val="17"/>
        </w:rPr>
      </w:pPr>
      <w:r>
        <w:rPr>
          <w:rFonts w:ascii="Times New Roman" w:hAnsi="Times New Roman"/>
          <w:i/>
          <w:sz w:val="17"/>
        </w:rPr>
        <w:t xml:space="preserve">25. When may participation in the Plan be terminated? </w:t>
      </w:r>
    </w:p>
    <w:p>
      <w:pPr>
        <w:pStyle w:val="TextBody"/>
        <w:spacing w:before="120" w:after="0"/>
        <w:jc w:val="left"/>
        <w:rPr>
          <w:rFonts w:ascii="Times New Roman" w:hAnsi="Times New Roman"/>
          <w:sz w:val="17"/>
        </w:rPr>
      </w:pPr>
      <w:r>
        <w:rPr>
          <w:rFonts w:ascii="Times New Roman" w:hAnsi="Times New Roman"/>
          <w:sz w:val="17"/>
        </w:rPr>
        <w:t xml:space="preserve">A participant may request termination of participation in the Plan at any time. </w:t>
      </w:r>
    </w:p>
    <w:p>
      <w:pPr>
        <w:pStyle w:val="TextBody"/>
        <w:spacing w:before="240" w:after="0"/>
        <w:jc w:val="left"/>
        <w:rPr>
          <w:rFonts w:ascii="Times New Roman" w:hAnsi="Times New Roman"/>
          <w:sz w:val="17"/>
        </w:rPr>
      </w:pPr>
      <w:r>
        <w:rPr>
          <w:rFonts w:ascii="Times New Roman" w:hAnsi="Times New Roman"/>
          <w:sz w:val="17"/>
        </w:rPr>
        <w:t xml:space="preserve">If the request to terminate is received by the Agent prior to the record date for a dividend, the request will be processed as soon as administratively possible. </w:t>
      </w:r>
    </w:p>
    <w:p>
      <w:pPr>
        <w:pStyle w:val="TextBody"/>
        <w:spacing w:before="240" w:after="0"/>
        <w:jc w:val="left"/>
        <w:rPr>
          <w:rFonts w:ascii="Times New Roman" w:hAnsi="Times New Roman"/>
          <w:sz w:val="17"/>
        </w:rPr>
      </w:pPr>
      <w:r>
        <w:rPr>
          <w:rFonts w:ascii="Times New Roman" w:hAnsi="Times New Roman"/>
          <w:sz w:val="17"/>
        </w:rPr>
        <w:t xml:space="preserve">If the request to terminate is received by the Agent at least three business days prior to a dividend payment date, the dividend will be paid to the participant in cash. If the request to terminate is received by the Agent less than three business days prior to the dividend payment date, any cash dividend paid on the dividend payment date will be reinvested for the participants account. Any optional cash payment which had been sent to the Agent prior to the request to terminate will be invested unless return of the amount is expressly requested in the termination request and the request is received at least two business days prior to the investment date. The request to terminate will be processed as promptly as possible. </w:t>
      </w:r>
    </w:p>
    <w:p>
      <w:pPr>
        <w:pStyle w:val="TextBody"/>
        <w:spacing w:before="240" w:after="0"/>
        <w:jc w:val="left"/>
        <w:rPr>
          <w:rFonts w:ascii="Times New Roman" w:hAnsi="Times New Roman"/>
          <w:sz w:val="17"/>
        </w:rPr>
      </w:pPr>
      <w:r>
        <w:rPr>
          <w:rFonts w:ascii="Times New Roman" w:hAnsi="Times New Roman"/>
          <w:sz w:val="17"/>
        </w:rPr>
        <w:t xml:space="preserve">All dividends subsequent to termination of participation will be paid to the participant in cash unless the participant re-enrolls in the Plan, which may be done at any time.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Safekeeping </w:t>
      </w:r>
    </w:p>
    <w:p>
      <w:pPr>
        <w:pStyle w:val="TextBody"/>
        <w:spacing w:before="120" w:after="0"/>
        <w:jc w:val="left"/>
        <w:rPr>
          <w:rFonts w:ascii="Times New Roman" w:hAnsi="Times New Roman"/>
          <w:i/>
          <w:sz w:val="17"/>
        </w:rPr>
      </w:pPr>
      <w:r>
        <w:rPr>
          <w:rFonts w:ascii="Times New Roman" w:hAnsi="Times New Roman"/>
          <w:i/>
          <w:sz w:val="17"/>
        </w:rPr>
        <w:t xml:space="preserve">26. Will the Agent accept a participants underlying certificates for safekeeping? </w:t>
      </w:r>
    </w:p>
    <w:p>
      <w:pPr>
        <w:pStyle w:val="TextBody"/>
        <w:spacing w:before="120" w:after="0"/>
        <w:jc w:val="left"/>
        <w:rPr>
          <w:rFonts w:ascii="Times New Roman" w:hAnsi="Times New Roman"/>
          <w:sz w:val="17"/>
        </w:rPr>
      </w:pPr>
      <w:r>
        <w:rPr>
          <w:rFonts w:ascii="Times New Roman" w:hAnsi="Times New Roman"/>
          <w:sz w:val="17"/>
        </w:rPr>
        <w:t xml:space="preserve">Yes. Participants in the Plan who wish to do so may deposit common stock certificates registered in their names with the Agent for safekeeping. This custodial service relieves a participant of the responsibility for loss, theft or destruction of the certificates. The shares represented by the deposited certificates will be transferred into the name of the Agent or its nominee and the Agent will credit the shares to the participants Plan account. Dividends paid on all shares held for safekeeping by the Agent will be reinvested according to the participants dividend reinvestment election. </w:t>
      </w:r>
    </w:p>
    <w:p>
      <w:pPr>
        <w:pStyle w:val="TextBody"/>
        <w:spacing w:before="240" w:after="0"/>
        <w:jc w:val="left"/>
        <w:rPr>
          <w:rFonts w:ascii="Times New Roman" w:hAnsi="Times New Roman"/>
          <w:sz w:val="17"/>
        </w:rPr>
      </w:pPr>
      <w:r>
        <w:rPr>
          <w:rFonts w:ascii="Times New Roman" w:hAnsi="Times New Roman"/>
          <w:sz w:val="17"/>
        </w:rPr>
        <w:t xml:space="preserve">Participants who wish to deposit certificates should send their certificates (which should not be endorsed) to the Agent at the address set forth in Question 3, along with a written request that the certificates be deposited by the Agent for safekeeping under the Plan. Because the participant bears the risk of loss in sending certificates to the Agent, it is recommended that the certificates be sent by registered mail, return receipt requested and properly insured. </w:t>
      </w:r>
    </w:p>
    <w:p>
      <w:pPr>
        <w:pStyle w:val="TextBody"/>
        <w:spacing w:before="360" w:after="0"/>
        <w:jc w:val="left"/>
        <w:rPr>
          <w:rFonts w:ascii="Times New Roman" w:hAnsi="Times New Roman"/>
          <w:b/>
          <w:sz w:val="17"/>
        </w:rPr>
      </w:pPr>
      <w:r>
        <w:rPr>
          <w:rFonts w:ascii="Times New Roman" w:hAnsi="Times New Roman"/>
          <w:b/>
          <w:sz w:val="17"/>
        </w:rPr>
        <w:t xml:space="preserve">Sale or Transfer of Shares </w:t>
      </w:r>
    </w:p>
    <w:p>
      <w:pPr>
        <w:pStyle w:val="TextBody"/>
        <w:spacing w:before="120" w:after="0"/>
        <w:jc w:val="left"/>
        <w:rPr>
          <w:rFonts w:ascii="Times New Roman" w:hAnsi="Times New Roman"/>
          <w:i/>
          <w:sz w:val="17"/>
        </w:rPr>
      </w:pPr>
      <w:r>
        <w:rPr>
          <w:rFonts w:ascii="Times New Roman" w:hAnsi="Times New Roman"/>
          <w:i/>
          <w:sz w:val="17"/>
        </w:rPr>
        <w:t xml:space="preserve">27. What happens when a participant sells or transfers all of the shares registered in the participants name? </w:t>
      </w:r>
    </w:p>
    <w:p>
      <w:pPr>
        <w:pStyle w:val="TextBody"/>
        <w:spacing w:before="120" w:after="0"/>
        <w:jc w:val="left"/>
        <w:rPr>
          <w:rFonts w:ascii="Times New Roman" w:hAnsi="Times New Roman"/>
          <w:sz w:val="17"/>
        </w:rPr>
      </w:pPr>
      <w:r>
        <w:rPr>
          <w:rFonts w:ascii="Times New Roman" w:hAnsi="Times New Roman"/>
          <w:sz w:val="17"/>
        </w:rPr>
        <w:t xml:space="preserve">If a participant disposes of all shares registered in the participants name, the Agent will continue to reinvest the dividends on shares credited to the participants account under the Plan, subject to the participants right to terminate participation in the Plan at any time. The Agent reserves the right to terminate participation in the Plan if a participant does not have at least one whole share in the Plan. </w:t>
      </w:r>
    </w:p>
    <w:p>
      <w:pPr>
        <w:pStyle w:val="TextBody"/>
        <w:spacing w:before="360" w:after="0"/>
        <w:jc w:val="left"/>
        <w:rPr>
          <w:rFonts w:ascii="Times New Roman" w:hAnsi="Times New Roman"/>
          <w:i/>
          <w:sz w:val="17"/>
        </w:rPr>
      </w:pPr>
      <w:r>
        <w:rPr>
          <w:rFonts w:ascii="Times New Roman" w:hAnsi="Times New Roman"/>
          <w:i/>
          <w:sz w:val="17"/>
        </w:rPr>
        <w:t xml:space="preserve">28. How can a participant sell shares? </w:t>
      </w:r>
    </w:p>
    <w:p>
      <w:pPr>
        <w:pStyle w:val="TextBody"/>
        <w:spacing w:before="120" w:after="0"/>
        <w:jc w:val="left"/>
        <w:rPr>
          <w:rFonts w:ascii="Times New Roman" w:hAnsi="Times New Roman"/>
          <w:sz w:val="17"/>
        </w:rPr>
      </w:pPr>
      <w:r>
        <w:rPr>
          <w:rFonts w:ascii="Times New Roman" w:hAnsi="Times New Roman"/>
          <w:sz w:val="17"/>
        </w:rPr>
        <w:t xml:space="preserve">You can sell your Plan shares at any time by submitting a request to sell either online, by telephone or through the mail (see </w:t>
      </w:r>
      <w:r>
        <w:rPr>
          <w:rFonts w:ascii="Times New Roman" w:hAnsi="Times New Roman"/>
          <w:b/>
          <w:sz w:val="17"/>
        </w:rPr>
        <w:t>Contact Information</w:t>
      </w:r>
      <w:r>
        <w:rPr>
          <w:rFonts w:ascii="Times New Roman" w:hAnsi="Times New Roman"/>
          <w:sz w:val="17"/>
        </w:rPr>
        <w:t xml:space="preserve"> in Question 3). A check will be issued for your sale proceeds, unless you elect to receive the funds by direct deposit into your bank account. </w:t>
      </w:r>
    </w:p>
    <w:p>
      <w:pPr>
        <w:pStyle w:val="TextBody"/>
        <w:spacing w:before="240" w:after="0"/>
        <w:jc w:val="left"/>
        <w:rPr>
          <w:rFonts w:ascii="Times New Roman" w:hAnsi="Times New Roman"/>
          <w:sz w:val="17"/>
        </w:rPr>
      </w:pPr>
      <w:r>
        <w:rPr>
          <w:rFonts w:ascii="Times New Roman" w:hAnsi="Times New Roman"/>
          <w:sz w:val="17"/>
        </w:rPr>
        <w:t xml:space="preserve">You may instruct the Agent to sell shares under the Plan through a Batch Order, Market Order, Day Limit Order, Good-Til Date/Canceled Limit Order, or Stop Order. </w:t>
      </w:r>
    </w:p>
    <w:p>
      <w:pPr>
        <w:pStyle w:val="TextBody"/>
        <w:spacing w:before="120" w:after="0"/>
        <w:jc w:val="left"/>
        <w:rPr>
          <w:rFonts w:ascii="Times New Roman" w:hAnsi="Times New Roman"/>
          <w:sz w:val="17"/>
        </w:rPr>
      </w:pPr>
      <w:r>
        <w:rPr>
          <w:rFonts w:ascii="Times New Roman" w:hAnsi="Times New Roman"/>
          <w:b/>
          <w:i/>
          <w:sz w:val="17"/>
        </w:rPr>
        <w:t>Batch Order (online, telephone, mail)</w:t>
      </w:r>
      <w:r>
        <w:rPr>
          <w:rFonts w:ascii="Times New Roman" w:hAnsi="Times New Roman"/>
          <w:sz w:val="17"/>
        </w:rPr>
        <w:t xml:space="preserve">Requests to sell shares are aggregated and the total of all shares are sold on the open market. Batch Order sale requests will be completed by the Agent within five business days. The price per share sold will not be known until the sales are completed and will always be the weighted-average price for all shares sold for the Plan on the trade date. </w:t>
      </w:r>
    </w:p>
    <w:p>
      <w:pPr>
        <w:pStyle w:val="TextBody"/>
        <w:spacing w:before="120" w:after="0"/>
        <w:jc w:val="left"/>
        <w:rPr>
          <w:rFonts w:ascii="Times New Roman" w:hAnsi="Times New Roman"/>
          <w:sz w:val="17"/>
        </w:rPr>
      </w:pPr>
      <w:r>
        <w:rPr>
          <w:rFonts w:ascii="Times New Roman" w:hAnsi="Times New Roman"/>
          <w:b/>
          <w:i/>
          <w:sz w:val="17"/>
        </w:rPr>
        <w:t>Market Order (online or telephone)</w:t>
      </w:r>
      <w:r>
        <w:rPr>
          <w:rFonts w:ascii="Times New Roman" w:hAnsi="Times New Roman"/>
          <w:sz w:val="17"/>
        </w:rPr>
        <w:t xml:space="preserve">During market hours, sale requests will be promptly submitted by the Agent to a broker. The sale will be at the prevailing market price when the trade is executed. Once entered, a Market Order request cannot be canceled. Sale requests submitted near the close of the market may be executed on the next trading day, along with other requests received after market close. </w:t>
      </w:r>
    </w:p>
    <w:p>
      <w:pPr>
        <w:pStyle w:val="TextBody"/>
        <w:spacing w:before="120" w:after="0"/>
        <w:jc w:val="left"/>
        <w:rPr>
          <w:rFonts w:ascii="Times New Roman" w:hAnsi="Times New Roman"/>
          <w:sz w:val="17"/>
        </w:rPr>
      </w:pPr>
      <w:r>
        <w:rPr>
          <w:rFonts w:ascii="Times New Roman" w:hAnsi="Times New Roman"/>
          <w:b/>
          <w:i/>
          <w:sz w:val="17"/>
        </w:rPr>
        <w:t>Day Limit Order (online or telephone)</w:t>
      </w:r>
      <w:r>
        <w:rPr>
          <w:rFonts w:ascii="Times New Roman" w:hAnsi="Times New Roman"/>
          <w:sz w:val="17"/>
        </w:rPr>
        <w:t xml:space="preserve">Sale requests for a Day Limit Order will be promptly submitted by the Agent to a broker. The sale will be executed when and if the stock reaches, or exceeds the specified price on the day the order was placed. The request will be automatically canceled if the price is not met by the end of the trading day. </w:t>
      </w:r>
    </w:p>
    <w:p>
      <w:pPr>
        <w:pStyle w:val="TextBody"/>
        <w:spacing w:before="120" w:after="0"/>
        <w:jc w:val="left"/>
        <w:rPr>
          <w:rFonts w:ascii="Times New Roman" w:hAnsi="Times New Roman"/>
          <w:sz w:val="17"/>
        </w:rPr>
      </w:pPr>
      <w:r>
        <w:rPr>
          <w:rFonts w:ascii="Times New Roman" w:hAnsi="Times New Roman"/>
          <w:b/>
          <w:i/>
          <w:sz w:val="17"/>
        </w:rPr>
        <w:t>Good-Til-Date/Canceled (GTD/GTC) Limit Order (online or telephone)</w:t>
      </w:r>
      <w:r>
        <w:rPr>
          <w:rFonts w:ascii="Times New Roman" w:hAnsi="Times New Roman"/>
          <w:sz w:val="17"/>
        </w:rPr>
        <w:t xml:space="preserve">Requests to sell shares with a GTD and GTC Limit Order will be promptly submitted by the Agent to a broker. The sale will be executed when and if the stock reaches, or exceeds, the specified price at any time while the order remains open (up to the date requested or 90 days for GTC). The request is automatically canceled if the price is not met by the end of the order period.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b/>
          <w:i/>
          <w:sz w:val="17"/>
        </w:rPr>
        <w:t>Stop Order (online or telephone)</w:t>
      </w:r>
      <w:r>
        <w:rPr>
          <w:rFonts w:ascii="Times New Roman" w:hAnsi="Times New Roman"/>
          <w:sz w:val="17"/>
        </w:rPr>
        <w:t xml:space="preserve">Requests to sell shares will be promptly submitted by the Agent to a broker for a Stop Order. The sale will be executed when the stock reaches a specified price, at which time the order becomes a Market Order and the sale will be at the prevailing market price when the trade is executed. The price specified in the order must be below the current market price (generally used to limit a market loss). </w:t>
      </w:r>
    </w:p>
    <w:p>
      <w:pPr>
        <w:pStyle w:val="TextBody"/>
        <w:spacing w:before="360" w:after="0"/>
        <w:jc w:val="left"/>
        <w:rPr>
          <w:rFonts w:ascii="Times New Roman" w:hAnsi="Times New Roman"/>
          <w:i/>
          <w:sz w:val="17"/>
        </w:rPr>
      </w:pPr>
      <w:r>
        <w:rPr>
          <w:rFonts w:ascii="Times New Roman" w:hAnsi="Times New Roman"/>
          <w:i/>
          <w:sz w:val="17"/>
        </w:rPr>
        <w:t xml:space="preserve">29. If Honeywell has a rights offering, how will the rights on the Plan shares be handled? </w:t>
      </w:r>
    </w:p>
    <w:p>
      <w:pPr>
        <w:pStyle w:val="TextBody"/>
        <w:spacing w:before="120" w:after="0"/>
        <w:jc w:val="left"/>
        <w:rPr>
          <w:rFonts w:ascii="Times New Roman" w:hAnsi="Times New Roman"/>
          <w:sz w:val="17"/>
        </w:rPr>
      </w:pPr>
      <w:r>
        <w:rPr>
          <w:rFonts w:ascii="Times New Roman" w:hAnsi="Times New Roman"/>
          <w:sz w:val="17"/>
        </w:rPr>
        <w:t xml:space="preserve">If a participant is entitled to participate in a rights offering relating to the common stock, the entitlement will be based upon the participants total holdings. However, any rights certificates will be issued for the number of whole shares only. </w:t>
      </w:r>
    </w:p>
    <w:p>
      <w:pPr>
        <w:pStyle w:val="TextBody"/>
        <w:spacing w:before="360" w:after="0"/>
        <w:jc w:val="left"/>
        <w:rPr>
          <w:rFonts w:ascii="Times New Roman" w:hAnsi="Times New Roman"/>
          <w:i/>
          <w:sz w:val="17"/>
        </w:rPr>
      </w:pPr>
      <w:r>
        <w:rPr>
          <w:rFonts w:ascii="Times New Roman" w:hAnsi="Times New Roman"/>
          <w:i/>
          <w:sz w:val="17"/>
        </w:rPr>
        <w:t xml:space="preserve">30. What happens if Honeywell issues a dividend payable in stock or declares a stock split? </w:t>
      </w:r>
    </w:p>
    <w:p>
      <w:pPr>
        <w:pStyle w:val="TextBody"/>
        <w:spacing w:before="120" w:after="0"/>
        <w:jc w:val="left"/>
        <w:rPr>
          <w:rFonts w:ascii="Times New Roman" w:hAnsi="Times New Roman"/>
          <w:sz w:val="17"/>
        </w:rPr>
      </w:pPr>
      <w:r>
        <w:rPr>
          <w:rFonts w:ascii="Times New Roman" w:hAnsi="Times New Roman"/>
          <w:sz w:val="17"/>
        </w:rPr>
        <w:t xml:space="preserve">Any dividend payable in common stock or split shares distributed by Honeywell on shares credited to the account of a participant under the Plan or on shares registered in the name of the participant will be credited to the participants account under the Plan. </w:t>
      </w:r>
    </w:p>
    <w:p>
      <w:pPr>
        <w:pStyle w:val="TextBody"/>
        <w:spacing w:before="360" w:after="0"/>
        <w:jc w:val="left"/>
        <w:rPr>
          <w:rFonts w:ascii="Times New Roman" w:hAnsi="Times New Roman"/>
          <w:i/>
          <w:sz w:val="17"/>
        </w:rPr>
      </w:pPr>
      <w:r>
        <w:rPr>
          <w:rFonts w:ascii="Times New Roman" w:hAnsi="Times New Roman"/>
          <w:i/>
          <w:sz w:val="17"/>
        </w:rPr>
        <w:t xml:space="preserve">31. How will a participants shares held by the Agent be voted at shareowners meetings? </w:t>
      </w:r>
    </w:p>
    <w:p>
      <w:pPr>
        <w:pStyle w:val="TextBody"/>
        <w:spacing w:before="120" w:after="0"/>
        <w:jc w:val="left"/>
        <w:rPr>
          <w:rFonts w:ascii="Times New Roman" w:hAnsi="Times New Roman"/>
          <w:sz w:val="17"/>
        </w:rPr>
      </w:pPr>
      <w:r>
        <w:rPr>
          <w:rFonts w:ascii="Times New Roman" w:hAnsi="Times New Roman"/>
          <w:sz w:val="17"/>
        </w:rPr>
        <w:t xml:space="preserve">Shares held by the Agent for a participant will be voted as the participant directs. </w:t>
      </w:r>
    </w:p>
    <w:p>
      <w:pPr>
        <w:pStyle w:val="TextBody"/>
        <w:spacing w:before="240" w:after="0"/>
        <w:jc w:val="left"/>
        <w:rPr>
          <w:rFonts w:ascii="Times New Roman" w:hAnsi="Times New Roman"/>
          <w:sz w:val="17"/>
        </w:rPr>
      </w:pPr>
      <w:r>
        <w:rPr>
          <w:rFonts w:ascii="Times New Roman" w:hAnsi="Times New Roman"/>
          <w:sz w:val="17"/>
        </w:rPr>
        <w:t xml:space="preserve">A Notice of Internet Availability of Proxy Materials or a proxy card will be sent to each participant in connection with any annual or special meeting of shareowners, as in the case of shareowners not participating in the Plan. The proxy will apply to all shares registered in the participants own name, if any, as well as to all shares credited to the participants account under the Plan. </w:t>
      </w:r>
    </w:p>
    <w:p>
      <w:pPr>
        <w:pStyle w:val="TextBody"/>
        <w:spacing w:before="240" w:after="0"/>
        <w:jc w:val="left"/>
        <w:rPr>
          <w:rFonts w:ascii="Times New Roman" w:hAnsi="Times New Roman"/>
          <w:sz w:val="17"/>
        </w:rPr>
      </w:pPr>
      <w:r>
        <w:rPr>
          <w:rFonts w:ascii="Times New Roman" w:hAnsi="Times New Roman"/>
          <w:sz w:val="17"/>
        </w:rPr>
        <w:t xml:space="preserve">As in the case of non-participating shareowners, if no instructions are indicated on a properly signed and returned proxy card and a participant does not vote by phone or internet, all of the participants sharesthose registered in the participants name, if any, and those credited to the participants account under the Planwill be voted in accordance with the recommendations of Honeywells management, unless the rules of the stock exchange do not allow such vote. If the proxy card is not returned or is returned unsigned and the participant does not vote by phone or internet, the participants shares may be voted only if the participant or a duly appointed representative votes in person at the meeting. </w:t>
      </w:r>
    </w:p>
    <w:p>
      <w:pPr>
        <w:pStyle w:val="TextBody"/>
        <w:spacing w:before="360" w:after="0"/>
        <w:jc w:val="left"/>
        <w:rPr>
          <w:rFonts w:ascii="Times New Roman" w:hAnsi="Times New Roman"/>
          <w:i/>
          <w:sz w:val="17"/>
        </w:rPr>
      </w:pPr>
      <w:r>
        <w:rPr>
          <w:rFonts w:ascii="Times New Roman" w:hAnsi="Times New Roman"/>
          <w:i/>
          <w:sz w:val="17"/>
        </w:rPr>
        <w:t xml:space="preserve">32. What are the responsibilities of Honeywell and the Agent under the Plan? </w:t>
      </w:r>
    </w:p>
    <w:p>
      <w:pPr>
        <w:pStyle w:val="TextBody"/>
        <w:spacing w:before="120" w:after="0"/>
        <w:jc w:val="left"/>
        <w:rPr>
          <w:rFonts w:ascii="Times New Roman" w:hAnsi="Times New Roman"/>
          <w:sz w:val="17"/>
        </w:rPr>
      </w:pPr>
      <w:r>
        <w:rPr>
          <w:rFonts w:ascii="Times New Roman" w:hAnsi="Times New Roman"/>
          <w:sz w:val="17"/>
        </w:rPr>
        <w:t xml:space="preserve">Honeywell and the Agent will not be liable under the Plan for any act done in good faith or for any good faith omission to act including, without limitation, any claim of liability arising out of failure to terminate a participants account upon such participants death or with respect to the prices at which shares are purchased or sold for the participants account, the times when such purchases or sales are made, or with respect to any fluctuation in market value of the common stock. </w:t>
      </w:r>
    </w:p>
    <w:p>
      <w:pPr>
        <w:pStyle w:val="TextBody"/>
        <w:spacing w:before="240" w:after="0"/>
        <w:jc w:val="left"/>
        <w:rPr>
          <w:rFonts w:ascii="Times New Roman" w:hAnsi="Times New Roman"/>
          <w:sz w:val="17"/>
        </w:rPr>
      </w:pPr>
      <w:r>
        <w:rPr>
          <w:rFonts w:ascii="Times New Roman" w:hAnsi="Times New Roman"/>
          <w:sz w:val="17"/>
        </w:rPr>
        <w:t xml:space="preserve">The participant should recognize that neither the Agent nor Honeywell can assure the participant of a profit or protect the participant against a loss on shares purchased under the Plan. </w:t>
      </w:r>
    </w:p>
    <w:p>
      <w:pPr>
        <w:pStyle w:val="TextBody"/>
        <w:spacing w:before="360" w:after="0"/>
        <w:jc w:val="left"/>
        <w:rPr>
          <w:rFonts w:ascii="Times New Roman" w:hAnsi="Times New Roman"/>
          <w:i/>
          <w:sz w:val="17"/>
        </w:rPr>
      </w:pPr>
      <w:r>
        <w:rPr>
          <w:rFonts w:ascii="Times New Roman" w:hAnsi="Times New Roman"/>
          <w:i/>
          <w:sz w:val="17"/>
        </w:rPr>
        <w:t xml:space="preserve">33. May the Plan be changed or discontinued? </w:t>
      </w:r>
    </w:p>
    <w:p>
      <w:pPr>
        <w:pStyle w:val="TextBody"/>
        <w:spacing w:before="120" w:after="0"/>
        <w:jc w:val="left"/>
        <w:rPr>
          <w:rFonts w:ascii="Times New Roman" w:hAnsi="Times New Roman"/>
          <w:sz w:val="17"/>
        </w:rPr>
      </w:pPr>
      <w:r>
        <w:rPr>
          <w:rFonts w:ascii="Times New Roman" w:hAnsi="Times New Roman"/>
          <w:sz w:val="17"/>
        </w:rPr>
        <w:t xml:space="preserve">Notwithstanding any other provision of the Plan, the Board of Directors of Honeywell or any designee thereof (which designee need not be a director of Honeywell) reserves the right to amend, suspend, modify or terminate the Plan at any time, including the period between a record date and a dividend payment date. To the extent and in the manner the Board or such designee deems appropriate, notice of any such amendment, suspension, modification or termination will be sent to all participants.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34. Under what circumstances will shares be purchased on the open market and what effect would such purchases have on participants? </w:t>
      </w:r>
    </w:p>
    <w:p>
      <w:pPr>
        <w:pStyle w:val="TextBody"/>
        <w:spacing w:before="120" w:after="0"/>
        <w:jc w:val="left"/>
        <w:rPr>
          <w:rFonts w:ascii="Times New Roman" w:hAnsi="Times New Roman"/>
          <w:sz w:val="17"/>
        </w:rPr>
      </w:pPr>
      <w:r>
        <w:rPr>
          <w:rFonts w:ascii="Times New Roman" w:hAnsi="Times New Roman"/>
          <w:sz w:val="17"/>
        </w:rPr>
        <w:t xml:space="preserve">Shares of common stock purchased from Honeywell under the Plan may either be authorized but unissued shares or shares reacquired by Honeywell and held in its treasury. If the Agent would be unable to purchase sufficient shares (whether authorized but unissued shares or treasury shares) from Honeywell to satisfy the requirements of the Plan for an investment date, the Agent will purchase the required shares in excess of those purchased from Honeywell for that investment date on the open market. Open market purchases will be made as soon as possible after the applicable investment date, but not more than 30 days after such date. </w:t>
      </w:r>
    </w:p>
    <w:p>
      <w:pPr>
        <w:pStyle w:val="TextBody"/>
        <w:spacing w:before="240" w:after="0"/>
        <w:jc w:val="left"/>
        <w:rPr>
          <w:rFonts w:ascii="Times New Roman" w:hAnsi="Times New Roman"/>
          <w:sz w:val="17"/>
        </w:rPr>
      </w:pPr>
      <w:r>
        <w:rPr>
          <w:rFonts w:ascii="Times New Roman" w:hAnsi="Times New Roman"/>
          <w:sz w:val="17"/>
        </w:rPr>
        <w:t xml:space="preserve">The purchase price of shares purchased from Honeywell will be computed as set forth in Question 9. The purchase price of shares purchased on the open market will be the negotiated price for such shares or, in the case of multiple open market purchases, the purchase price will be the average of the negotiated prices for such open market purchases. If shares are purchased on the open market, Honeywell will pay any brokerage commissions which would not have been paid by participants if all of the shares had been purchased from Honeywell under the Plan. </w:t>
      </w:r>
    </w:p>
    <w:p>
      <w:pPr>
        <w:pStyle w:val="TextBody"/>
        <w:spacing w:before="240" w:after="0"/>
        <w:jc w:val="left"/>
        <w:rPr>
          <w:rFonts w:ascii="Times New Roman" w:hAnsi="Times New Roman"/>
          <w:sz w:val="17"/>
        </w:rPr>
      </w:pPr>
      <w:r>
        <w:rPr>
          <w:rFonts w:ascii="Times New Roman" w:hAnsi="Times New Roman"/>
          <w:sz w:val="17"/>
        </w:rPr>
        <w:t xml:space="preserve">In the event of open market purchases, shares will not be allocated to participants accounts until the date on which the Agent has purchased sufficient shares from Honeywell and on the open market for all participants in the Plan. The purchase price to participants will be based on the weighted average of the purchase price of all shares purchased from Honeywell and the purchase price of all shares purchased on the open market with the funds available for that investment date. </w:t>
      </w:r>
    </w:p>
    <w:p>
      <w:pPr>
        <w:pStyle w:val="TextBody"/>
        <w:spacing w:before="240" w:after="0"/>
        <w:jc w:val="left"/>
        <w:rPr>
          <w:rFonts w:ascii="Times New Roman" w:hAnsi="Times New Roman"/>
          <w:sz w:val="17"/>
        </w:rPr>
      </w:pPr>
      <w:r>
        <w:rPr>
          <w:rFonts w:ascii="Times New Roman" w:hAnsi="Times New Roman"/>
          <w:sz w:val="17"/>
        </w:rPr>
        <w:t xml:space="preserve">In addition, the income tax consequences to participants will be based on the fair market value of the common stock on the date such shares are allocated to participants accounts, rather than on the investment date, and participants will realize taxable dividend income in an amount equal to their allocable share of brokerage commissions paid by Honeywell (see Question 17).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35. What are the costs to persons who participate in the Plan?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209"/>
        <w:gridCol w:w="395"/>
        <w:gridCol w:w="140"/>
        <w:gridCol w:w="1399"/>
        <w:gridCol w:w="62"/>
      </w:tblGrid>
      <w:tr>
        <w:trPr/>
        <w:tc>
          <w:tcPr>
            <w:tcW w:w="82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8209" w:type="dxa"/>
            <w:tcBorders/>
            <w:shd w:fill="CCEEFF" w:val="clear"/>
          </w:tcPr>
          <w:p>
            <w:pPr>
              <w:pStyle w:val="TableContents"/>
              <w:spacing w:before="0" w:after="0"/>
              <w:rPr>
                <w:rFonts w:ascii="Times New Roman" w:hAnsi="Times New Roman"/>
                <w:b/>
                <w:sz w:val="17"/>
              </w:rPr>
            </w:pPr>
            <w:r>
              <w:rPr>
                <w:rFonts w:ascii="Times New Roman" w:hAnsi="Times New Roman"/>
                <w:b/>
                <w:sz w:val="17"/>
              </w:rPr>
              <w:t>Investment Summary and Fees</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99"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rHeight w:val="240" w:hRule="atLeast"/>
        </w:trPr>
        <w:tc>
          <w:tcPr>
            <w:tcW w:w="8209" w:type="dxa"/>
            <w:tcBorders/>
            <w:shd w:fill="auto" w:val="clear"/>
            <w:vAlign w:val="center"/>
          </w:tcPr>
          <w:p>
            <w:pPr>
              <w:pStyle w:val="TableContents"/>
              <w:spacing w:before="0" w:after="283"/>
              <w:rPr>
                <w:sz w:val="4"/>
                <w:szCs w:val="4"/>
              </w:rPr>
            </w:pPr>
            <w:r>
              <w:rPr>
                <w:sz w:val="4"/>
                <w:szCs w:val="4"/>
              </w:rPr>
            </w:r>
          </w:p>
        </w:tc>
        <w:tc>
          <w:tcPr>
            <w:tcW w:w="1996" w:type="dxa"/>
            <w:gridSpan w:val="4"/>
            <w:tcBorders/>
            <w:shd w:fill="auto" w:val="clear"/>
            <w:vAlign w:val="center"/>
          </w:tcPr>
          <w:p>
            <w:pPr>
              <w:pStyle w:val="TableContents"/>
              <w:spacing w:before="0" w:after="283"/>
              <w:rPr>
                <w:sz w:val="4"/>
                <w:szCs w:val="4"/>
              </w:rPr>
            </w:pPr>
            <w:r>
              <w:rPr>
                <w:sz w:val="4"/>
                <w:szCs w:val="4"/>
              </w:rPr>
            </w:r>
          </w:p>
        </w:tc>
      </w:tr>
      <w:tr>
        <w:trPr/>
        <w:tc>
          <w:tcPr>
            <w:tcW w:w="8209" w:type="dxa"/>
            <w:tcBorders/>
            <w:shd w:fill="auto" w:val="clear"/>
          </w:tcPr>
          <w:p>
            <w:pPr>
              <w:pStyle w:val="TableContents"/>
              <w:spacing w:before="0" w:after="0"/>
              <w:rPr>
                <w:rFonts w:ascii="Times New Roman" w:hAnsi="Times New Roman"/>
                <w:b/>
                <w:sz w:val="17"/>
              </w:rPr>
            </w:pPr>
            <w:r>
              <w:rPr>
                <w:rFonts w:ascii="Times New Roman" w:hAnsi="Times New Roman"/>
                <w:b/>
                <w:sz w:val="17"/>
              </w:rPr>
              <w:t>Summary</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99"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209" w:type="dxa"/>
            <w:tcBorders/>
            <w:shd w:fill="CCEEFF" w:val="clear"/>
          </w:tcPr>
          <w:p>
            <w:pPr>
              <w:pStyle w:val="TableContents"/>
              <w:spacing w:before="0" w:after="0"/>
              <w:rPr>
                <w:rFonts w:ascii="Times New Roman" w:hAnsi="Times New Roman"/>
                <w:b/>
                <w:sz w:val="17"/>
              </w:rPr>
            </w:pPr>
            <w:r>
              <w:rPr>
                <w:rFonts w:ascii="Times New Roman" w:hAnsi="Times New Roman"/>
                <w:b/>
                <w:sz w:val="17"/>
              </w:rPr>
              <w:t>Minimum cash investments</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99"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Minimum one-time optional cash purchase</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99" w:type="dxa"/>
            <w:tcBorders/>
            <w:shd w:fill="auto" w:val="clear"/>
            <w:vAlign w:val="bottom"/>
          </w:tcPr>
          <w:p>
            <w:pPr>
              <w:pStyle w:val="TableContents"/>
              <w:spacing w:before="0" w:after="283"/>
              <w:jc w:val="right"/>
              <w:rPr/>
            </w:pPr>
            <w:r>
              <w:rPr/>
              <w:t>25.00</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Minimum recurring automatic investments</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9" w:type="dxa"/>
            <w:tcBorders/>
            <w:shd w:fill="CCEEFF" w:val="clear"/>
            <w:vAlign w:val="bottom"/>
          </w:tcPr>
          <w:p>
            <w:pPr>
              <w:pStyle w:val="TableContents"/>
              <w:spacing w:before="0" w:after="283"/>
              <w:jc w:val="right"/>
              <w:rPr/>
            </w:pPr>
            <w:r>
              <w:rPr/>
              <w:t>25.00</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b/>
                <w:sz w:val="17"/>
              </w:rPr>
            </w:pPr>
            <w:r>
              <w:rPr>
                <w:rFonts w:ascii="Times New Roman" w:hAnsi="Times New Roman"/>
                <w:b/>
                <w:sz w:val="17"/>
              </w:rPr>
              <w:t>Maximum cash investments</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99"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Maximum annual investment.</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9" w:type="dxa"/>
            <w:tcBorders/>
            <w:shd w:fill="CCEEFF" w:val="clear"/>
            <w:vAlign w:val="bottom"/>
          </w:tcPr>
          <w:p>
            <w:pPr>
              <w:pStyle w:val="TableContents"/>
              <w:spacing w:before="0" w:after="283"/>
              <w:jc w:val="right"/>
              <w:rPr/>
            </w:pPr>
            <w:r>
              <w:rPr/>
              <w:t>120,000.00</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b/>
                <w:sz w:val="17"/>
              </w:rPr>
            </w:pPr>
            <w:r>
              <w:rPr>
                <w:rFonts w:ascii="Times New Roman" w:hAnsi="Times New Roman"/>
                <w:b/>
                <w:sz w:val="17"/>
              </w:rPr>
              <w:t>Dividend reinvestment options</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99"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Reinvest options</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Full, Partial</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b/>
                <w:sz w:val="17"/>
              </w:rPr>
            </w:pPr>
            <w:r>
              <w:rPr>
                <w:rFonts w:ascii="Times New Roman" w:hAnsi="Times New Roman"/>
                <w:b/>
                <w:sz w:val="17"/>
              </w:rPr>
              <w:t>Fees</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99"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209" w:type="dxa"/>
            <w:tcBorders/>
            <w:shd w:fill="CCEEFF" w:val="clear"/>
          </w:tcPr>
          <w:p>
            <w:pPr>
              <w:pStyle w:val="TableContents"/>
              <w:spacing w:before="0" w:after="0"/>
              <w:rPr>
                <w:rFonts w:ascii="Times New Roman" w:hAnsi="Times New Roman"/>
                <w:b/>
                <w:sz w:val="17"/>
              </w:rPr>
            </w:pPr>
            <w:r>
              <w:rPr>
                <w:rFonts w:ascii="Times New Roman" w:hAnsi="Times New Roman"/>
                <w:b/>
                <w:sz w:val="17"/>
              </w:rPr>
              <w:t>Investment fees</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99"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Dividend reinvestment</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pPr>
            <w:r>
              <w:rPr/>
              <w:t>Company Paid</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Check investment</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Company Paid</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One-time automatic investment</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pPr>
            <w:r>
              <w:rPr/>
              <w:t>Company Paid</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Recurring automatic investment</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Company Paid</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Dividend purchase trading commission per share</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pPr>
            <w:r>
              <w:rPr/>
              <w:t>Company Paid</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Optional cash purchase trading commission per share</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Company Paid</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b/>
                <w:sz w:val="17"/>
              </w:rPr>
            </w:pPr>
            <w:r>
              <w:rPr>
                <w:rFonts w:ascii="Times New Roman" w:hAnsi="Times New Roman"/>
                <w:b/>
                <w:sz w:val="17"/>
              </w:rPr>
              <w:t>Sales fees</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99"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Batch Order</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9" w:type="dxa"/>
            <w:tcBorders/>
            <w:shd w:fill="CCEEFF" w:val="clear"/>
            <w:vAlign w:val="bottom"/>
          </w:tcPr>
          <w:p>
            <w:pPr>
              <w:pStyle w:val="TableContents"/>
              <w:spacing w:before="0" w:after="283"/>
              <w:jc w:val="right"/>
              <w:rPr/>
            </w:pPr>
            <w:r>
              <w:rPr/>
              <w:t>15.00</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Market Order</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99" w:type="dxa"/>
            <w:tcBorders/>
            <w:shd w:fill="auto" w:val="clear"/>
            <w:vAlign w:val="bottom"/>
          </w:tcPr>
          <w:p>
            <w:pPr>
              <w:pStyle w:val="TableContents"/>
              <w:spacing w:before="0" w:after="283"/>
              <w:jc w:val="right"/>
              <w:rPr/>
            </w:pPr>
            <w:r>
              <w:rPr/>
              <w:t>25.00</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Limit Order per transaction (Day/GTD/GTC)</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9" w:type="dxa"/>
            <w:tcBorders/>
            <w:shd w:fill="CCEEFF" w:val="clear"/>
            <w:vAlign w:val="bottom"/>
          </w:tcPr>
          <w:p>
            <w:pPr>
              <w:pStyle w:val="TableContents"/>
              <w:spacing w:before="0" w:after="283"/>
              <w:jc w:val="right"/>
              <w:rPr/>
            </w:pPr>
            <w:r>
              <w:rPr/>
              <w:t>30.00</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Stop Order.</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99" w:type="dxa"/>
            <w:tcBorders/>
            <w:shd w:fill="auto" w:val="clear"/>
            <w:vAlign w:val="bottom"/>
          </w:tcPr>
          <w:p>
            <w:pPr>
              <w:pStyle w:val="TableContents"/>
              <w:spacing w:before="0" w:after="283"/>
              <w:jc w:val="right"/>
              <w:rPr/>
            </w:pPr>
            <w:r>
              <w:rPr/>
              <w:t>30.00</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Sale trading commission per share</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9" w:type="dxa"/>
            <w:tcBorders/>
            <w:shd w:fill="CCEEFF" w:val="clear"/>
            <w:vAlign w:val="bottom"/>
          </w:tcPr>
          <w:p>
            <w:pPr>
              <w:pStyle w:val="TableContents"/>
              <w:spacing w:before="0" w:after="283"/>
              <w:jc w:val="right"/>
              <w:rPr/>
            </w:pPr>
            <w:r>
              <w:rPr/>
              <w:t>0.12</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Direct deposit of sale proceeds</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99" w:type="dxa"/>
            <w:tcBorders/>
            <w:shd w:fill="auto" w:val="clear"/>
            <w:vAlign w:val="bottom"/>
          </w:tcPr>
          <w:p>
            <w:pPr>
              <w:pStyle w:val="TableContents"/>
              <w:spacing w:before="0" w:after="283"/>
              <w:jc w:val="right"/>
              <w:rPr/>
            </w:pPr>
            <w:r>
              <w:rPr/>
              <w:t>5.00</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b/>
                <w:sz w:val="17"/>
              </w:rPr>
            </w:pPr>
            <w:r>
              <w:rPr>
                <w:rFonts w:ascii="Times New Roman" w:hAnsi="Times New Roman"/>
                <w:b/>
                <w:sz w:val="17"/>
              </w:rPr>
              <w:t>Other fees</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99"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Certificate issuance</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99" w:type="dxa"/>
            <w:tcBorders/>
            <w:shd w:fill="auto" w:val="clear"/>
            <w:vAlign w:val="bottom"/>
          </w:tcPr>
          <w:p>
            <w:pPr>
              <w:pStyle w:val="TableContents"/>
              <w:spacing w:before="0" w:after="283"/>
              <w:jc w:val="right"/>
              <w:rPr/>
            </w:pPr>
            <w:r>
              <w:rPr/>
              <w:t>Company Paid</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Certificate deposit</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99" w:type="dxa"/>
            <w:tcBorders/>
            <w:shd w:fill="CCEEFF" w:val="clear"/>
            <w:vAlign w:val="bottom"/>
          </w:tcPr>
          <w:p>
            <w:pPr>
              <w:pStyle w:val="TableContents"/>
              <w:spacing w:before="0" w:after="283"/>
              <w:jc w:val="right"/>
              <w:rPr/>
            </w:pPr>
            <w:r>
              <w:rPr/>
              <w:t>Company Paid</w:t>
            </w:r>
          </w:p>
        </w:tc>
        <w:tc>
          <w:tcPr>
            <w:tcW w:w="62" w:type="dxa"/>
            <w:tcBorders/>
            <w:shd w:fill="CCEEFF" w:val="clear"/>
            <w:vAlign w:val="bottom"/>
          </w:tcPr>
          <w:p>
            <w:pPr>
              <w:pStyle w:val="TableContents"/>
              <w:spacing w:before="0" w:after="283"/>
              <w:rPr/>
            </w:pPr>
            <w:r>
              <w:rPr/>
              <w:t> </w:t>
            </w:r>
          </w:p>
        </w:tc>
      </w:tr>
      <w:tr>
        <w:trPr/>
        <w:tc>
          <w:tcPr>
            <w:tcW w:w="8209" w:type="dxa"/>
            <w:tcBorders/>
            <w:shd w:fill="auto" w:val="clear"/>
          </w:tcPr>
          <w:p>
            <w:pPr>
              <w:pStyle w:val="TableContents"/>
              <w:spacing w:before="0" w:after="0"/>
              <w:rPr>
                <w:rFonts w:ascii="Times New Roman" w:hAnsi="Times New Roman"/>
                <w:sz w:val="17"/>
              </w:rPr>
            </w:pPr>
            <w:r>
              <w:rPr>
                <w:rFonts w:ascii="Times New Roman" w:hAnsi="Times New Roman"/>
                <w:sz w:val="17"/>
              </w:rPr>
              <w:t>Returned check / Rejected automatic bank withdrawals</w:t>
            </w:r>
          </w:p>
        </w:tc>
        <w:tc>
          <w:tcPr>
            <w:tcW w:w="3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99" w:type="dxa"/>
            <w:tcBorders/>
            <w:shd w:fill="auto" w:val="clear"/>
            <w:vAlign w:val="bottom"/>
          </w:tcPr>
          <w:p>
            <w:pPr>
              <w:pStyle w:val="TableContents"/>
              <w:spacing w:before="0" w:after="283"/>
              <w:jc w:val="right"/>
              <w:rPr/>
            </w:pPr>
            <w:r>
              <w:rPr/>
              <w:t>35.00 per item</w:t>
            </w:r>
          </w:p>
        </w:tc>
        <w:tc>
          <w:tcPr>
            <w:tcW w:w="62" w:type="dxa"/>
            <w:tcBorders/>
            <w:shd w:fill="auto" w:val="clear"/>
            <w:vAlign w:val="bottom"/>
          </w:tcPr>
          <w:p>
            <w:pPr>
              <w:pStyle w:val="TableContents"/>
              <w:spacing w:before="0" w:after="283"/>
              <w:rPr/>
            </w:pPr>
            <w:r>
              <w:rPr/>
              <w:t> </w:t>
            </w:r>
          </w:p>
        </w:tc>
      </w:tr>
      <w:tr>
        <w:trPr/>
        <w:tc>
          <w:tcPr>
            <w:tcW w:w="8209" w:type="dxa"/>
            <w:tcBorders/>
            <w:shd w:fill="CCEEFF" w:val="clear"/>
          </w:tcPr>
          <w:p>
            <w:pPr>
              <w:pStyle w:val="TableContents"/>
              <w:spacing w:before="0" w:after="0"/>
              <w:rPr>
                <w:rFonts w:ascii="Times New Roman" w:hAnsi="Times New Roman"/>
                <w:sz w:val="17"/>
              </w:rPr>
            </w:pPr>
            <w:r>
              <w:rPr>
                <w:rFonts w:ascii="Times New Roman" w:hAnsi="Times New Roman"/>
                <w:sz w:val="17"/>
              </w:rPr>
              <w:t>Prior year duplicate statements</w:t>
            </w:r>
          </w:p>
        </w:tc>
        <w:tc>
          <w:tcPr>
            <w:tcW w:w="3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9" w:type="dxa"/>
            <w:tcBorders/>
            <w:shd w:fill="CCEEFF" w:val="clear"/>
            <w:vAlign w:val="bottom"/>
          </w:tcPr>
          <w:p>
            <w:pPr>
              <w:pStyle w:val="TableContents"/>
              <w:spacing w:before="0" w:after="283"/>
              <w:jc w:val="right"/>
              <w:rPr/>
            </w:pPr>
            <w:r>
              <w:rPr/>
              <w:t>15.00 per year</w:t>
            </w:r>
          </w:p>
        </w:tc>
        <w:tc>
          <w:tcPr>
            <w:tcW w:w="62"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Such fees are subject to change at any time. </w:t>
      </w:r>
    </w:p>
    <w:p>
      <w:pPr>
        <w:pStyle w:val="TextBody"/>
        <w:spacing w:before="360" w:after="0"/>
        <w:jc w:val="left"/>
        <w:rPr>
          <w:rFonts w:ascii="Times New Roman" w:hAnsi="Times New Roman"/>
          <w:b/>
          <w:sz w:val="17"/>
        </w:rPr>
      </w:pPr>
      <w:r>
        <w:rPr>
          <w:rFonts w:ascii="Times New Roman" w:hAnsi="Times New Roman"/>
          <w:b/>
          <w:sz w:val="17"/>
        </w:rPr>
        <w:t xml:space="preserve">Additional Information About the Plan </w:t>
      </w:r>
    </w:p>
    <w:p>
      <w:pPr>
        <w:pStyle w:val="TextBody"/>
        <w:spacing w:before="120" w:after="0"/>
        <w:jc w:val="left"/>
        <w:rPr>
          <w:rFonts w:ascii="Times New Roman" w:hAnsi="Times New Roman"/>
          <w:sz w:val="17"/>
        </w:rPr>
      </w:pPr>
      <w:r>
        <w:rPr>
          <w:rFonts w:ascii="Times New Roman" w:hAnsi="Times New Roman"/>
          <w:sz w:val="17"/>
        </w:rPr>
        <w:t xml:space="preserve">The Agent has advised us that sales are usually made through an affiliated broker, who will receive brokerage commissions in connection with such transactions. Commission and sales fees are set forth under Question 35 above. </w:t>
      </w:r>
    </w:p>
    <w:p>
      <w:pPr>
        <w:pStyle w:val="TextBody"/>
        <w:spacing w:before="240" w:after="0"/>
        <w:jc w:val="left"/>
        <w:rPr>
          <w:rFonts w:ascii="Times New Roman" w:hAnsi="Times New Roman"/>
          <w:sz w:val="17"/>
        </w:rPr>
      </w:pPr>
      <w:r>
        <w:rPr>
          <w:rFonts w:ascii="Times New Roman" w:hAnsi="Times New Roman"/>
          <w:sz w:val="17"/>
        </w:rPr>
        <w:t xml:space="preserve">Neither Honeywell nor the Plan will be liable for actions taken in good faith in administering the Plan, or for actions required by law, or for good faith omissions to act. This includes any claims for liability relating to the prices at which shares are purchased or sold for your account, the dates of purchases or sales, or any changes in the market value of the common stock. </w:t>
      </w:r>
    </w:p>
    <w:p>
      <w:pPr>
        <w:pStyle w:val="TextBody"/>
        <w:spacing w:before="240" w:after="0"/>
        <w:jc w:val="left"/>
        <w:rPr>
          <w:rFonts w:ascii="Times New Roman" w:hAnsi="Times New Roman"/>
          <w:sz w:val="17"/>
        </w:rPr>
      </w:pPr>
      <w:r>
        <w:rPr>
          <w:rFonts w:ascii="Times New Roman" w:hAnsi="Times New Roman"/>
          <w:sz w:val="17"/>
        </w:rPr>
        <w:t xml:space="preserve">Your account represents an investment in the common stock, which may increase or decrease in value. You are responsible for the investment decisions regarding your Plan investments. Neither Honeywell nor the Plan can provide investment advice. </w:t>
      </w:r>
    </w:p>
    <w:p>
      <w:pPr>
        <w:pStyle w:val="TextBody"/>
        <w:spacing w:before="240" w:after="0"/>
        <w:jc w:val="left"/>
        <w:rPr>
          <w:rFonts w:ascii="Times New Roman" w:hAnsi="Times New Roman"/>
          <w:sz w:val="17"/>
        </w:rPr>
      </w:pPr>
      <w:r>
        <w:rPr>
          <w:rFonts w:ascii="Times New Roman" w:hAnsi="Times New Roman"/>
          <w:sz w:val="17"/>
        </w:rPr>
        <w:t xml:space="preserve">You are responsible for costs that you incur in connection with Plan participationfor example, the cost of sending certificates or other materials to us, fees that your bank may charge you for automatic withdrawal, or fees for certificates and the fees noted above in Question 35.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This prospectus (including any supplements or revisions that may be distributed in the future) sets forth the terms of the Plan. Honeywell may change the terms of the Plan, including applicable fees, or terminate the Plan, at any time. We will mail you a supplemental or revised prospectus before any material changes in the Plan are effective. Honeywell and the Agent may change their administrative procedures without notice, if the changes do not change material terms of the Plan.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6" w:name="driprom655836_6"/>
      <w:bookmarkEnd w:id="36"/>
      <w:r>
        <w:rPr>
          <w:rFonts w:ascii="Times New Roman" w:hAnsi="Times New Roman"/>
          <w:b/>
          <w:sz w:val="17"/>
        </w:rPr>
        <w:t xml:space="preserve">DESCRIPTION OF COMMON STOCK </w:t>
      </w:r>
    </w:p>
    <w:p>
      <w:pPr>
        <w:pStyle w:val="TextBody"/>
        <w:spacing w:before="240" w:after="0"/>
        <w:jc w:val="left"/>
        <w:rPr>
          <w:rFonts w:ascii="Times New Roman" w:hAnsi="Times New Roman"/>
          <w:b/>
          <w:sz w:val="17"/>
        </w:rPr>
      </w:pPr>
      <w:r>
        <w:rPr>
          <w:rFonts w:ascii="Times New Roman" w:hAnsi="Times New Roman"/>
          <w:b/>
          <w:sz w:val="17"/>
        </w:rPr>
        <w:t xml:space="preserve">General </w:t>
      </w:r>
    </w:p>
    <w:p>
      <w:pPr>
        <w:pStyle w:val="TextBody"/>
        <w:spacing w:before="120" w:after="0"/>
        <w:jc w:val="left"/>
        <w:rPr>
          <w:rFonts w:ascii="Times New Roman" w:hAnsi="Times New Roman"/>
          <w:sz w:val="17"/>
        </w:rPr>
      </w:pPr>
      <w:r>
        <w:rPr>
          <w:rFonts w:ascii="Times New Roman" w:hAnsi="Times New Roman"/>
          <w:sz w:val="17"/>
        </w:rPr>
        <w:t xml:space="preserve">As of the date of this prospectus, we are authorized to issue up to 2,000,000,000 shares of common stock. As of September 30, 2018, we had approximately 958 million shares of common stock issued (including approximately 217.3 million shares held in treasury). EQ Shareowner Services, a division of Equiniti Trust Company, is the transfer agent and registrar for our common stock. Shares of common stock are listed on the New York Stock Exchange and the London Stock Exchange under the symbol HON. </w:t>
      </w:r>
    </w:p>
    <w:p>
      <w:pPr>
        <w:pStyle w:val="TextBody"/>
        <w:spacing w:before="240" w:after="0"/>
        <w:jc w:val="left"/>
        <w:rPr>
          <w:rFonts w:ascii="Times New Roman" w:hAnsi="Times New Roman"/>
          <w:sz w:val="17"/>
        </w:rPr>
      </w:pPr>
      <w:r>
        <w:rPr>
          <w:rFonts w:ascii="Times New Roman" w:hAnsi="Times New Roman"/>
          <w:sz w:val="17"/>
        </w:rPr>
        <w:t xml:space="preserve">The following summary is not complete. You should refer to the applicable provision of Honeywells charter and by-laws and to Delaware corporate law for a complete statement of the terms and rights of our common stock. </w:t>
      </w:r>
    </w:p>
    <w:p>
      <w:pPr>
        <w:pStyle w:val="TextBody"/>
        <w:spacing w:before="360" w:after="0"/>
        <w:jc w:val="left"/>
        <w:rPr>
          <w:rFonts w:ascii="Times New Roman" w:hAnsi="Times New Roman"/>
          <w:b/>
          <w:sz w:val="17"/>
        </w:rPr>
      </w:pPr>
      <w:r>
        <w:rPr>
          <w:rFonts w:ascii="Times New Roman" w:hAnsi="Times New Roman"/>
          <w:b/>
          <w:sz w:val="17"/>
        </w:rPr>
        <w:t xml:space="preserve">Dividends </w:t>
      </w:r>
    </w:p>
    <w:p>
      <w:pPr>
        <w:pStyle w:val="TextBody"/>
        <w:spacing w:before="120" w:after="0"/>
        <w:jc w:val="left"/>
        <w:rPr>
          <w:rFonts w:ascii="Times New Roman" w:hAnsi="Times New Roman"/>
          <w:sz w:val="17"/>
        </w:rPr>
      </w:pPr>
      <w:r>
        <w:rPr>
          <w:rFonts w:ascii="Times New Roman" w:hAnsi="Times New Roman"/>
          <w:sz w:val="17"/>
        </w:rPr>
        <w:t xml:space="preserve">Holders of common stock are entitled to receive dividends when, as and if declared by the board of directors of Honeywell, out of funds legally available for their payment, subject to the rights of holders of any preferred stock outstanding. </w:t>
      </w:r>
    </w:p>
    <w:p>
      <w:pPr>
        <w:pStyle w:val="TextBody"/>
        <w:spacing w:before="360" w:after="0"/>
        <w:jc w:val="left"/>
        <w:rPr>
          <w:rFonts w:ascii="Times New Roman" w:hAnsi="Times New Roman"/>
          <w:b/>
          <w:sz w:val="17"/>
        </w:rPr>
      </w:pPr>
      <w:r>
        <w:rPr>
          <w:rFonts w:ascii="Times New Roman" w:hAnsi="Times New Roman"/>
          <w:b/>
          <w:sz w:val="17"/>
        </w:rPr>
        <w:t xml:space="preserve">Voting Rights </w:t>
      </w:r>
    </w:p>
    <w:p>
      <w:pPr>
        <w:pStyle w:val="TextBody"/>
        <w:spacing w:before="120" w:after="0"/>
        <w:jc w:val="left"/>
        <w:rPr>
          <w:rFonts w:ascii="Times New Roman" w:hAnsi="Times New Roman"/>
          <w:sz w:val="17"/>
        </w:rPr>
      </w:pPr>
      <w:r>
        <w:rPr>
          <w:rFonts w:ascii="Times New Roman" w:hAnsi="Times New Roman"/>
          <w:sz w:val="17"/>
        </w:rPr>
        <w:t xml:space="preserve">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 </w:t>
      </w:r>
    </w:p>
    <w:p>
      <w:pPr>
        <w:pStyle w:val="TextBody"/>
        <w:spacing w:before="360" w:after="0"/>
        <w:jc w:val="left"/>
        <w:rPr>
          <w:rFonts w:ascii="Times New Roman" w:hAnsi="Times New Roman"/>
          <w:b/>
          <w:sz w:val="17"/>
        </w:rPr>
      </w:pPr>
      <w:r>
        <w:rPr>
          <w:rFonts w:ascii="Times New Roman" w:hAnsi="Times New Roman"/>
          <w:b/>
          <w:sz w:val="17"/>
        </w:rPr>
        <w:t xml:space="preserve">Rights Upon Liquidation </w:t>
      </w:r>
    </w:p>
    <w:p>
      <w:pPr>
        <w:pStyle w:val="TextBody"/>
        <w:spacing w:before="120" w:after="0"/>
        <w:jc w:val="left"/>
        <w:rPr>
          <w:rFonts w:ascii="Times New Roman" w:hAnsi="Times New Roman"/>
          <w:sz w:val="17"/>
        </w:rPr>
      </w:pPr>
      <w:r>
        <w:rPr>
          <w:rFonts w:ascii="Times New Roman" w:hAnsi="Times New Roman"/>
          <w:sz w:val="17"/>
        </w:rPr>
        <w:t xml:space="preserve">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 </w:t>
      </w:r>
    </w:p>
    <w:p>
      <w:pPr>
        <w:pStyle w:val="TextBody"/>
        <w:spacing w:before="360" w:after="0"/>
        <w:jc w:val="left"/>
        <w:rPr>
          <w:rFonts w:ascii="Times New Roman" w:hAnsi="Times New Roman"/>
          <w:b/>
          <w:sz w:val="17"/>
        </w:rPr>
      </w:pPr>
      <w:r>
        <w:rPr>
          <w:rFonts w:ascii="Times New Roman" w:hAnsi="Times New Roman"/>
          <w:b/>
          <w:sz w:val="17"/>
        </w:rPr>
        <w:t xml:space="preserve">Other Rights </w:t>
      </w:r>
    </w:p>
    <w:p>
      <w:pPr>
        <w:pStyle w:val="TextBody"/>
        <w:spacing w:before="120" w:after="0"/>
        <w:jc w:val="left"/>
        <w:rPr>
          <w:rFonts w:ascii="Times New Roman" w:hAnsi="Times New Roman"/>
          <w:sz w:val="17"/>
        </w:rPr>
      </w:pPr>
      <w:r>
        <w:rPr>
          <w:rFonts w:ascii="Times New Roman" w:hAnsi="Times New Roman"/>
          <w:sz w:val="17"/>
        </w:rPr>
        <w:t xml:space="preserve">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 same kind and amount of consideration per share of common stock. </w:t>
      </w:r>
    </w:p>
    <w:p>
      <w:pPr>
        <w:pStyle w:val="TextBody"/>
        <w:spacing w:before="360" w:after="0"/>
        <w:jc w:val="left"/>
        <w:rPr>
          <w:rFonts w:ascii="Times New Roman" w:hAnsi="Times New Roman"/>
          <w:b/>
          <w:sz w:val="17"/>
        </w:rPr>
      </w:pPr>
      <w:r>
        <w:rPr>
          <w:rFonts w:ascii="Times New Roman" w:hAnsi="Times New Roman"/>
          <w:b/>
          <w:sz w:val="17"/>
        </w:rPr>
        <w:t xml:space="preserve">Possible Anti-Takeover Provisions </w:t>
      </w:r>
    </w:p>
    <w:p>
      <w:pPr>
        <w:pStyle w:val="TextBody"/>
        <w:spacing w:before="120" w:after="0"/>
        <w:jc w:val="left"/>
        <w:rPr>
          <w:rFonts w:ascii="Times New Roman" w:hAnsi="Times New Roman"/>
          <w:sz w:val="17"/>
        </w:rPr>
      </w:pPr>
      <w:r>
        <w:rPr>
          <w:rFonts w:ascii="Times New Roman" w:hAnsi="Times New Roman"/>
          <w:sz w:val="17"/>
        </w:rPr>
        <w:t xml:space="preserve">Honeywells charter and by-laws provide: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vacancies on the board of directors other than at the annual meeting are filled by a vote of the remaining directors;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special meetings of shareowners generally may be called by the chief executive officer, by a majority of the authorized number of directors, or by the holders of not less than fifteen percent of the outstanding shares of Honeywell common stock (excluding derivatives);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action may be taken by shareowners only at annual or special meetings and not by written consent;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advance notice must be given to Honeywell for a shareowner to nominate directors for election at a shareowner meeting;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 </w:t>
            </w:r>
          </w:p>
        </w:tc>
      </w:tr>
    </w:tbl>
    <w:p>
      <w:pPr>
        <w:pStyle w:val="TextBody"/>
        <w:spacing w:before="240" w:after="0"/>
        <w:jc w:val="left"/>
        <w:rPr>
          <w:rFonts w:ascii="Times New Roman" w:hAnsi="Times New Roman"/>
          <w:sz w:val="17"/>
        </w:rPr>
      </w:pPr>
      <w:r>
        <w:rPr>
          <w:rFonts w:ascii="Times New Roman" w:hAnsi="Times New Roman"/>
          <w:sz w:val="17"/>
        </w:rPr>
        <w:t xml:space="preserve">Any of these provisions could delay, deter or prevent a tender offer for or attempted takeover of Honeywell. </w:t>
      </w:r>
    </w:p>
    <w:p>
      <w:pPr>
        <w:pStyle w:val="TextBody"/>
        <w:spacing w:before="240" w:after="0"/>
        <w:jc w:val="left"/>
        <w:rPr>
          <w:rFonts w:ascii="Times New Roman" w:hAnsi="Times New Roman"/>
          <w:sz w:val="17"/>
        </w:rPr>
      </w:pPr>
      <w:r>
        <w:rPr>
          <w:rFonts w:ascii="Times New Roman" w:hAnsi="Times New Roman"/>
          <w:sz w:val="17"/>
        </w:rPr>
        <w:t xml:space="preserve">Our charter permits us to issue up to 40,000,000 shares of preferred stock with terms that may be set by the board of directors of Honeywell or a committee of our board of directors. That preferred stock could have terms that could delay, deter or prevent a tender offer or takeover attempt of Honeywell. </w:t>
      </w:r>
    </w:p>
    <w:p>
      <w:pPr>
        <w:pStyle w:val="TextBody"/>
        <w:spacing w:before="240" w:after="0"/>
        <w:jc w:val="left"/>
        <w:rPr>
          <w:rFonts w:ascii="Times New Roman" w:hAnsi="Times New Roman"/>
          <w:sz w:val="17"/>
        </w:rPr>
      </w:pPr>
      <w:r>
        <w:rPr>
          <w:rFonts w:ascii="Times New Roman" w:hAnsi="Times New Roman"/>
          <w:sz w:val="17"/>
        </w:rPr>
        <w:t xml:space="preserve">Under Delaware law, an acquirer of 15% or more of our shares of common stock must wait three years before a business combination with us unless one of the following exceptions is available: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approval by our board of directors prior to the time the acquirer became a 15% shareowner of Honeywell;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acquisition of at least 85% of our voting stock in the transaction in which the acquirer became a 15% shareowner of Honeywell;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approval of the business combination by our board of directors and two-thirds of our disinterested shareowners. </w:t>
            </w:r>
          </w:p>
        </w:tc>
      </w:tr>
    </w:tbl>
    <w:p>
      <w:pPr>
        <w:pStyle w:val="TextBody"/>
        <w:spacing w:before="240" w:after="0"/>
        <w:jc w:val="left"/>
        <w:rPr>
          <w:rFonts w:ascii="Times New Roman" w:hAnsi="Times New Roman"/>
          <w:sz w:val="17"/>
        </w:rPr>
      </w:pPr>
      <w:r>
        <w:rPr>
          <w:rFonts w:ascii="Times New Roman" w:hAnsi="Times New Roman"/>
          <w:sz w:val="17"/>
        </w:rPr>
        <w:t xml:space="preserve">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 Honeywells by-laws also provide that any person or entity purchasing or otherwise acquiring any interest in shares of capital stock of Honeywell will be deemed to have notice of and consented to the exclusive forum provisions described above. </w:t>
      </w:r>
    </w:p>
    <w:p>
      <w:pPr>
        <w:pStyle w:val="TextBody"/>
        <w:spacing w:before="480" w:after="0"/>
        <w:jc w:val="center"/>
        <w:rPr>
          <w:rFonts w:ascii="Times New Roman" w:hAnsi="Times New Roman"/>
          <w:b/>
          <w:sz w:val="17"/>
        </w:rPr>
      </w:pPr>
      <w:r>
        <w:rPr>
          <w:rFonts w:ascii="Times New Roman" w:hAnsi="Times New Roman"/>
          <w:b/>
          <w:sz w:val="17"/>
        </w:rPr>
        <w:t>E</w:t>
      </w:r>
      <w:bookmarkStart w:id="37" w:name="driprom655836_7"/>
      <w:bookmarkEnd w:id="37"/>
      <w:r>
        <w:rPr>
          <w:rFonts w:ascii="Times New Roman" w:hAnsi="Times New Roman"/>
          <w:b/>
          <w:sz w:val="17"/>
        </w:rPr>
        <w:t xml:space="preserve">XPERTS </w:t>
      </w:r>
    </w:p>
    <w:p>
      <w:pPr>
        <w:pStyle w:val="TextBody"/>
        <w:spacing w:before="240" w:after="0"/>
        <w:jc w:val="left"/>
        <w:rPr>
          <w:rFonts w:ascii="Times New Roman" w:hAnsi="Times New Roman"/>
          <w:sz w:val="17"/>
        </w:rPr>
      </w:pPr>
      <w:r>
        <w:rPr>
          <w:rFonts w:ascii="Times New Roman" w:hAnsi="Times New Roman"/>
          <w:sz w:val="17"/>
        </w:rPr>
        <w:t xml:space="preserve">The financial statements incorporated in this Prospectus by reference from the Companys Annual Report on Form 10-K, and the effectiveness of Honeywell International Inc.s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 </w:t>
      </w:r>
    </w:p>
    <w:p>
      <w:pPr>
        <w:pStyle w:val="TextBody"/>
        <w:spacing w:before="480" w:after="0"/>
        <w:jc w:val="center"/>
        <w:rPr>
          <w:rFonts w:ascii="Times New Roman" w:hAnsi="Times New Roman"/>
          <w:b/>
          <w:sz w:val="17"/>
        </w:rPr>
      </w:pPr>
      <w:r>
        <w:rPr>
          <w:rFonts w:ascii="Times New Roman" w:hAnsi="Times New Roman"/>
          <w:b/>
          <w:sz w:val="17"/>
        </w:rPr>
        <w:t xml:space="preserve">LEGAL </w:t>
      </w:r>
      <w:bookmarkStart w:id="38" w:name="driprom655836_8"/>
      <w:bookmarkEnd w:id="38"/>
      <w:r>
        <w:rPr>
          <w:rFonts w:ascii="Times New Roman" w:hAnsi="Times New Roman"/>
          <w:b/>
          <w:sz w:val="17"/>
        </w:rPr>
        <w:t xml:space="preserve">OPINIONS </w:t>
      </w:r>
    </w:p>
    <w:p>
      <w:pPr>
        <w:pStyle w:val="TextBody"/>
        <w:spacing w:before="240" w:after="0"/>
        <w:jc w:val="left"/>
        <w:rPr>
          <w:rFonts w:ascii="Times New Roman" w:hAnsi="Times New Roman"/>
          <w:sz w:val="17"/>
        </w:rPr>
      </w:pPr>
      <w:r>
        <w:rPr>
          <w:rFonts w:ascii="Times New Roman" w:hAnsi="Times New Roman"/>
          <w:sz w:val="17"/>
        </w:rPr>
        <w:t xml:space="preserve">Certain legal matters will be passed upon for Honeywell by Anne T. Madden, Senior Vice President, General Counsel and Corporate Secretary, of Honeywell.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9" w:name="driprom655836_9"/>
      <w:bookmarkEnd w:id="39"/>
      <w:r>
        <w:rPr>
          <w:rFonts w:ascii="Times New Roman" w:hAnsi="Times New Roman"/>
          <w:b/>
          <w:sz w:val="17"/>
        </w:rPr>
        <w:t xml:space="preserve">WHERE YOU CAN FIND MORE INFORMATION ABOUT HONEYWELL </w:t>
      </w:r>
    </w:p>
    <w:p>
      <w:pPr>
        <w:pStyle w:val="TextBody"/>
        <w:spacing w:before="240" w:after="0"/>
        <w:jc w:val="left"/>
        <w:rPr>
          <w:rFonts w:ascii="Times New Roman" w:hAnsi="Times New Roman"/>
          <w:sz w:val="17"/>
        </w:rPr>
      </w:pPr>
      <w:r>
        <w:rPr>
          <w:rFonts w:ascii="Times New Roman" w:hAnsi="Times New Roman"/>
          <w:sz w:val="17"/>
        </w:rPr>
        <w:t xml:space="preserve">This prospectus, which constitutes a part of the registration statement, does not contain all of the information set forth in the registration statement or the exhibits and schedules filed with it. For further information about us, our securities and other information set forth herein, reference is made to the registration statement and exhibits and schedules filed with it. Statements contained in this prospectus regarding the contents of any contract or any other document that is filed as an exhibit to the registration statement are not necessarily complete, and each such statement is subject to, and qualified in its entirety by, reference to the applicable contract or other document filed herewith. </w:t>
      </w:r>
    </w:p>
    <w:p>
      <w:pPr>
        <w:pStyle w:val="TextBody"/>
        <w:spacing w:before="240" w:after="0"/>
        <w:jc w:val="left"/>
        <w:rPr>
          <w:rFonts w:ascii="Times New Roman" w:hAnsi="Times New Roman"/>
          <w:sz w:val="17"/>
        </w:rPr>
      </w:pPr>
      <w:r>
        <w:rPr>
          <w:rFonts w:ascii="Times New Roman" w:hAnsi="Times New Roman"/>
          <w:sz w:val="17"/>
        </w:rPr>
        <w:t xml:space="preserve">We file annual, quarterly and current reports, proxy statements and other information with the SEC. Our SEC filings are available to the public from the SECs Web site at http://www.sec.gov. You may also read and copy any document we file at the SECs public reference room located at 100 F Street N.E., Room 1580, Washington, D.C. 20549. You may also obtain copies of any document we file at prescribed rates by writing to the Public Reference Section of the SEC at that address. Please call the SEC at 1-800-SEC-0330 for further information on the public reference room. Information about us, including our SEC filings, is also available on our Web site at http://www.honeywell.com. The information on or linked to/from our Web site is not part of, and is not incorporated by reference into, this prospectus. Reference to our Web site is made as an inactive textual reference. You may also inspect reports, proxy statements and other information about Honeywell at the office of the New York Stock Exchange, 20 Broad Street, New York, NY 10005. </w:t>
      </w:r>
    </w:p>
    <w:p>
      <w:pPr>
        <w:pStyle w:val="TextBody"/>
        <w:spacing w:before="480" w:after="0"/>
        <w:jc w:val="center"/>
        <w:rPr>
          <w:rFonts w:ascii="Times New Roman" w:hAnsi="Times New Roman"/>
          <w:b/>
          <w:sz w:val="17"/>
        </w:rPr>
      </w:pPr>
      <w:bookmarkStart w:id="40" w:name="driprom655836_10"/>
      <w:bookmarkEnd w:id="40"/>
      <w:r>
        <w:rPr>
          <w:rFonts w:ascii="Times New Roman" w:hAnsi="Times New Roman"/>
          <w:b/>
          <w:sz w:val="17"/>
        </w:rPr>
        <w:t xml:space="preserve">INCORPORATION OF CERTAIN INFORMATION BY REFERENCE </w:t>
      </w:r>
    </w:p>
    <w:p>
      <w:pPr>
        <w:pStyle w:val="TextBody"/>
        <w:spacing w:before="240" w:after="0"/>
        <w:jc w:val="left"/>
        <w:rPr>
          <w:rFonts w:ascii="Times New Roman" w:hAnsi="Times New Roman"/>
          <w:sz w:val="17"/>
        </w:rPr>
      </w:pPr>
      <w:r>
        <w:rPr>
          <w:rFonts w:ascii="Times New Roman" w:hAnsi="Times New Roman"/>
          <w:sz w:val="17"/>
        </w:rPr>
        <w:t xml:space="preserve">The SEC allows us to incorporate by reference into this prospectus the information in other documents that we file with it, which means that we can disclose important information to you by referring you to those documents. The information incorporated by reference is considered to be a part of this prospectus, and information in documents filed with the SEC after the date of this prospectus will automatically update and supersede information contained herein or on file with the SEC as of the date of this prospectus. We incorporate by reference: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Annual Report on Form 10-K for the year ended December 31, 2017, filed with the SEC on February 9,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Quarterly Reports on Form 10-Q for the quarter ended March 31, 2018, filed with the SEC on April 20, 2018, for the quarter ended June 30, 2018, filed with the SEC on July 20, 2018 and for the quarter ended September 30, 2018, filed on October 19, 2018;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Current Reports on Form 8-K filed with the SEC on February 14, 2018, April 23, 2018, May 1, 2018, May 31, 2018, June 19, 2018, August 2, 2018, October 19, 2018 and October 29, 2018. </w:t>
            </w:r>
          </w:p>
        </w:tc>
      </w:tr>
    </w:tbl>
    <w:p>
      <w:pPr>
        <w:pStyle w:val="TextBody"/>
        <w:spacing w:before="240" w:after="0"/>
        <w:jc w:val="left"/>
        <w:rPr>
          <w:rFonts w:ascii="Times New Roman" w:hAnsi="Times New Roman"/>
          <w:sz w:val="17"/>
        </w:rPr>
      </w:pPr>
      <w:r>
        <w:rPr>
          <w:rFonts w:ascii="Times New Roman" w:hAnsi="Times New Roman"/>
          <w:sz w:val="17"/>
        </w:rPr>
        <w:t xml:space="preserve">We also incorporate by reference additional documents that we may file with the SEC after the date of this prospectus under Sections 13(a), 13(c), 14 or 15(d) of the Securities Exchange Act of 1934, as amended. These documents include periodic reports, which may include Annual Reports on Form 10-K, Quarterly Reports on Form 10-Q and Current Reports on Form 8-K, as well as proxy statements. </w:t>
      </w:r>
    </w:p>
    <w:p>
      <w:pPr>
        <w:pStyle w:val="TextBody"/>
        <w:spacing w:before="240" w:after="0"/>
        <w:jc w:val="left"/>
        <w:rPr>
          <w:rFonts w:ascii="Times New Roman" w:hAnsi="Times New Roman"/>
          <w:sz w:val="17"/>
        </w:rPr>
      </w:pPr>
      <w:r>
        <w:rPr>
          <w:rFonts w:ascii="Times New Roman" w:hAnsi="Times New Roman"/>
          <w:sz w:val="17"/>
        </w:rPr>
        <w:t xml:space="preserve">You can obtain any of the documents incorporated by reference in this prospectus through us, or from the SEC through the SECs Web site at the address provided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free of charge by requesting them in writing or by telephone from us at the following address and telephone number: Honeywell International Inc., 115 Tabor Road, Morris Plains, New Jersey 07950, Attention: Assistant Corporate Secretary, Telephone No.: (973) 455-2000.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CAUTIONARY STATEMEN</w:t>
      </w:r>
      <w:bookmarkStart w:id="41" w:name="driprom655836_11"/>
      <w:bookmarkEnd w:id="41"/>
      <w:r>
        <w:rPr>
          <w:rFonts w:ascii="Times New Roman" w:hAnsi="Times New Roman"/>
          <w:b/>
          <w:sz w:val="17"/>
        </w:rPr>
        <w:t xml:space="preserve">T CONCERNING FORWARD-LOOKING STATEMENTS </w:t>
      </w:r>
    </w:p>
    <w:p>
      <w:pPr>
        <w:pStyle w:val="TextBody"/>
        <w:spacing w:before="240" w:after="0"/>
        <w:jc w:val="left"/>
        <w:rPr>
          <w:rFonts w:ascii="Times New Roman" w:hAnsi="Times New Roman"/>
          <w:sz w:val="17"/>
        </w:rPr>
      </w:pPr>
      <w:r>
        <w:rPr>
          <w:rFonts w:ascii="Times New Roman" w:hAnsi="Times New Roman"/>
          <w:sz w:val="17"/>
        </w:rPr>
        <w:t xml:space="preserve">This prospectus contains forward-looking statements within the meaning of the Private Securities Litigation Reform Act of 1995.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 and long-term. These forward-looking statements should be considered in light of the information included in this prospectus, including the information under the heading Risk Factors and the description of trends and other factors in Managements Discussion and Analysis of Financial Condition and Results of Operations set forth in our Annual Report on Form 10-K for the year ended December 31, 2017 and in Managements Discussion and Analysis of Financial Condition and Results of Operations set forth in our Quarterly Report on Form 10-Q for the quarter ended September 30, 2018, which are incorporated herein by reference, and in our other filings with the SEC.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42" w:name="driprom655836_12"/>
      <w:bookmarkEnd w:id="42"/>
      <w:r>
        <w:rPr>
          <w:rFonts w:ascii="Times New Roman" w:hAnsi="Times New Roman"/>
          <w:b/>
          <w:sz w:val="17"/>
        </w:rPr>
        <w:t xml:space="preserve">INDEMNIFICATION UNDER THE SECURITIES ACT </w:t>
      </w:r>
    </w:p>
    <w:p>
      <w:pPr>
        <w:pStyle w:val="TextBody"/>
        <w:spacing w:before="240" w:after="0"/>
        <w:jc w:val="left"/>
        <w:rPr>
          <w:rFonts w:ascii="Times New Roman" w:hAnsi="Times New Roman"/>
          <w:sz w:val="17"/>
        </w:rPr>
      </w:pPr>
      <w:r>
        <w:rPr>
          <w:rFonts w:ascii="Times New Roman" w:hAnsi="Times New Roman"/>
          <w:sz w:val="17"/>
        </w:rPr>
        <w:t xml:space="preserve">Section 145 of the Delaware General Corporation Law (the </w:t>
      </w:r>
      <w:r>
        <w:rPr>
          <w:rFonts w:ascii="Times New Roman" w:hAnsi="Times New Roman"/>
          <w:b/>
          <w:i/>
          <w:sz w:val="17"/>
        </w:rPr>
        <w:t>DGCL</w:t>
      </w:r>
      <w:r>
        <w:rPr>
          <w:rFonts w:ascii="Times New Roman" w:hAnsi="Times New Roman"/>
          <w:sz w:val="17"/>
        </w:rPr>
        <w:t xml:space="preserve">) provides that a corporation may indemnify directors and officers as well as other employees and individuals against expenses (including attorneys fees), judgments, fines, and amounts paid in settlement in connection with specified actions, suits, proceedings whether civil, criminal, administrative, or investigative (other than action by or in the right of the corporationa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DGCL provides that it is not exclusive of other indemnification that may be granted by a corporations charter, by-laws, disinterested director vote, shareowner vote, agreement, or otherwise. </w:t>
      </w:r>
    </w:p>
    <w:p>
      <w:pPr>
        <w:pStyle w:val="TextBody"/>
        <w:spacing w:before="240" w:after="0"/>
        <w:jc w:val="left"/>
        <w:rPr>
          <w:rFonts w:ascii="Times New Roman" w:hAnsi="Times New Roman"/>
          <w:sz w:val="17"/>
        </w:rPr>
      </w:pPr>
      <w:r>
        <w:rPr>
          <w:rFonts w:ascii="Times New Roman" w:hAnsi="Times New Roman"/>
          <w:sz w:val="17"/>
        </w:rPr>
        <w:t xml:space="preserve">Section 102(b)(7) of the DGCL permits a corporation to provide in its certificate of incorporation that a director of the corporation shall not be personally liable to the corporation or its shareowners for monetary damages for breach of fiduciary duty as a director, except for liability for (i) any breach of the directors duty of loyalty to the corporation or its stockholders, (ii) acts or omissions not in good faith or which involve intentional misconduct or a knowing violation of law, (iii) payment of unlawful dividends or unlawful stock purchases or redemptions or (iv) any transaction from which the director derived an improper personal benefit. </w:t>
      </w:r>
    </w:p>
    <w:p>
      <w:pPr>
        <w:pStyle w:val="TextBody"/>
        <w:spacing w:before="240" w:after="0"/>
        <w:jc w:val="left"/>
        <w:rPr>
          <w:rFonts w:ascii="Times New Roman" w:hAnsi="Times New Roman"/>
          <w:sz w:val="17"/>
        </w:rPr>
      </w:pPr>
      <w:r>
        <w:rPr>
          <w:rFonts w:ascii="Times New Roman" w:hAnsi="Times New Roman"/>
          <w:sz w:val="17"/>
        </w:rPr>
        <w:t xml:space="preserve">Under Article ELEVENTH of Honeywells Amended and Restated Certificate of Incorporation, each person who is or was a director or officer of Honeywell, and each director or officer of Honeywell who serves or served any other enterprise or organization at the request of Honeywell, shall be indemnified by Honeywell to the full extent permitted by the DGCL. </w:t>
      </w:r>
    </w:p>
    <w:p>
      <w:pPr>
        <w:pStyle w:val="TextBody"/>
        <w:spacing w:before="240" w:after="0"/>
        <w:jc w:val="left"/>
        <w:rPr>
          <w:rFonts w:ascii="Times New Roman" w:hAnsi="Times New Roman"/>
          <w:sz w:val="17"/>
        </w:rPr>
      </w:pPr>
      <w:r>
        <w:rPr>
          <w:rFonts w:ascii="Times New Roman" w:hAnsi="Times New Roman"/>
          <w:sz w:val="17"/>
        </w:rPr>
        <w:t xml:space="preserve">Under the DGCL, to the extent that such a person is successful on the merits or otherwise in defense of a suit or proceeding brought against such person by reason of the fact that such person is or was a director or officer of Honeywell, or serves or served any other enterprise or organization at the request of Honeywell, such person shall be indemnified against expenses (including attorneys fees) actually and reasonably incurred in connection with such action. </w:t>
      </w:r>
    </w:p>
    <w:p>
      <w:pPr>
        <w:pStyle w:val="TextBody"/>
        <w:spacing w:before="240" w:after="0"/>
        <w:jc w:val="left"/>
        <w:rPr>
          <w:rFonts w:ascii="Times New Roman" w:hAnsi="Times New Roman"/>
          <w:sz w:val="17"/>
        </w:rPr>
      </w:pPr>
      <w:r>
        <w:rPr>
          <w:rFonts w:ascii="Times New Roman" w:hAnsi="Times New Roman"/>
          <w:sz w:val="17"/>
        </w:rPr>
        <w:t xml:space="preserve">If unsuccessful in defense of a third-party civil suit or a criminal suit, or if such a suit is settled, such a person shall be indemnified under such law against both (1) expenses (including attorneys fees) and (2) judgments, fines and amounts paid in settlement if such person acted in good faith and in a manner such person reasonably believed to be in, or not opposed to, the best interests of Honeywell, and with respect to any criminal action, had no reasonable cause to believe such persons conduct was unlawful. </w:t>
      </w:r>
    </w:p>
    <w:p>
      <w:pPr>
        <w:pStyle w:val="TextBody"/>
        <w:spacing w:before="240" w:after="0"/>
        <w:jc w:val="left"/>
        <w:rPr>
          <w:rFonts w:ascii="Times New Roman" w:hAnsi="Times New Roman"/>
          <w:sz w:val="17"/>
        </w:rPr>
      </w:pPr>
      <w:r>
        <w:rPr>
          <w:rFonts w:ascii="Times New Roman" w:hAnsi="Times New Roman"/>
          <w:sz w:val="17"/>
        </w:rPr>
        <w:t xml:space="preserve">If unsuccessful in defense of a suit brought by or in the right of Honeywell, or if such suit is settled, such a person shall be indemnified under such law only against expenses (including attorneys fees) actually and reasonably incurred in the defense or settlement of such suit if such person acted in good faith and in a manner such person reasonably believed to be in, or not opposed to, the best interests of Honeywell except that if such a person is adjudged to be liable in such suit to Honeywell, such person cannot be made whole even for expenses unless the court determines that such person is fairly and reasonably entitled to indemnity for such expenses. </w:t>
      </w:r>
    </w:p>
    <w:p>
      <w:pPr>
        <w:pStyle w:val="TextBody"/>
        <w:spacing w:before="240" w:after="0"/>
        <w:jc w:val="left"/>
        <w:rPr>
          <w:rFonts w:ascii="Times New Roman" w:hAnsi="Times New Roman"/>
          <w:sz w:val="17"/>
        </w:rPr>
      </w:pPr>
      <w:r>
        <w:rPr>
          <w:rFonts w:ascii="Times New Roman" w:hAnsi="Times New Roman"/>
          <w:sz w:val="17"/>
        </w:rPr>
        <w:t xml:space="preserve">In addition, Honeywell maintains directors and officers reimbursement and liability insurance pursuant to standard form policies. The risks covered by such policies include certain liabilities under the securities laws. </w:t>
      </w:r>
    </w:p>
    <w:p>
      <w:pPr>
        <w:pStyle w:val="TextBody"/>
        <w:spacing w:before="240" w:after="0"/>
        <w:jc w:val="left"/>
        <w:rPr>
          <w:rFonts w:ascii="Times New Roman" w:hAnsi="Times New Roman"/>
          <w:sz w:val="17"/>
        </w:rPr>
      </w:pPr>
      <w:r>
        <w:rPr>
          <w:rFonts w:ascii="Times New Roman" w:hAnsi="Times New Roman"/>
          <w:sz w:val="17"/>
        </w:rPr>
        <w:t xml:space="preserve">Insofar as indemnification for liabilities arising under the Securities Act may be permitted to directors, officers or persons controlling Honeywell pursuant to our Amended and Restated Certificate of Incorporation, Delaware law, or otherwise, we have been informed that in the opinion of the SEC such indemnification is against public policy as expressed in the Securities Act and is therefore unenforceable.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173355" cy="336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3355" cy="336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INFORMATION NOT REQUIRED IN PROSPECTUS </w:t>
      </w:r>
    </w:p>
    <w:p>
      <w:pPr>
        <w:pStyle w:val="TextBody"/>
        <w:spacing w:before="240" w:after="0"/>
        <w:jc w:val="left"/>
        <w:rPr>
          <w:rFonts w:ascii="Times New Roman" w:hAnsi="Times New Roman"/>
          <w:b/>
          <w:sz w:val="17"/>
        </w:rPr>
      </w:pPr>
      <w:r>
        <w:rPr>
          <w:rFonts w:ascii="Times New Roman" w:hAnsi="Times New Roman"/>
          <w:b/>
          <w:sz w:val="17"/>
        </w:rPr>
        <w:t xml:space="preserve">Item 14. Other Expenses of Issuance and Distribution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991"/>
        <w:gridCol w:w="601"/>
        <w:gridCol w:w="140"/>
        <w:gridCol w:w="881"/>
        <w:gridCol w:w="326"/>
      </w:tblGrid>
      <w:tr>
        <w:trPr/>
        <w:tc>
          <w:tcPr>
            <w:tcW w:w="499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r>
      <w:tr>
        <w:trPr/>
        <w:tc>
          <w:tcPr>
            <w:tcW w:w="4991"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0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326" w:type="dxa"/>
            <w:tcBorders/>
            <w:shd w:fill="auto" w:val="clear"/>
            <w:vAlign w:val="bottom"/>
          </w:tcPr>
          <w:p>
            <w:pPr>
              <w:pStyle w:val="TableContents"/>
              <w:spacing w:before="0" w:after="283"/>
              <w:rPr/>
            </w:pPr>
            <w:r>
              <w:rPr/>
              <w:t> </w:t>
            </w:r>
          </w:p>
        </w:tc>
      </w:tr>
      <w:tr>
        <w:trPr/>
        <w:tc>
          <w:tcPr>
            <w:tcW w:w="4991" w:type="dxa"/>
            <w:tcBorders/>
            <w:shd w:fill="CCEEFF" w:val="clear"/>
          </w:tcPr>
          <w:p>
            <w:pPr>
              <w:pStyle w:val="TableContents"/>
              <w:spacing w:before="0" w:after="0"/>
              <w:rPr>
                <w:rFonts w:ascii="Times New Roman" w:hAnsi="Times New Roman"/>
                <w:sz w:val="17"/>
              </w:rPr>
            </w:pPr>
            <w:r>
              <w:rPr>
                <w:rFonts w:ascii="Times New Roman" w:hAnsi="Times New Roman"/>
                <w:sz w:val="17"/>
              </w:rPr>
              <w:t>SEC registration fee</w:t>
            </w:r>
          </w:p>
        </w:tc>
        <w:tc>
          <w:tcPr>
            <w:tcW w:w="6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1" w:type="dxa"/>
            <w:tcBorders/>
            <w:shd w:fill="CCEEFF" w:val="clear"/>
            <w:vAlign w:val="bottom"/>
          </w:tcPr>
          <w:p>
            <w:pPr>
              <w:pStyle w:val="TableContents"/>
              <w:spacing w:before="0" w:after="283"/>
              <w:jc w:val="right"/>
              <w:rPr/>
            </w:pPr>
            <w:r>
              <w:rPr/>
              <w:t>0</w:t>
            </w:r>
          </w:p>
        </w:tc>
        <w:tc>
          <w:tcPr>
            <w:tcW w:w="326" w:type="dxa"/>
            <w:tcBorders/>
            <w:shd w:fill="CCEEFF" w:val="clear"/>
            <w:vAlign w:val="bottom"/>
          </w:tcPr>
          <w:p>
            <w:pPr>
              <w:pStyle w:val="TableContents"/>
              <w:spacing w:before="0" w:after="283"/>
              <w:rPr/>
            </w:pPr>
            <w:r>
              <w:rPr/>
              <w:t>** </w:t>
            </w:r>
          </w:p>
        </w:tc>
      </w:tr>
      <w:tr>
        <w:trPr/>
        <w:tc>
          <w:tcPr>
            <w:tcW w:w="4991" w:type="dxa"/>
            <w:tcBorders/>
            <w:shd w:fill="auto" w:val="clear"/>
          </w:tcPr>
          <w:p>
            <w:pPr>
              <w:pStyle w:val="TableContents"/>
              <w:spacing w:before="0" w:after="0"/>
              <w:rPr>
                <w:rFonts w:ascii="Times New Roman" w:hAnsi="Times New Roman"/>
                <w:sz w:val="17"/>
              </w:rPr>
            </w:pPr>
            <w:r>
              <w:rPr>
                <w:rFonts w:ascii="Times New Roman" w:hAnsi="Times New Roman"/>
                <w:sz w:val="17"/>
              </w:rPr>
              <w:t>Legal fees and expenses</w:t>
            </w:r>
          </w:p>
        </w:tc>
        <w:tc>
          <w:tcPr>
            <w:tcW w:w="6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81" w:type="dxa"/>
            <w:tcBorders/>
            <w:shd w:fill="auto" w:val="clear"/>
            <w:vAlign w:val="bottom"/>
          </w:tcPr>
          <w:p>
            <w:pPr>
              <w:pStyle w:val="TableContents"/>
              <w:spacing w:before="0" w:after="283"/>
              <w:jc w:val="right"/>
              <w:rPr/>
            </w:pPr>
            <w:r>
              <w:rPr/>
              <w:t>90,000</w:t>
            </w:r>
          </w:p>
        </w:tc>
        <w:tc>
          <w:tcPr>
            <w:tcW w:w="326" w:type="dxa"/>
            <w:tcBorders/>
            <w:shd w:fill="auto" w:val="clear"/>
            <w:vAlign w:val="bottom"/>
          </w:tcPr>
          <w:p>
            <w:pPr>
              <w:pStyle w:val="TableContents"/>
              <w:spacing w:before="0" w:after="283"/>
              <w:rPr/>
            </w:pPr>
            <w:r>
              <w:rPr/>
              <w:t> </w:t>
            </w:r>
          </w:p>
        </w:tc>
      </w:tr>
      <w:tr>
        <w:trPr/>
        <w:tc>
          <w:tcPr>
            <w:tcW w:w="4991" w:type="dxa"/>
            <w:tcBorders/>
            <w:shd w:fill="CCEEFF" w:val="clear"/>
          </w:tcPr>
          <w:p>
            <w:pPr>
              <w:pStyle w:val="TableContents"/>
              <w:spacing w:before="0" w:after="0"/>
              <w:rPr>
                <w:rFonts w:ascii="Times New Roman" w:hAnsi="Times New Roman"/>
                <w:sz w:val="17"/>
              </w:rPr>
            </w:pPr>
            <w:r>
              <w:rPr>
                <w:rFonts w:ascii="Times New Roman" w:hAnsi="Times New Roman"/>
                <w:sz w:val="17"/>
              </w:rPr>
              <w:t>Accounting fees and expenses</w:t>
            </w:r>
          </w:p>
        </w:tc>
        <w:tc>
          <w:tcPr>
            <w:tcW w:w="6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1" w:type="dxa"/>
            <w:tcBorders/>
            <w:shd w:fill="CCEEFF" w:val="clear"/>
            <w:vAlign w:val="bottom"/>
          </w:tcPr>
          <w:p>
            <w:pPr>
              <w:pStyle w:val="TableContents"/>
              <w:spacing w:before="0" w:after="283"/>
              <w:jc w:val="right"/>
              <w:rPr/>
            </w:pPr>
            <w:r>
              <w:rPr/>
              <w:t>30,000</w:t>
            </w:r>
          </w:p>
        </w:tc>
        <w:tc>
          <w:tcPr>
            <w:tcW w:w="326" w:type="dxa"/>
            <w:tcBorders/>
            <w:shd w:fill="CCEEFF" w:val="clear"/>
            <w:vAlign w:val="bottom"/>
          </w:tcPr>
          <w:p>
            <w:pPr>
              <w:pStyle w:val="TableContents"/>
              <w:spacing w:before="0" w:after="283"/>
              <w:rPr/>
            </w:pPr>
            <w:r>
              <w:rPr/>
              <w:t> </w:t>
            </w:r>
          </w:p>
        </w:tc>
      </w:tr>
      <w:tr>
        <w:trPr/>
        <w:tc>
          <w:tcPr>
            <w:tcW w:w="4991" w:type="dxa"/>
            <w:tcBorders/>
            <w:shd w:fill="auto" w:val="clear"/>
          </w:tcPr>
          <w:p>
            <w:pPr>
              <w:pStyle w:val="TableContents"/>
              <w:spacing w:before="0" w:after="0"/>
              <w:rPr>
                <w:rFonts w:ascii="Times New Roman" w:hAnsi="Times New Roman"/>
                <w:sz w:val="17"/>
              </w:rPr>
            </w:pPr>
            <w:r>
              <w:rPr>
                <w:rFonts w:ascii="Times New Roman" w:hAnsi="Times New Roman"/>
                <w:sz w:val="17"/>
              </w:rPr>
              <w:t>Printing fees</w:t>
            </w:r>
          </w:p>
        </w:tc>
        <w:tc>
          <w:tcPr>
            <w:tcW w:w="6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81" w:type="dxa"/>
            <w:tcBorders/>
            <w:shd w:fill="auto" w:val="clear"/>
            <w:vAlign w:val="bottom"/>
          </w:tcPr>
          <w:p>
            <w:pPr>
              <w:pStyle w:val="TableContents"/>
              <w:spacing w:before="0" w:after="283"/>
              <w:jc w:val="right"/>
              <w:rPr/>
            </w:pPr>
            <w:r>
              <w:rPr/>
              <w:t>15,500</w:t>
            </w:r>
          </w:p>
        </w:tc>
        <w:tc>
          <w:tcPr>
            <w:tcW w:w="326" w:type="dxa"/>
            <w:tcBorders/>
            <w:shd w:fill="auto" w:val="clear"/>
            <w:vAlign w:val="bottom"/>
          </w:tcPr>
          <w:p>
            <w:pPr>
              <w:pStyle w:val="TableContents"/>
              <w:spacing w:before="0" w:after="283"/>
              <w:rPr/>
            </w:pPr>
            <w:r>
              <w:rPr/>
              <w:t> </w:t>
            </w:r>
          </w:p>
        </w:tc>
      </w:tr>
      <w:tr>
        <w:trPr/>
        <w:tc>
          <w:tcPr>
            <w:tcW w:w="4991" w:type="dxa"/>
            <w:tcBorders/>
            <w:shd w:fill="CCEEFF" w:val="clear"/>
          </w:tcPr>
          <w:p>
            <w:pPr>
              <w:pStyle w:val="TableContents"/>
              <w:spacing w:before="0" w:after="0"/>
              <w:rPr>
                <w:rFonts w:ascii="Times New Roman" w:hAnsi="Times New Roman"/>
                <w:sz w:val="17"/>
              </w:rPr>
            </w:pPr>
            <w:r>
              <w:rPr>
                <w:rFonts w:ascii="Times New Roman" w:hAnsi="Times New Roman"/>
                <w:sz w:val="17"/>
              </w:rPr>
              <w:t>Rating agency fees</w:t>
            </w:r>
          </w:p>
        </w:tc>
        <w:tc>
          <w:tcPr>
            <w:tcW w:w="6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1" w:type="dxa"/>
            <w:tcBorders/>
            <w:shd w:fill="CCEEFF" w:val="clear"/>
            <w:vAlign w:val="bottom"/>
          </w:tcPr>
          <w:p>
            <w:pPr>
              <w:pStyle w:val="TableContents"/>
              <w:spacing w:before="0" w:after="283"/>
              <w:jc w:val="right"/>
              <w:rPr/>
            </w:pPr>
            <w:r>
              <w:rPr/>
              <w:t>90,000</w:t>
            </w:r>
          </w:p>
        </w:tc>
        <w:tc>
          <w:tcPr>
            <w:tcW w:w="326" w:type="dxa"/>
            <w:tcBorders/>
            <w:shd w:fill="CCEEFF" w:val="clear"/>
            <w:vAlign w:val="bottom"/>
          </w:tcPr>
          <w:p>
            <w:pPr>
              <w:pStyle w:val="TableContents"/>
              <w:spacing w:before="0" w:after="283"/>
              <w:rPr/>
            </w:pPr>
            <w:r>
              <w:rPr/>
              <w:t> </w:t>
            </w:r>
          </w:p>
        </w:tc>
      </w:tr>
      <w:tr>
        <w:trPr/>
        <w:tc>
          <w:tcPr>
            <w:tcW w:w="4991" w:type="dxa"/>
            <w:tcBorders/>
            <w:shd w:fill="auto" w:val="clear"/>
          </w:tcPr>
          <w:p>
            <w:pPr>
              <w:pStyle w:val="TableContents"/>
              <w:spacing w:before="0" w:after="0"/>
              <w:rPr>
                <w:rFonts w:ascii="Times New Roman" w:hAnsi="Times New Roman"/>
                <w:sz w:val="17"/>
              </w:rPr>
            </w:pPr>
            <w:r>
              <w:rPr>
                <w:rFonts w:ascii="Times New Roman" w:hAnsi="Times New Roman"/>
                <w:sz w:val="17"/>
              </w:rPr>
              <w:t>Trustees fees and expenses</w:t>
            </w:r>
          </w:p>
        </w:tc>
        <w:tc>
          <w:tcPr>
            <w:tcW w:w="6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81" w:type="dxa"/>
            <w:tcBorders/>
            <w:shd w:fill="auto" w:val="clear"/>
            <w:vAlign w:val="bottom"/>
          </w:tcPr>
          <w:p>
            <w:pPr>
              <w:pStyle w:val="TableContents"/>
              <w:spacing w:before="0" w:after="283"/>
              <w:jc w:val="right"/>
              <w:rPr/>
            </w:pPr>
            <w:r>
              <w:rPr/>
              <w:t>5,000</w:t>
            </w:r>
          </w:p>
        </w:tc>
        <w:tc>
          <w:tcPr>
            <w:tcW w:w="326" w:type="dxa"/>
            <w:tcBorders/>
            <w:shd w:fill="auto" w:val="clear"/>
            <w:vAlign w:val="bottom"/>
          </w:tcPr>
          <w:p>
            <w:pPr>
              <w:pStyle w:val="TableContents"/>
              <w:spacing w:before="0" w:after="283"/>
              <w:rPr/>
            </w:pPr>
            <w:r>
              <w:rPr/>
              <w:t> </w:t>
            </w:r>
          </w:p>
        </w:tc>
      </w:tr>
      <w:tr>
        <w:trPr/>
        <w:tc>
          <w:tcPr>
            <w:tcW w:w="4991" w:type="dxa"/>
            <w:tcBorders/>
            <w:shd w:fill="CCEEFF" w:val="clear"/>
          </w:tcPr>
          <w:p>
            <w:pPr>
              <w:pStyle w:val="TableContents"/>
              <w:spacing w:before="0" w:after="0"/>
              <w:rPr>
                <w:rFonts w:ascii="Times New Roman" w:hAnsi="Times New Roman"/>
                <w:sz w:val="17"/>
              </w:rPr>
            </w:pPr>
            <w:r>
              <w:rPr>
                <w:rFonts w:ascii="Times New Roman" w:hAnsi="Times New Roman"/>
                <w:sz w:val="17"/>
              </w:rPr>
              <w:t>Miscellaneous</w:t>
            </w:r>
          </w:p>
        </w:tc>
        <w:tc>
          <w:tcPr>
            <w:tcW w:w="6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1" w:type="dxa"/>
            <w:tcBorders/>
            <w:shd w:fill="CCEEFF" w:val="clear"/>
            <w:vAlign w:val="bottom"/>
          </w:tcPr>
          <w:p>
            <w:pPr>
              <w:pStyle w:val="TableContents"/>
              <w:spacing w:before="0" w:after="283"/>
              <w:jc w:val="right"/>
              <w:rPr/>
            </w:pPr>
            <w:r>
              <w:rPr/>
              <w:t>5,000</w:t>
            </w:r>
          </w:p>
        </w:tc>
        <w:tc>
          <w:tcPr>
            <w:tcW w:w="326" w:type="dxa"/>
            <w:tcBorders/>
            <w:shd w:fill="CCEEFF" w:val="clear"/>
            <w:vAlign w:val="bottom"/>
          </w:tcPr>
          <w:p>
            <w:pPr>
              <w:pStyle w:val="TableContents"/>
              <w:spacing w:before="0" w:after="283"/>
              <w:rPr/>
            </w:pPr>
            <w:r>
              <w:rPr/>
              <w:t> </w:t>
            </w:r>
          </w:p>
        </w:tc>
      </w:tr>
      <w:tr>
        <w:trPr/>
        <w:tc>
          <w:tcPr>
            <w:tcW w:w="4991"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1" w:type="dxa"/>
            <w:tcBorders/>
            <w:shd w:fill="auto" w:val="clear"/>
            <w:vAlign w:val="bottom"/>
          </w:tcPr>
          <w:p>
            <w:pPr>
              <w:pStyle w:val="TableContents"/>
              <w:pBdr>
                <w:top w:val="single" w:sz="2" w:space="1" w:color="000000"/>
              </w:pBdr>
              <w:spacing w:before="0" w:after="0"/>
              <w:rPr/>
            </w:pPr>
            <w:r>
              <w:rPr/>
              <w:t> </w:t>
            </w:r>
          </w:p>
        </w:tc>
        <w:tc>
          <w:tcPr>
            <w:tcW w:w="326" w:type="dxa"/>
            <w:tcBorders/>
            <w:shd w:fill="auto" w:val="clear"/>
            <w:vAlign w:val="center"/>
          </w:tcPr>
          <w:p>
            <w:pPr>
              <w:pStyle w:val="TableContents"/>
              <w:spacing w:before="0" w:after="283"/>
              <w:rPr/>
            </w:pPr>
            <w:r>
              <w:rPr/>
              <w:t> </w:t>
            </w:r>
          </w:p>
        </w:tc>
      </w:tr>
      <w:tr>
        <w:trPr/>
        <w:tc>
          <w:tcPr>
            <w:tcW w:w="4991"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6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81" w:type="dxa"/>
            <w:tcBorders/>
            <w:shd w:fill="auto" w:val="clear"/>
            <w:vAlign w:val="bottom"/>
          </w:tcPr>
          <w:p>
            <w:pPr>
              <w:pStyle w:val="TableContents"/>
              <w:spacing w:before="0" w:after="283"/>
              <w:jc w:val="right"/>
              <w:rPr/>
            </w:pPr>
            <w:r>
              <w:rPr/>
              <w:t>235,500</w:t>
            </w:r>
          </w:p>
        </w:tc>
        <w:tc>
          <w:tcPr>
            <w:tcW w:w="326" w:type="dxa"/>
            <w:tcBorders/>
            <w:shd w:fill="auto" w:val="clear"/>
            <w:vAlign w:val="bottom"/>
          </w:tcPr>
          <w:p>
            <w:pPr>
              <w:pStyle w:val="TableContents"/>
              <w:spacing w:before="0" w:after="283"/>
              <w:rPr/>
            </w:pPr>
            <w:r>
              <w:rPr/>
              <w:t> </w:t>
            </w:r>
          </w:p>
        </w:tc>
      </w:tr>
      <w:tr>
        <w:trPr/>
        <w:tc>
          <w:tcPr>
            <w:tcW w:w="4991"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81" w:type="dxa"/>
            <w:tcBorders/>
            <w:shd w:fill="auto" w:val="clear"/>
            <w:vAlign w:val="bottom"/>
          </w:tcPr>
          <w:p>
            <w:pPr>
              <w:pStyle w:val="TableContents"/>
              <w:pBdr>
                <w:top w:val="double" w:sz="6" w:space="1" w:color="000000"/>
              </w:pBdr>
              <w:spacing w:before="0" w:after="0"/>
              <w:rPr/>
            </w:pPr>
            <w:r>
              <w:rPr/>
              <w:t> </w:t>
            </w:r>
          </w:p>
        </w:tc>
        <w:tc>
          <w:tcPr>
            <w:tcW w:w="326"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All amounts of fees and expenses to be incurred in connection with the registration of the securities pursuant to this registration statement are estimated. The actual amounts of fees and expenses will be determined from time to time. As the amount of the securities to be issued and distributed pursuant to this registration statement is indeterminate, the fees and expenses of such issuance cannot be determined or estimated at this time. These expenses do not include recurring annual expenses.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Deferred in accordance with Rules 456(b) and 457(r) under the Securities Act of 1933, as amended, or previously paid in connection with securities carried over from an earlier registration statement pursuant to Rule 415(a)(6). </w:t>
            </w:r>
          </w:p>
        </w:tc>
      </w:tr>
    </w:tbl>
    <w:p>
      <w:pPr>
        <w:pStyle w:val="TextBody"/>
        <w:spacing w:before="360" w:after="0"/>
        <w:jc w:val="left"/>
        <w:rPr>
          <w:rFonts w:ascii="Times New Roman" w:hAnsi="Times New Roman"/>
          <w:b/>
          <w:sz w:val="17"/>
        </w:rPr>
      </w:pPr>
      <w:r>
        <w:rPr>
          <w:rFonts w:ascii="Times New Roman" w:hAnsi="Times New Roman"/>
          <w:b/>
          <w:sz w:val="17"/>
        </w:rPr>
        <w:t xml:space="preserve">Item 15. Indemnification of Directors and Officers </w:t>
      </w:r>
    </w:p>
    <w:p>
      <w:pPr>
        <w:pStyle w:val="TextBody"/>
        <w:spacing w:before="120" w:after="0"/>
        <w:jc w:val="left"/>
        <w:rPr>
          <w:rFonts w:ascii="Times New Roman" w:hAnsi="Times New Roman"/>
          <w:sz w:val="17"/>
        </w:rPr>
      </w:pPr>
      <w:r>
        <w:rPr>
          <w:rFonts w:ascii="Times New Roman" w:hAnsi="Times New Roman"/>
          <w:sz w:val="17"/>
        </w:rPr>
        <w:t xml:space="preserve">Section 145 of the Delaware General Corporation Law (the </w:t>
      </w:r>
      <w:r>
        <w:rPr>
          <w:rFonts w:ascii="Times New Roman" w:hAnsi="Times New Roman"/>
          <w:b/>
          <w:i/>
          <w:sz w:val="17"/>
        </w:rPr>
        <w:t>DGCL</w:t>
      </w:r>
      <w:r>
        <w:rPr>
          <w:rFonts w:ascii="Times New Roman" w:hAnsi="Times New Roman"/>
          <w:sz w:val="17"/>
        </w:rPr>
        <w:t xml:space="preserve">) provides that a corporation may indemnify directors and officers as well as other employees and individuals against expenses (including attorneys fees), judgments, fines, and amounts paid in settlement in connection with specified actions, suits, proceedings whether civil, criminal, administrative, or investigative (other than action by or in the right of the corporationa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DGCL provides that it is not exclusive of other indemnification that may be granted by a corporations charter, by-laws, disinterested director vote, shareowner vote, agreement, or otherwise. </w:t>
      </w:r>
    </w:p>
    <w:p>
      <w:pPr>
        <w:pStyle w:val="TextBody"/>
        <w:spacing w:before="240" w:after="0"/>
        <w:jc w:val="left"/>
        <w:rPr>
          <w:rFonts w:ascii="Times New Roman" w:hAnsi="Times New Roman"/>
          <w:sz w:val="17"/>
        </w:rPr>
      </w:pPr>
      <w:r>
        <w:rPr>
          <w:rFonts w:ascii="Times New Roman" w:hAnsi="Times New Roman"/>
          <w:sz w:val="17"/>
        </w:rPr>
        <w:t xml:space="preserve">Section 102(b)(7) of the DGCL permits a corporation to provide in its certificate of incorporation that a director of the corporation shall not be personally liable to the corporation or its shareowners for monetary damages for breach of fiduciary duty as a director, except for liability for (i) any breach of the directors duly of loyalty to the corporation or its stockholders, (ii) acts or omissions not in good faith or which involve intentional misconduct or a knowing violation of law, (iii) payment of unlawful dividends or unlawful stock purchases or redemptions, or (iv) any transaction from which the director derived an improper personal benefit. </w:t>
      </w:r>
    </w:p>
    <w:p>
      <w:pPr>
        <w:pStyle w:val="TextBody"/>
        <w:spacing w:before="240" w:after="0"/>
        <w:jc w:val="left"/>
        <w:rPr>
          <w:rFonts w:ascii="Times New Roman" w:hAnsi="Times New Roman"/>
          <w:sz w:val="17"/>
        </w:rPr>
      </w:pPr>
      <w:r>
        <w:rPr>
          <w:rFonts w:ascii="Times New Roman" w:hAnsi="Times New Roman"/>
          <w:sz w:val="17"/>
        </w:rPr>
        <w:t xml:space="preserve">Under Article ELEVENTH of Honeywells Amended and Restated Certificate of Incorporation, each person who is or was a director or officer of Honeywell, and each director or officer of Honeywell who serves or served any other enterprise or organization at the request of Honeywell, shall be indemnified by Honeywell to the full extent permitted by the DGCL. </w:t>
      </w:r>
    </w:p>
    <w:p>
      <w:pPr>
        <w:pStyle w:val="TextBody"/>
        <w:spacing w:before="240" w:after="0"/>
        <w:jc w:val="left"/>
        <w:rPr>
          <w:rFonts w:ascii="Times New Roman" w:hAnsi="Times New Roman"/>
          <w:sz w:val="17"/>
        </w:rPr>
      </w:pPr>
      <w:r>
        <w:rPr>
          <w:rFonts w:ascii="Times New Roman" w:hAnsi="Times New Roman"/>
          <w:sz w:val="17"/>
        </w:rPr>
        <w:t xml:space="preserve">Under the DGCL, to the extent that such a person is successful on the merits or otherwise in defense of a suit or proceeding brought against such person by reason of the fact that such person is or was a director 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officer of Honeywell, or serves or served any other enterprise or organization at the request of Honeywell, such person shall be indemnified against expenses (including attorneys fees) actually and reasonably incurred in connection with such action. </w:t>
      </w:r>
    </w:p>
    <w:p>
      <w:pPr>
        <w:pStyle w:val="TextBody"/>
        <w:spacing w:before="240" w:after="0"/>
        <w:jc w:val="left"/>
        <w:rPr>
          <w:rFonts w:ascii="Times New Roman" w:hAnsi="Times New Roman"/>
          <w:sz w:val="17"/>
        </w:rPr>
      </w:pPr>
      <w:r>
        <w:rPr>
          <w:rFonts w:ascii="Times New Roman" w:hAnsi="Times New Roman"/>
          <w:sz w:val="17"/>
        </w:rPr>
        <w:t xml:space="preserve">If unsuccessful in defense of a third-party civil suit or a criminal suit, or if such a suit is settled, such a person shall be indemnified under such law against both (i) expenses (including attorneys fees) and (ii) judgments, fines and amounts paid in settlement if such person acted in good faith and in a manner such person reasonably believed to be in, or not opposed to, the best interests of Honeywell, and with respect to any criminal action, had no reasonable cause to believe such persons conduct was unlawful. </w:t>
      </w:r>
    </w:p>
    <w:p>
      <w:pPr>
        <w:pStyle w:val="TextBody"/>
        <w:spacing w:before="240" w:after="0"/>
        <w:jc w:val="left"/>
        <w:rPr>
          <w:rFonts w:ascii="Times New Roman" w:hAnsi="Times New Roman"/>
          <w:sz w:val="17"/>
        </w:rPr>
      </w:pPr>
      <w:r>
        <w:rPr>
          <w:rFonts w:ascii="Times New Roman" w:hAnsi="Times New Roman"/>
          <w:sz w:val="17"/>
        </w:rPr>
        <w:t xml:space="preserve">If unsuccessful in defense of a suit brought by or in the right of Honeywell, or if such suit is settled, such a person shall be indemnified under such law only against expenses (including attorneys fees) actually and reasonably incurred in the defense or settlement of such suit if such person acted in good faith and in a manner such person reasonably believed to be in, or not opposed to, the best interests of Honeywell except that if such a person is adjudged to be liable in such suit to Honeywell, such person cannot be made whole even for expenses unless the court determines that such person is fairly and reasonably entitled to indemnity for such expenses. </w:t>
      </w:r>
    </w:p>
    <w:p>
      <w:pPr>
        <w:pStyle w:val="TextBody"/>
        <w:spacing w:before="240" w:after="0"/>
        <w:jc w:val="left"/>
        <w:rPr>
          <w:rFonts w:ascii="Times New Roman" w:hAnsi="Times New Roman"/>
          <w:sz w:val="17"/>
        </w:rPr>
      </w:pPr>
      <w:r>
        <w:rPr>
          <w:rFonts w:ascii="Times New Roman" w:hAnsi="Times New Roman"/>
          <w:sz w:val="17"/>
        </w:rPr>
        <w:t xml:space="preserve">In addition, Honeywell maintains directors and officers reimbursement and liability insurance pursuant to standard form policies. The risks covered by such policies include certain liabilities under the securities laws. </w:t>
      </w:r>
    </w:p>
    <w:p>
      <w:pPr>
        <w:pStyle w:val="TextBody"/>
        <w:spacing w:before="240" w:after="0"/>
        <w:jc w:val="left"/>
        <w:rPr>
          <w:rFonts w:ascii="Times New Roman" w:hAnsi="Times New Roman"/>
          <w:sz w:val="17"/>
        </w:rPr>
      </w:pPr>
      <w:r>
        <w:rPr>
          <w:rFonts w:ascii="Times New Roman" w:hAnsi="Times New Roman"/>
          <w:sz w:val="17"/>
        </w:rPr>
        <w:t xml:space="preserve">The underwriters or agents on whose behalf the agreements listed as Exhibits 1.1 and 1.2 to this registration statement will be executed will agree in those agreements to indemnify directors and officers of the Company, and persons controlling the Company, within the meaning of the Securities Act, against certain liabilities that might arise out of or are based upon certain information furnished to us by any such underwriter or agent. </w:t>
      </w:r>
    </w:p>
    <w:p>
      <w:pPr>
        <w:pStyle w:val="TextBody"/>
        <w:spacing w:before="360" w:after="0"/>
        <w:jc w:val="left"/>
        <w:rPr>
          <w:rFonts w:ascii="Times New Roman" w:hAnsi="Times New Roman"/>
          <w:b/>
          <w:sz w:val="17"/>
        </w:rPr>
      </w:pPr>
      <w:r>
        <w:rPr>
          <w:rFonts w:ascii="Times New Roman" w:hAnsi="Times New Roman"/>
          <w:b/>
          <w:sz w:val="17"/>
        </w:rPr>
        <w:t xml:space="preserve">Item 16. 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99"/>
        <w:gridCol w:w="845"/>
        <w:gridCol w:w="8661"/>
      </w:tblGrid>
      <w:tr>
        <w:trPr/>
        <w:tc>
          <w:tcPr>
            <w:tcW w:w="69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8661" w:type="dxa"/>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Exhibit No.</w:t>
            </w:r>
          </w:p>
        </w:tc>
        <w:tc>
          <w:tcPr>
            <w:tcW w:w="845" w:type="dxa"/>
            <w:tcBorders/>
            <w:shd w:fill="auto" w:val="clear"/>
            <w:vAlign w:val="bottom"/>
          </w:tcPr>
          <w:p>
            <w:pPr>
              <w:pStyle w:val="TableContents"/>
              <w:spacing w:before="0" w:after="283"/>
              <w:rPr/>
            </w:pPr>
            <w:r>
              <w:rPr/>
              <w:t>  </w:t>
            </w:r>
          </w:p>
        </w:tc>
        <w:tc>
          <w:tcPr>
            <w:tcW w:w="8661" w:type="dxa"/>
            <w:tcBorders/>
            <w:shd w:fill="auto" w:val="clear"/>
            <w:vAlign w:val="bottom"/>
          </w:tcPr>
          <w:p>
            <w:pPr>
              <w:pStyle w:val="TableContents"/>
              <w:spacing w:before="0" w:after="283"/>
              <w:rPr/>
            </w:pPr>
            <w:r>
              <w:rPr/>
              <w:t> </w:t>
            </w:r>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  </w:t>
            </w:r>
            <w:r>
              <w:rPr/>
              <w:t>1.1</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hyperlink w:anchor="d655836dex11.htm">
              <w:r>
                <w:rPr>
                  <w:rStyle w:val="InternetLink"/>
                </w:rPr>
                <w:t xml:space="preserve">Form of Underwriting Agreement. </w:t>
              </w:r>
            </w:hyperlink>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  </w:t>
            </w:r>
            <w:r>
              <w:rPr/>
              <w:t>1.2*</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r>
              <w:rPr/>
              <w:t>Underwriting Agreement for issuance of preferred stock or common stock.</w:t>
            </w:r>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  </w:t>
            </w:r>
            <w:r>
              <w:rPr/>
              <w:t>4.1</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hyperlink r:id="rId6">
              <w:r>
                <w:rPr>
                  <w:rStyle w:val="InternetLink"/>
                </w:rPr>
                <w:t xml:space="preserve">Indenture dated as of March  1, 2007, relating to debt securities between Honeywell and Deutsche Bank Trust Company Americas, as trustee (incorporated by reference to Exhibit 4.1 of Honeywells Registration Statement on Form S-3 (File No. 333-141013), filed March 1, 2007). </w:t>
              </w:r>
            </w:hyperlink>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  </w:t>
            </w:r>
            <w:r>
              <w:rPr/>
              <w:t>4.2</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hyperlink r:id="rId7">
              <w:r>
                <w:rPr>
                  <w:rStyle w:val="InternetLink"/>
                </w:rPr>
                <w:t xml:space="preserve">Form of certificate representing shares of Common Stock (incorporated by reference to Exhibit 4.2 of Honeywells Registration Statement on Form S-3 (File No. 333-186695), filed February 15, 2013). </w:t>
              </w:r>
            </w:hyperlink>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  </w:t>
            </w:r>
            <w:r>
              <w:rPr/>
              <w:t>5.1</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hyperlink w:anchor="d655836dex51.htm">
              <w:r>
                <w:rPr>
                  <w:rStyle w:val="InternetLink"/>
                </w:rPr>
                <w:t>Opinion of Anne T. Madden, Senior Vice President, General Counsel and Corporate Secretary, of Honeywell, with respect to the legality of the securities being registered hereby.</w:t>
              </w:r>
            </w:hyperlink>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12</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hyperlink r:id="rId8">
              <w:r>
                <w:rPr>
                  <w:rStyle w:val="InternetLink"/>
                </w:rPr>
                <w:t xml:space="preserve">Statement of Computation of Honeywells ratio of earnings to fixed charges (incorporated by reference to Exhibit 12 to Honeywells Annual Report on Form 10-K for the year ended December 31, 2017, filed on February 9, 2018 and Exhibit 12 to Honeywells Quarterly Report on Form 10-Q for the quarter ended September 30, 2018, filed on October 19, 2018). </w:t>
              </w:r>
            </w:hyperlink>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23.1</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hyperlink w:anchor="d655836dex231.htm">
              <w:r>
                <w:rPr>
                  <w:rStyle w:val="InternetLink"/>
                </w:rPr>
                <w:t xml:space="preserve">Consent of Deloitte &amp; Touche LLP. </w:t>
              </w:r>
            </w:hyperlink>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23.2</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hyperlink w:anchor="d655836dex51.htm">
              <w:r>
                <w:rPr>
                  <w:rStyle w:val="InternetLink"/>
                </w:rPr>
                <w:t xml:space="preserve">Consent of Anne T. Madden, Senior Vice President, General Counsel and Corporate Secretary, of Honeywell (contained in the opinion filed as Exhibit 5.1 to this registration statement). </w:t>
              </w:r>
            </w:hyperlink>
          </w:p>
        </w:tc>
      </w:tr>
      <w:tr>
        <w:trPr>
          <w:trHeight w:val="120" w:hRule="atLeast"/>
        </w:trPr>
        <w:tc>
          <w:tcPr>
            <w:tcW w:w="699" w:type="dxa"/>
            <w:tcBorders/>
            <w:shd w:fill="auto" w:val="clear"/>
            <w:vAlign w:val="center"/>
          </w:tcPr>
          <w:p>
            <w:pPr>
              <w:pStyle w:val="TableContents"/>
              <w:spacing w:before="0" w:after="283"/>
              <w:rPr>
                <w:sz w:val="4"/>
                <w:szCs w:val="4"/>
              </w:rPr>
            </w:pPr>
            <w:r>
              <w:rPr>
                <w:sz w:val="4"/>
                <w:szCs w:val="4"/>
              </w:rPr>
            </w:r>
          </w:p>
        </w:tc>
        <w:tc>
          <w:tcPr>
            <w:tcW w:w="9506" w:type="dxa"/>
            <w:gridSpan w:val="2"/>
            <w:tcBorders/>
            <w:shd w:fill="auto" w:val="clear"/>
            <w:vAlign w:val="center"/>
          </w:tcPr>
          <w:p>
            <w:pPr>
              <w:pStyle w:val="TableContents"/>
              <w:spacing w:before="0" w:after="283"/>
              <w:rPr>
                <w:sz w:val="4"/>
                <w:szCs w:val="4"/>
              </w:rPr>
            </w:pPr>
            <w:r>
              <w:rPr>
                <w:sz w:val="4"/>
                <w:szCs w:val="4"/>
              </w:rPr>
            </w:r>
          </w:p>
        </w:tc>
      </w:tr>
      <w:tr>
        <w:trPr/>
        <w:tc>
          <w:tcPr>
            <w:tcW w:w="699" w:type="dxa"/>
            <w:tcBorders/>
            <w:shd w:fill="auto" w:val="clear"/>
          </w:tcPr>
          <w:p>
            <w:pPr>
              <w:pStyle w:val="TableContents"/>
              <w:spacing w:before="0" w:after="283"/>
              <w:rPr/>
            </w:pPr>
            <w:r>
              <w:rPr/>
              <w:t>24.1</w:t>
            </w:r>
          </w:p>
        </w:tc>
        <w:tc>
          <w:tcPr>
            <w:tcW w:w="845"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hyperlink r:id="rId9">
              <w:r>
                <w:rPr>
                  <w:rStyle w:val="InternetLink"/>
                </w:rPr>
                <w:t xml:space="preserve">Powers of Attorney (incorporated by reference to Exhibit 24 to Honeywells Annual Report on Form 10-K for the year ended December 31, 2017, filed on February 9, 2018). </w:t>
              </w:r>
            </w:hyperlink>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721"/>
        <w:gridCol w:w="875"/>
        <w:gridCol w:w="8609"/>
      </w:tblGrid>
      <w:tr>
        <w:trPr/>
        <w:tc>
          <w:tcPr>
            <w:tcW w:w="721"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bottom"/>
          </w:tcPr>
          <w:p>
            <w:pPr>
              <w:pStyle w:val="TableContents"/>
              <w:spacing w:before="0" w:after="283"/>
              <w:rPr>
                <w:sz w:val="4"/>
                <w:szCs w:val="4"/>
              </w:rPr>
            </w:pPr>
            <w:r>
              <w:rPr>
                <w:sz w:val="4"/>
                <w:szCs w:val="4"/>
              </w:rPr>
            </w:r>
          </w:p>
        </w:tc>
        <w:tc>
          <w:tcPr>
            <w:tcW w:w="8609" w:type="dxa"/>
            <w:tcBorders/>
            <w:shd w:fill="auto" w:val="clear"/>
            <w:vAlign w:val="center"/>
          </w:tcPr>
          <w:p>
            <w:pPr>
              <w:pStyle w:val="TableContents"/>
              <w:spacing w:before="0" w:after="283"/>
              <w:rPr>
                <w:sz w:val="4"/>
                <w:szCs w:val="4"/>
              </w:rPr>
            </w:pPr>
            <w:r>
              <w:rPr>
                <w:sz w:val="4"/>
                <w:szCs w:val="4"/>
              </w:rPr>
            </w:r>
          </w:p>
        </w:tc>
      </w:tr>
      <w:tr>
        <w:trPr/>
        <w:tc>
          <w:tcPr>
            <w:tcW w:w="721"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Exhibit No.</w:t>
            </w:r>
          </w:p>
        </w:tc>
        <w:tc>
          <w:tcPr>
            <w:tcW w:w="875" w:type="dxa"/>
            <w:tcBorders/>
            <w:shd w:fill="auto" w:val="clear"/>
            <w:vAlign w:val="bottom"/>
          </w:tcPr>
          <w:p>
            <w:pPr>
              <w:pStyle w:val="TableContents"/>
              <w:spacing w:before="0" w:after="283"/>
              <w:rPr/>
            </w:pPr>
            <w:r>
              <w:rPr/>
              <w:t>  </w:t>
            </w:r>
          </w:p>
        </w:tc>
        <w:tc>
          <w:tcPr>
            <w:tcW w:w="8609" w:type="dxa"/>
            <w:tcBorders/>
            <w:shd w:fill="auto" w:val="clear"/>
            <w:vAlign w:val="bottom"/>
          </w:tcPr>
          <w:p>
            <w:pPr>
              <w:pStyle w:val="TableContents"/>
              <w:spacing w:before="0" w:after="283"/>
              <w:rPr/>
            </w:pPr>
            <w:r>
              <w:rPr/>
              <w:t> </w:t>
            </w:r>
          </w:p>
        </w:tc>
      </w:tr>
      <w:tr>
        <w:trPr>
          <w:trHeight w:val="120" w:hRule="atLeast"/>
        </w:trPr>
        <w:tc>
          <w:tcPr>
            <w:tcW w:w="721" w:type="dxa"/>
            <w:tcBorders/>
            <w:shd w:fill="auto" w:val="clear"/>
            <w:vAlign w:val="center"/>
          </w:tcPr>
          <w:p>
            <w:pPr>
              <w:pStyle w:val="TableContents"/>
              <w:spacing w:before="0" w:after="283"/>
              <w:rPr>
                <w:sz w:val="4"/>
                <w:szCs w:val="4"/>
              </w:rPr>
            </w:pPr>
            <w:r>
              <w:rPr>
                <w:sz w:val="4"/>
                <w:szCs w:val="4"/>
              </w:rPr>
            </w:r>
          </w:p>
        </w:tc>
        <w:tc>
          <w:tcPr>
            <w:tcW w:w="9484" w:type="dxa"/>
            <w:gridSpan w:val="2"/>
            <w:tcBorders/>
            <w:shd w:fill="auto" w:val="clear"/>
            <w:vAlign w:val="center"/>
          </w:tcPr>
          <w:p>
            <w:pPr>
              <w:pStyle w:val="TableContents"/>
              <w:spacing w:before="0" w:after="283"/>
              <w:rPr>
                <w:sz w:val="4"/>
                <w:szCs w:val="4"/>
              </w:rPr>
            </w:pPr>
            <w:r>
              <w:rPr>
                <w:sz w:val="4"/>
                <w:szCs w:val="4"/>
              </w:rPr>
            </w:r>
          </w:p>
        </w:tc>
      </w:tr>
      <w:tr>
        <w:trPr/>
        <w:tc>
          <w:tcPr>
            <w:tcW w:w="721" w:type="dxa"/>
            <w:tcBorders/>
            <w:shd w:fill="auto" w:val="clear"/>
          </w:tcPr>
          <w:p>
            <w:pPr>
              <w:pStyle w:val="TableContents"/>
              <w:spacing w:before="0" w:after="283"/>
              <w:rPr/>
            </w:pPr>
            <w:r>
              <w:rPr/>
              <w:t>24.2</w:t>
            </w:r>
          </w:p>
        </w:tc>
        <w:tc>
          <w:tcPr>
            <w:tcW w:w="875" w:type="dxa"/>
            <w:tcBorders/>
            <w:shd w:fill="auto" w:val="clear"/>
            <w:vAlign w:val="bottom"/>
          </w:tcPr>
          <w:p>
            <w:pPr>
              <w:pStyle w:val="TableContents"/>
              <w:spacing w:before="0" w:after="283"/>
              <w:rPr/>
            </w:pPr>
            <w:r>
              <w:rPr/>
              <w:t>  </w:t>
            </w:r>
          </w:p>
        </w:tc>
        <w:tc>
          <w:tcPr>
            <w:tcW w:w="8609" w:type="dxa"/>
            <w:tcBorders/>
            <w:shd w:fill="auto" w:val="clear"/>
          </w:tcPr>
          <w:p>
            <w:pPr>
              <w:pStyle w:val="TableContents"/>
              <w:spacing w:before="0" w:after="283"/>
              <w:rPr/>
            </w:pPr>
            <w:hyperlink w:anchor="d655836dex242.htm">
              <w:r>
                <w:rPr>
                  <w:rStyle w:val="InternetLink"/>
                </w:rPr>
                <w:t xml:space="preserve">Powers of Attorney of Duncan B. Angove, director of Honeywell. </w:t>
              </w:r>
            </w:hyperlink>
          </w:p>
        </w:tc>
      </w:tr>
      <w:tr>
        <w:trPr>
          <w:trHeight w:val="120" w:hRule="atLeast"/>
        </w:trPr>
        <w:tc>
          <w:tcPr>
            <w:tcW w:w="721" w:type="dxa"/>
            <w:tcBorders/>
            <w:shd w:fill="auto" w:val="clear"/>
            <w:vAlign w:val="center"/>
          </w:tcPr>
          <w:p>
            <w:pPr>
              <w:pStyle w:val="TableContents"/>
              <w:spacing w:before="0" w:after="283"/>
              <w:rPr>
                <w:sz w:val="4"/>
                <w:szCs w:val="4"/>
              </w:rPr>
            </w:pPr>
            <w:r>
              <w:rPr>
                <w:sz w:val="4"/>
                <w:szCs w:val="4"/>
              </w:rPr>
            </w:r>
          </w:p>
        </w:tc>
        <w:tc>
          <w:tcPr>
            <w:tcW w:w="9484" w:type="dxa"/>
            <w:gridSpan w:val="2"/>
            <w:tcBorders/>
            <w:shd w:fill="auto" w:val="clear"/>
            <w:vAlign w:val="center"/>
          </w:tcPr>
          <w:p>
            <w:pPr>
              <w:pStyle w:val="TableContents"/>
              <w:spacing w:before="0" w:after="283"/>
              <w:rPr>
                <w:sz w:val="4"/>
                <w:szCs w:val="4"/>
              </w:rPr>
            </w:pPr>
            <w:r>
              <w:rPr>
                <w:sz w:val="4"/>
                <w:szCs w:val="4"/>
              </w:rPr>
            </w:r>
          </w:p>
        </w:tc>
      </w:tr>
      <w:tr>
        <w:trPr/>
        <w:tc>
          <w:tcPr>
            <w:tcW w:w="721" w:type="dxa"/>
            <w:tcBorders/>
            <w:shd w:fill="auto" w:val="clear"/>
          </w:tcPr>
          <w:p>
            <w:pPr>
              <w:pStyle w:val="TableContents"/>
              <w:spacing w:before="0" w:after="283"/>
              <w:rPr/>
            </w:pPr>
            <w:r>
              <w:rPr/>
              <w:t>25.1</w:t>
            </w:r>
          </w:p>
        </w:tc>
        <w:tc>
          <w:tcPr>
            <w:tcW w:w="875" w:type="dxa"/>
            <w:tcBorders/>
            <w:shd w:fill="auto" w:val="clear"/>
            <w:vAlign w:val="bottom"/>
          </w:tcPr>
          <w:p>
            <w:pPr>
              <w:pStyle w:val="TableContents"/>
              <w:spacing w:before="0" w:after="283"/>
              <w:rPr/>
            </w:pPr>
            <w:r>
              <w:rPr/>
              <w:t>  </w:t>
            </w:r>
          </w:p>
        </w:tc>
        <w:tc>
          <w:tcPr>
            <w:tcW w:w="8609" w:type="dxa"/>
            <w:tcBorders/>
            <w:shd w:fill="auto" w:val="clear"/>
          </w:tcPr>
          <w:p>
            <w:pPr>
              <w:pStyle w:val="TableContents"/>
              <w:spacing w:before="0" w:after="283"/>
              <w:rPr/>
            </w:pPr>
            <w:hyperlink w:anchor="d655836dex251.htm">
              <w:r>
                <w:rPr>
                  <w:rStyle w:val="InternetLink"/>
                </w:rPr>
                <w:t xml:space="preserve">Form T-1 Statement of Eligibility and Qualification of Deutsche Bank Trust Company Americas with respect to the Indenture. </w:t>
              </w:r>
            </w:hyperlink>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To be filed by amendment or on a Current Report on Form 8-K. </w:t>
            </w:r>
          </w:p>
        </w:tc>
      </w:tr>
    </w:tbl>
    <w:p>
      <w:pPr>
        <w:pStyle w:val="TextBody"/>
        <w:spacing w:before="360" w:after="0"/>
        <w:jc w:val="left"/>
        <w:rPr>
          <w:rFonts w:ascii="Times New Roman" w:hAnsi="Times New Roman"/>
          <w:b/>
          <w:sz w:val="17"/>
        </w:rPr>
      </w:pPr>
      <w:r>
        <w:rPr>
          <w:rFonts w:ascii="Times New Roman" w:hAnsi="Times New Roman"/>
          <w:b/>
          <w:sz w:val="17"/>
        </w:rPr>
        <w:t xml:space="preserve">Item 17. Undertakings </w:t>
      </w:r>
    </w:p>
    <w:p>
      <w:pPr>
        <w:pStyle w:val="TextBody"/>
        <w:spacing w:before="120" w:after="0"/>
        <w:jc w:val="left"/>
        <w:rPr>
          <w:rFonts w:ascii="Times New Roman" w:hAnsi="Times New Roman"/>
          <w:sz w:val="17"/>
        </w:rPr>
      </w:pPr>
      <w:r>
        <w:rPr>
          <w:rFonts w:ascii="Times New Roman" w:hAnsi="Times New Roman"/>
          <w:sz w:val="17"/>
        </w:rPr>
        <w:t xml:space="preserve">(a) The undersigned registrant hereby undertakes: </w:t>
      </w:r>
    </w:p>
    <w:p>
      <w:pPr>
        <w:pStyle w:val="TextBody"/>
        <w:spacing w:before="120" w:after="0"/>
        <w:jc w:val="left"/>
        <w:rPr>
          <w:rFonts w:ascii="Times New Roman" w:hAnsi="Times New Roman"/>
          <w:sz w:val="17"/>
        </w:rPr>
      </w:pPr>
      <w:r>
        <w:rPr>
          <w:rFonts w:ascii="Times New Roman" w:hAnsi="Times New Roman"/>
          <w:sz w:val="17"/>
        </w:rPr>
        <w:t xml:space="preserve">(1) To file, during any period in which offers or sales are being made, a post-effective amendment to this registration statement: </w:t>
      </w:r>
    </w:p>
    <w:p>
      <w:pPr>
        <w:pStyle w:val="TextBody"/>
        <w:spacing w:before="120" w:after="0"/>
        <w:jc w:val="left"/>
        <w:rPr>
          <w:rFonts w:ascii="Times New Roman" w:hAnsi="Times New Roman"/>
          <w:sz w:val="17"/>
        </w:rPr>
      </w:pPr>
      <w:r>
        <w:rPr>
          <w:rFonts w:ascii="Times New Roman" w:hAnsi="Times New Roman"/>
          <w:sz w:val="17"/>
        </w:rPr>
        <w:t xml:space="preserve">(i) To include any prospectus required by Section 10(a)(3) of the Securities Act of 1933; </w:t>
      </w:r>
    </w:p>
    <w:p>
      <w:pPr>
        <w:pStyle w:val="TextBody"/>
        <w:spacing w:before="120" w:after="0"/>
        <w:jc w:val="left"/>
        <w:rPr>
          <w:rFonts w:ascii="Times New Roman" w:hAnsi="Times New Roman"/>
          <w:sz w:val="17"/>
        </w:rPr>
      </w:pPr>
      <w:r>
        <w:rPr>
          <w:rFonts w:ascii="Times New Roman" w:hAnsi="Times New Roman"/>
          <w:sz w:val="17"/>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spacing w:before="120" w:after="0"/>
        <w:jc w:val="left"/>
        <w:rPr>
          <w:rFonts w:ascii="Times New Roman" w:hAnsi="Times New Roman"/>
          <w:sz w:val="17"/>
        </w:rPr>
      </w:pPr>
      <w:r>
        <w:rPr>
          <w:rFonts w:ascii="Times New Roman" w:hAnsi="Times New Roman"/>
          <w:sz w:val="17"/>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17"/>
        </w:rPr>
      </w:pPr>
      <w:r>
        <w:rPr>
          <w:rFonts w:ascii="Times New Roman" w:hAnsi="Times New Roman"/>
          <w:i/>
          <w:sz w:val="17"/>
        </w:rPr>
        <w:t>provided, however</w:t>
      </w:r>
      <w:r>
        <w:rPr>
          <w:rFonts w:ascii="Times New Roman" w:hAnsi="Times New Roman"/>
          <w:sz w:val="17"/>
        </w:rPr>
        <w:t xml:space="preserve">, that paragraphs (a)(1)(i), (a)(1)(ii), and (a)(1)(iii)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 </w:t>
      </w:r>
    </w:p>
    <w:p>
      <w:pPr>
        <w:pStyle w:val="TextBody"/>
        <w:spacing w:before="120" w:after="0"/>
        <w:jc w:val="left"/>
        <w:rPr>
          <w:rFonts w:ascii="Times New Roman" w:hAnsi="Times New Roman"/>
          <w:sz w:val="17"/>
        </w:rPr>
      </w:pPr>
      <w:r>
        <w:rPr>
          <w:rFonts w:ascii="Times New Roman" w:hAnsi="Times New Roman"/>
          <w:sz w:val="17"/>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17"/>
        </w:rPr>
        <w:t>bona fide</w:t>
      </w:r>
      <w:r>
        <w:rPr>
          <w:rFonts w:ascii="Times New Roman" w:hAnsi="Times New Roman"/>
          <w:sz w:val="17"/>
        </w:rPr>
        <w:t xml:space="preserve"> offering thereof. </w:t>
      </w:r>
    </w:p>
    <w:p>
      <w:pPr>
        <w:pStyle w:val="TextBody"/>
        <w:spacing w:before="120" w:after="0"/>
        <w:jc w:val="left"/>
        <w:rPr>
          <w:rFonts w:ascii="Times New Roman" w:hAnsi="Times New Roman"/>
          <w:sz w:val="17"/>
        </w:rPr>
      </w:pPr>
      <w:r>
        <w:rPr>
          <w:rFonts w:ascii="Times New Roman" w:hAnsi="Times New Roman"/>
          <w:sz w:val="17"/>
        </w:rPr>
        <w:t xml:space="preserve">(3) To remove from registration by means of a post-effective amendment any of the securities being registered which remain unsold at the termination of the offering. </w:t>
      </w:r>
    </w:p>
    <w:p>
      <w:pPr>
        <w:pStyle w:val="TextBody"/>
        <w:spacing w:before="120" w:after="0"/>
        <w:jc w:val="left"/>
        <w:rPr>
          <w:rFonts w:ascii="Times New Roman" w:hAnsi="Times New Roman"/>
          <w:sz w:val="17"/>
        </w:rPr>
      </w:pPr>
      <w:r>
        <w:rPr>
          <w:rFonts w:ascii="Times New Roman" w:hAnsi="Times New Roman"/>
          <w:sz w:val="17"/>
        </w:rPr>
        <w:t xml:space="preserve">(4) That, for the purpose of determining liability under the Securities Act of 1933 to any purchaser: </w:t>
      </w:r>
    </w:p>
    <w:p>
      <w:pPr>
        <w:pStyle w:val="TextBody"/>
        <w:spacing w:before="120" w:after="0"/>
        <w:jc w:val="left"/>
        <w:rPr>
          <w:rFonts w:ascii="Times New Roman" w:hAnsi="Times New Roman"/>
          <w:sz w:val="17"/>
        </w:rPr>
      </w:pPr>
      <w:r>
        <w:rPr>
          <w:rFonts w:ascii="Times New Roman" w:hAnsi="Times New Roman"/>
          <w:sz w:val="17"/>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spacing w:before="120" w:after="0"/>
        <w:jc w:val="left"/>
        <w:rPr>
          <w:rFonts w:ascii="Times New Roman" w:hAnsi="Times New Roman"/>
          <w:sz w:val="17"/>
        </w:rPr>
      </w:pPr>
      <w:r>
        <w:rPr>
          <w:rFonts w:ascii="Times New Roman" w:hAnsi="Times New Roman"/>
          <w:sz w:val="17"/>
        </w:rPr>
        <w:t xml:space="preserve">(ii) Each prospectus required to be filed pursuant to Rule 424(b)(2), (b)(5) or (b)(7) as part of the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 w:hAnsi="Times New Roman"/>
          <w:i/>
          <w:sz w:val="17"/>
        </w:rPr>
        <w:t>Provided, however</w:t>
      </w:r>
      <w:r>
        <w:rPr>
          <w:rFonts w:ascii="Times New Roman" w:hAnsi="Times New Roman"/>
          <w:sz w:val="17"/>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120" w:after="0"/>
        <w:jc w:val="left"/>
        <w:rPr>
          <w:rFonts w:ascii="Times New Roman" w:hAnsi="Times New Roman"/>
          <w:sz w:val="17"/>
        </w:rPr>
      </w:pPr>
      <w:r>
        <w:rPr>
          <w:rFonts w:ascii="Times New Roman" w:hAnsi="Times New Roman"/>
          <w:sz w:val="17"/>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spacing w:before="120" w:after="0"/>
        <w:jc w:val="left"/>
        <w:rPr>
          <w:rFonts w:ascii="Times New Roman" w:hAnsi="Times New Roman"/>
          <w:sz w:val="17"/>
        </w:rPr>
      </w:pPr>
      <w:r>
        <w:rPr>
          <w:rFonts w:ascii="Times New Roman" w:hAnsi="Times New Roman"/>
          <w:sz w:val="17"/>
        </w:rPr>
        <w:t xml:space="preserve">(i) Any preliminary prospectus or prospectus of the undersigned registrant relating to the offering required to be filed pursuant to Rule 424; </w:t>
      </w:r>
    </w:p>
    <w:p>
      <w:pPr>
        <w:pStyle w:val="TextBody"/>
        <w:spacing w:before="120" w:after="0"/>
        <w:jc w:val="left"/>
        <w:rPr>
          <w:rFonts w:ascii="Times New Roman" w:hAnsi="Times New Roman"/>
          <w:sz w:val="17"/>
        </w:rPr>
      </w:pPr>
      <w:r>
        <w:rPr>
          <w:rFonts w:ascii="Times New Roman" w:hAnsi="Times New Roman"/>
          <w:sz w:val="17"/>
        </w:rPr>
        <w:t xml:space="preserve">(ii) Any free writing prospectus relating to the offering prepared by or on behalf of the undersigned registrant or used or referred to by the undersigned registrant; </w:t>
      </w:r>
    </w:p>
    <w:p>
      <w:pPr>
        <w:pStyle w:val="TextBody"/>
        <w:spacing w:before="120" w:after="0"/>
        <w:jc w:val="left"/>
        <w:rPr>
          <w:rFonts w:ascii="Times New Roman" w:hAnsi="Times New Roman"/>
          <w:sz w:val="17"/>
        </w:rPr>
      </w:pPr>
      <w:r>
        <w:rPr>
          <w:rFonts w:ascii="Times New Roman" w:hAnsi="Times New Roman"/>
          <w:sz w:val="17"/>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spacing w:before="120" w:after="0"/>
        <w:jc w:val="left"/>
        <w:rPr>
          <w:rFonts w:ascii="Times New Roman" w:hAnsi="Times New Roman"/>
          <w:sz w:val="17"/>
        </w:rPr>
      </w:pPr>
      <w:r>
        <w:rPr>
          <w:rFonts w:ascii="Times New Roman" w:hAnsi="Times New Roman"/>
          <w:sz w:val="17"/>
        </w:rPr>
        <w:t xml:space="preserve">(iv) Any other communication that is an offer in the offering made by the undersigned registrant to the purchaser. </w:t>
      </w:r>
    </w:p>
    <w:p>
      <w:pPr>
        <w:pStyle w:val="TextBody"/>
        <w:spacing w:before="120" w:after="0"/>
        <w:jc w:val="left"/>
        <w:rPr>
          <w:rFonts w:ascii="Times New Roman" w:hAnsi="Times New Roman"/>
          <w:sz w:val="17"/>
        </w:rPr>
      </w:pPr>
      <w:r>
        <w:rPr>
          <w:rFonts w:ascii="Times New Roman" w:hAnsi="Times New Roman"/>
          <w:sz w:val="17"/>
        </w:rPr>
        <w:t xml:space="preserve">(6)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17"/>
        </w:rPr>
        <w:t>bona fide</w:t>
      </w:r>
      <w:r>
        <w:rPr>
          <w:rFonts w:ascii="Times New Roman" w:hAnsi="Times New Roman"/>
          <w:sz w:val="17"/>
        </w:rPr>
        <w:t xml:space="preserve"> offering thereof. </w:t>
      </w:r>
    </w:p>
    <w:p>
      <w:pPr>
        <w:pStyle w:val="TextBody"/>
        <w:spacing w:before="120" w:after="0"/>
        <w:jc w:val="left"/>
        <w:rPr>
          <w:rFonts w:ascii="Times New Roman" w:hAnsi="Times New Roman"/>
          <w:sz w:val="17"/>
        </w:rPr>
      </w:pPr>
      <w:r>
        <w:rPr>
          <w:rFonts w:ascii="Times New Roman" w:hAnsi="Times New Roman"/>
          <w:sz w:val="17"/>
        </w:rPr>
        <w:t xml:space="preserve">(7) To file an application for the purpose of determining the eligibility of the trustee to act under subsection (a) of section 310 of the Trust Indenture Act in accordance with the rules and regulations prescribed by the Commission under section 305(b)(2) of the Act. </w:t>
      </w:r>
    </w:p>
    <w:p>
      <w:pPr>
        <w:pStyle w:val="TextBody"/>
        <w:spacing w:before="120" w:after="0"/>
        <w:jc w:val="left"/>
        <w:rPr>
          <w:rFonts w:ascii="Times New Roman" w:hAnsi="Times New Roman"/>
          <w:sz w:val="17"/>
        </w:rPr>
      </w:pPr>
      <w:r>
        <w:rPr>
          <w:rFonts w:ascii="Times New Roman" w:hAnsi="Times New Roman"/>
          <w:sz w:val="17"/>
        </w:rPr>
        <w:t xml:space="preserve">(8)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jc w:val="left"/>
        <w:rPr>
          <w:rFonts w:ascii="Times New Roman" w:hAnsi="Times New Roman"/>
          <w:sz w:val="17"/>
        </w:rPr>
      </w:pPr>
      <w:r>
        <w:rPr>
          <w:rFonts w:ascii="Times New Roman" w:hAnsi="Times New Roman"/>
          <w:sz w:val="17"/>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Morris Plains, State of New Jersey, on December 10, 2018. </w:t>
      </w:r>
    </w:p>
    <w:p>
      <w:pPr>
        <w:pStyle w:val="TextBody"/>
        <w:spacing w:before="0" w:after="0"/>
        <w:jc w:val="left"/>
        <w:rPr/>
      </w:pPr>
      <w:r>
        <w:rPr/>
        <w:t> </w:t>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b/>
              </w:rPr>
            </w:pPr>
            <w:r>
              <w:rPr>
                <w:b/>
              </w:rPr>
              <w:t>HONEYWELL INTERNATIONAL INC.</w:t>
            </w:r>
          </w:p>
        </w:tc>
      </w:tr>
      <w:tr>
        <w:trPr>
          <w:trHeight w:val="240" w:hRule="atLeast"/>
        </w:trPr>
        <w:tc>
          <w:tcPr>
            <w:tcW w:w="5102"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John J. Tus</w:t>
            </w:r>
          </w:p>
        </w:tc>
      </w:tr>
      <w:tr>
        <w:trPr/>
        <w:tc>
          <w:tcPr>
            <w:tcW w:w="5102" w:type="dxa"/>
            <w:tcBorders/>
            <w:shd w:fill="auto" w:val="clear"/>
          </w:tcPr>
          <w:p>
            <w:pPr>
              <w:pStyle w:val="TableContents"/>
              <w:spacing w:before="0" w:after="283"/>
              <w:rPr>
                <w:b/>
              </w:rPr>
            </w:pPr>
            <w:r>
              <w:rPr>
                <w:b/>
              </w:rPr>
              <w:t>Name: John J. Tus</w:t>
            </w:r>
          </w:p>
        </w:tc>
      </w:tr>
      <w:tr>
        <w:trPr/>
        <w:tc>
          <w:tcPr>
            <w:tcW w:w="5102" w:type="dxa"/>
            <w:tcBorders/>
            <w:shd w:fill="auto" w:val="clear"/>
          </w:tcPr>
          <w:p>
            <w:pPr>
              <w:pStyle w:val="TableContents"/>
              <w:spacing w:before="0" w:after="283"/>
              <w:rPr>
                <w:b/>
              </w:rPr>
            </w:pPr>
            <w:r>
              <w:rPr>
                <w:b/>
              </w:rPr>
              <w:t>Title: Vice President and Controller</w:t>
            </w:r>
          </w:p>
        </w:tc>
      </w:tr>
    </w:tbl>
    <w:p>
      <w:pPr>
        <w:pStyle w:val="TextBody"/>
        <w:spacing w:before="240" w:after="0"/>
        <w:jc w:val="left"/>
        <w:rPr>
          <w:rFonts w:ascii="Times New Roman" w:hAnsi="Times New Roman"/>
          <w:sz w:val="17"/>
        </w:rPr>
      </w:pPr>
      <w:r>
        <w:rPr>
          <w:rFonts w:ascii="Times New Roman" w:hAnsi="Times New Roman"/>
          <w:sz w:val="17"/>
        </w:rPr>
        <w:t xml:space="preserve">Pursuant to the requirements of the Securities Act of 1933, this registration statement has been signed by the following persons in the capacities and on the dates indicated.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856"/>
        <w:gridCol w:w="120"/>
        <w:gridCol w:w="4068"/>
        <w:gridCol w:w="207"/>
        <w:gridCol w:w="1954"/>
      </w:tblGrid>
      <w:tr>
        <w:trPr/>
        <w:tc>
          <w:tcPr>
            <w:tcW w:w="38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6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NAME</w:t>
            </w:r>
          </w:p>
        </w:tc>
        <w:tc>
          <w:tcPr>
            <w:tcW w:w="120" w:type="dxa"/>
            <w:tcBorders/>
            <w:shd w:fill="auto" w:val="clear"/>
            <w:vAlign w:val="bottom"/>
          </w:tcPr>
          <w:p>
            <w:pPr>
              <w:pStyle w:val="TableContents"/>
              <w:spacing w:before="0" w:after="283"/>
              <w:rPr/>
            </w:pPr>
            <w:r>
              <w:rPr/>
              <w:t>  </w:t>
            </w:r>
          </w:p>
        </w:tc>
        <w:tc>
          <w:tcPr>
            <w:tcW w:w="4068"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TITLE</w:t>
            </w:r>
          </w:p>
        </w:tc>
        <w:tc>
          <w:tcPr>
            <w:tcW w:w="207" w:type="dxa"/>
            <w:tcBorders/>
            <w:shd w:fill="auto" w:val="clear"/>
            <w:vAlign w:val="bottom"/>
          </w:tcPr>
          <w:p>
            <w:pPr>
              <w:pStyle w:val="TableContents"/>
              <w:spacing w:before="0" w:after="283"/>
              <w:rPr/>
            </w:pPr>
            <w:r>
              <w:rPr/>
              <w:t> </w:t>
            </w:r>
          </w:p>
        </w:tc>
        <w:tc>
          <w:tcPr>
            <w:tcW w:w="1954"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DATE</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Darius Adamczyk</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Chairman of the Board, Chief Executive Officer and 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sz w:val="17"/>
              </w:rPr>
            </w:pPr>
            <w:r>
              <w:rPr>
                <w:rFonts w:ascii="Times New Roman" w:hAnsi="Times New Roman"/>
                <w:sz w:val="17"/>
              </w:rPr>
              <w:t>/s/ Greg P. Lewis</w:t>
            </w:r>
          </w:p>
          <w:p>
            <w:pPr>
              <w:pStyle w:val="TableContents"/>
              <w:spacing w:before="0" w:after="20"/>
              <w:jc w:val="center"/>
              <w:rPr>
                <w:rFonts w:ascii="Times New Roman" w:hAnsi="Times New Roman"/>
                <w:b/>
                <w:sz w:val="13"/>
              </w:rPr>
            </w:pPr>
            <w:r>
              <w:rPr>
                <w:rFonts w:ascii="Times New Roman" w:hAnsi="Times New Roman"/>
                <w:b/>
                <w:sz w:val="13"/>
              </w:rPr>
              <w:t>Greg P. Lewis</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Senior Vice President and Chief Financial Officer (Principal Financial Officer)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Duncan B. Angove</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William S. Ayer</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Kevin Burke</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D. Scott Davis</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Linnet F. Deily</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Judd Gregg</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Clive R. Hollick</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0"/>
              <w:rPr>
                <w:rFonts w:ascii="Times New Roman" w:hAnsi="Times New Roman"/>
                <w:sz w:val="17"/>
              </w:rPr>
            </w:pPr>
            <w:r>
              <w:rPr>
                <w:rFonts w:ascii="Times New Roman" w:hAnsi="Times New Roman"/>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Grace D. Lieblein</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283"/>
              <w:rPr>
                <w:sz w:val="17"/>
              </w:rPr>
            </w:pPr>
            <w:r>
              <w:rPr>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r>
        <w:trPr>
          <w:trHeight w:val="240" w:hRule="atLeast"/>
        </w:trPr>
        <w:tc>
          <w:tcPr>
            <w:tcW w:w="3856" w:type="dxa"/>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c>
          <w:tcPr>
            <w:tcW w:w="2161" w:type="dxa"/>
            <w:gridSpan w:val="2"/>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Jaime Chico Pardo</w:t>
            </w:r>
          </w:p>
        </w:tc>
        <w:tc>
          <w:tcPr>
            <w:tcW w:w="120" w:type="dxa"/>
            <w:tcBorders/>
            <w:shd w:fill="auto" w:val="clear"/>
            <w:vAlign w:val="bottom"/>
          </w:tcPr>
          <w:p>
            <w:pPr>
              <w:pStyle w:val="TableContents"/>
              <w:spacing w:before="0" w:after="283"/>
              <w:rPr/>
            </w:pPr>
            <w:r>
              <w:rPr/>
              <w:t>  </w:t>
            </w:r>
          </w:p>
        </w:tc>
        <w:tc>
          <w:tcPr>
            <w:tcW w:w="4068" w:type="dxa"/>
            <w:tcBorders/>
            <w:shd w:fill="auto" w:val="clear"/>
          </w:tcPr>
          <w:p>
            <w:pPr>
              <w:pStyle w:val="TableContents"/>
              <w:spacing w:before="0" w:after="283"/>
              <w:rPr>
                <w:sz w:val="17"/>
              </w:rPr>
            </w:pPr>
            <w:r>
              <w:rPr>
                <w:sz w:val="17"/>
              </w:rPr>
              <w:t>Director</w:t>
            </w:r>
          </w:p>
        </w:tc>
        <w:tc>
          <w:tcPr>
            <w:tcW w:w="207" w:type="dxa"/>
            <w:tcBorders/>
            <w:shd w:fill="auto" w:val="clear"/>
            <w:vAlign w:val="bottom"/>
          </w:tcPr>
          <w:p>
            <w:pPr>
              <w:pStyle w:val="TableContents"/>
              <w:spacing w:before="0" w:after="283"/>
              <w:rPr/>
            </w:pPr>
            <w:r>
              <w:rPr/>
              <w:t> </w:t>
            </w:r>
          </w:p>
        </w:tc>
        <w:tc>
          <w:tcPr>
            <w:tcW w:w="1954" w:type="dxa"/>
            <w:tcBorders/>
            <w:shd w:fill="auto" w:val="clear"/>
          </w:tcPr>
          <w:p>
            <w:pPr>
              <w:pStyle w:val="TableContents"/>
              <w:spacing w:before="0" w:after="283"/>
              <w:jc w:val="center"/>
              <w:rPr>
                <w:sz w:val="17"/>
              </w:rPr>
            </w:pPr>
            <w:r>
              <w:rPr>
                <w:sz w:val="17"/>
              </w:rPr>
              <w:t>December 10, 2018</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92"/>
        <w:gridCol w:w="123"/>
        <w:gridCol w:w="4054"/>
        <w:gridCol w:w="209"/>
        <w:gridCol w:w="1927"/>
      </w:tblGrid>
      <w:tr>
        <w:trPr/>
        <w:tc>
          <w:tcPr>
            <w:tcW w:w="389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05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r>
      <w:tr>
        <w:trPr/>
        <w:tc>
          <w:tcPr>
            <w:tcW w:w="3892"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NAME</w:t>
            </w:r>
          </w:p>
        </w:tc>
        <w:tc>
          <w:tcPr>
            <w:tcW w:w="123" w:type="dxa"/>
            <w:tcBorders/>
            <w:shd w:fill="auto" w:val="clear"/>
            <w:vAlign w:val="bottom"/>
          </w:tcPr>
          <w:p>
            <w:pPr>
              <w:pStyle w:val="TableContents"/>
              <w:spacing w:before="0" w:after="283"/>
              <w:rPr/>
            </w:pPr>
            <w:r>
              <w:rPr/>
              <w:t>  </w:t>
            </w:r>
          </w:p>
        </w:tc>
        <w:tc>
          <w:tcPr>
            <w:tcW w:w="4054"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TITLE</w:t>
            </w:r>
          </w:p>
        </w:tc>
        <w:tc>
          <w:tcPr>
            <w:tcW w:w="209" w:type="dxa"/>
            <w:tcBorders/>
            <w:shd w:fill="auto" w:val="clear"/>
            <w:vAlign w:val="bottom"/>
          </w:tcPr>
          <w:p>
            <w:pPr>
              <w:pStyle w:val="TableContents"/>
              <w:spacing w:before="0" w:after="283"/>
              <w:rPr/>
            </w:pPr>
            <w:r>
              <w:rPr/>
              <w:t> </w:t>
            </w:r>
          </w:p>
        </w:tc>
        <w:tc>
          <w:tcPr>
            <w:tcW w:w="1927"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DATE</w:t>
            </w:r>
          </w:p>
        </w:tc>
      </w:tr>
      <w:tr>
        <w:trPr>
          <w:trHeight w:val="240" w:hRule="atLeast"/>
        </w:trPr>
        <w:tc>
          <w:tcPr>
            <w:tcW w:w="3892" w:type="dxa"/>
            <w:tcBorders/>
            <w:shd w:fill="auto" w:val="clear"/>
            <w:vAlign w:val="center"/>
          </w:tcPr>
          <w:p>
            <w:pPr>
              <w:pStyle w:val="TableContents"/>
              <w:spacing w:before="0" w:after="283"/>
              <w:rPr>
                <w:sz w:val="4"/>
                <w:szCs w:val="4"/>
              </w:rPr>
            </w:pPr>
            <w:r>
              <w:rPr>
                <w:sz w:val="4"/>
                <w:szCs w:val="4"/>
              </w:rPr>
            </w:r>
          </w:p>
        </w:tc>
        <w:tc>
          <w:tcPr>
            <w:tcW w:w="4177" w:type="dxa"/>
            <w:gridSpan w:val="2"/>
            <w:tcBorders/>
            <w:shd w:fill="auto" w:val="clear"/>
            <w:vAlign w:val="center"/>
          </w:tcPr>
          <w:p>
            <w:pPr>
              <w:pStyle w:val="TableContents"/>
              <w:spacing w:before="0" w:after="283"/>
              <w:rPr>
                <w:sz w:val="4"/>
                <w:szCs w:val="4"/>
              </w:rPr>
            </w:pPr>
            <w:r>
              <w:rPr>
                <w:sz w:val="4"/>
                <w:szCs w:val="4"/>
              </w:rPr>
            </w:r>
          </w:p>
        </w:tc>
        <w:tc>
          <w:tcPr>
            <w:tcW w:w="2136" w:type="dxa"/>
            <w:gridSpan w:val="2"/>
            <w:tcBorders/>
            <w:shd w:fill="auto" w:val="clear"/>
            <w:vAlign w:val="center"/>
          </w:tcPr>
          <w:p>
            <w:pPr>
              <w:pStyle w:val="TableContents"/>
              <w:spacing w:before="0" w:after="283"/>
              <w:rPr>
                <w:sz w:val="4"/>
                <w:szCs w:val="4"/>
              </w:rPr>
            </w:pPr>
            <w:r>
              <w:rPr>
                <w:sz w:val="4"/>
                <w:szCs w:val="4"/>
              </w:rPr>
            </w:r>
          </w:p>
        </w:tc>
      </w:tr>
      <w:tr>
        <w:trPr/>
        <w:tc>
          <w:tcPr>
            <w:tcW w:w="3892"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George Paz</w:t>
            </w:r>
          </w:p>
        </w:tc>
        <w:tc>
          <w:tcPr>
            <w:tcW w:w="123" w:type="dxa"/>
            <w:tcBorders/>
            <w:shd w:fill="auto" w:val="clear"/>
            <w:vAlign w:val="bottom"/>
          </w:tcPr>
          <w:p>
            <w:pPr>
              <w:pStyle w:val="TableContents"/>
              <w:spacing w:before="0" w:after="283"/>
              <w:rPr/>
            </w:pPr>
            <w:r>
              <w:rPr/>
              <w:t>  </w:t>
            </w:r>
          </w:p>
        </w:tc>
        <w:tc>
          <w:tcPr>
            <w:tcW w:w="4054" w:type="dxa"/>
            <w:tcBorders/>
            <w:shd w:fill="auto" w:val="clear"/>
          </w:tcPr>
          <w:p>
            <w:pPr>
              <w:pStyle w:val="TableContents"/>
              <w:spacing w:before="0" w:after="283"/>
              <w:rPr>
                <w:sz w:val="17"/>
              </w:rPr>
            </w:pPr>
            <w:r>
              <w:rPr>
                <w:sz w:val="17"/>
              </w:rPr>
              <w:t>Director</w:t>
            </w:r>
          </w:p>
        </w:tc>
        <w:tc>
          <w:tcPr>
            <w:tcW w:w="209" w:type="dxa"/>
            <w:tcBorders/>
            <w:shd w:fill="auto" w:val="clear"/>
            <w:vAlign w:val="bottom"/>
          </w:tcPr>
          <w:p>
            <w:pPr>
              <w:pStyle w:val="TableContents"/>
              <w:spacing w:before="0" w:after="283"/>
              <w:rPr/>
            </w:pPr>
            <w:r>
              <w:rPr/>
              <w:t> </w:t>
            </w:r>
          </w:p>
        </w:tc>
        <w:tc>
          <w:tcPr>
            <w:tcW w:w="1927" w:type="dxa"/>
            <w:tcBorders/>
            <w:shd w:fill="auto" w:val="clear"/>
          </w:tcPr>
          <w:p>
            <w:pPr>
              <w:pStyle w:val="TableContents"/>
              <w:spacing w:before="0" w:after="283"/>
              <w:jc w:val="center"/>
              <w:rPr>
                <w:sz w:val="17"/>
              </w:rPr>
            </w:pPr>
            <w:r>
              <w:rPr>
                <w:sz w:val="17"/>
              </w:rPr>
              <w:t>December 10, 2018</w:t>
            </w:r>
          </w:p>
        </w:tc>
      </w:tr>
      <w:tr>
        <w:trPr>
          <w:trHeight w:val="195" w:hRule="atLeast"/>
        </w:trPr>
        <w:tc>
          <w:tcPr>
            <w:tcW w:w="3892" w:type="dxa"/>
            <w:tcBorders/>
            <w:shd w:fill="auto" w:val="clear"/>
            <w:vAlign w:val="center"/>
          </w:tcPr>
          <w:p>
            <w:pPr>
              <w:pStyle w:val="TableContents"/>
              <w:spacing w:before="0" w:after="283"/>
              <w:rPr>
                <w:sz w:val="4"/>
                <w:szCs w:val="4"/>
              </w:rPr>
            </w:pPr>
            <w:r>
              <w:rPr>
                <w:sz w:val="4"/>
                <w:szCs w:val="4"/>
              </w:rPr>
            </w:r>
          </w:p>
        </w:tc>
        <w:tc>
          <w:tcPr>
            <w:tcW w:w="4177" w:type="dxa"/>
            <w:gridSpan w:val="2"/>
            <w:tcBorders/>
            <w:shd w:fill="auto" w:val="clear"/>
            <w:vAlign w:val="center"/>
          </w:tcPr>
          <w:p>
            <w:pPr>
              <w:pStyle w:val="TableContents"/>
              <w:spacing w:before="0" w:after="283"/>
              <w:rPr>
                <w:sz w:val="4"/>
                <w:szCs w:val="4"/>
              </w:rPr>
            </w:pPr>
            <w:r>
              <w:rPr>
                <w:sz w:val="4"/>
                <w:szCs w:val="4"/>
              </w:rPr>
            </w:r>
          </w:p>
        </w:tc>
        <w:tc>
          <w:tcPr>
            <w:tcW w:w="2136" w:type="dxa"/>
            <w:gridSpan w:val="2"/>
            <w:tcBorders/>
            <w:shd w:fill="auto" w:val="clear"/>
            <w:vAlign w:val="center"/>
          </w:tcPr>
          <w:p>
            <w:pPr>
              <w:pStyle w:val="TableContents"/>
              <w:spacing w:before="0" w:after="283"/>
              <w:rPr>
                <w:sz w:val="4"/>
                <w:szCs w:val="4"/>
              </w:rPr>
            </w:pPr>
            <w:r>
              <w:rPr>
                <w:sz w:val="4"/>
                <w:szCs w:val="4"/>
              </w:rPr>
            </w:r>
          </w:p>
        </w:tc>
      </w:tr>
      <w:tr>
        <w:trPr/>
        <w:tc>
          <w:tcPr>
            <w:tcW w:w="3892" w:type="dxa"/>
            <w:tcBorders/>
            <w:shd w:fill="auto" w:val="clear"/>
          </w:tcPr>
          <w:p>
            <w:pPr>
              <w:pStyle w:val="TableContents"/>
              <w:pBdr>
                <w:bottom w:val="single" w:sz="2" w:space="1" w:color="000000"/>
              </w:pBdr>
              <w:spacing w:before="0" w:after="0"/>
              <w:jc w:val="center"/>
              <w:rPr>
                <w:rFonts w:ascii="Times New Roman" w:hAnsi="Times New Roman"/>
                <w:b/>
                <w:sz w:val="17"/>
              </w:rPr>
            </w:pPr>
            <w:r>
              <w:rPr>
                <w:rFonts w:ascii="Times New Roman" w:hAnsi="Times New Roman"/>
                <w:b/>
                <w:sz w:val="17"/>
              </w:rPr>
              <w:t>*</w:t>
            </w:r>
          </w:p>
          <w:p>
            <w:pPr>
              <w:pStyle w:val="TableContents"/>
              <w:spacing w:before="0" w:after="20"/>
              <w:jc w:val="center"/>
              <w:rPr>
                <w:rFonts w:ascii="Times New Roman" w:hAnsi="Times New Roman"/>
                <w:b/>
                <w:sz w:val="13"/>
              </w:rPr>
            </w:pPr>
            <w:r>
              <w:rPr>
                <w:rFonts w:ascii="Times New Roman" w:hAnsi="Times New Roman"/>
                <w:b/>
                <w:sz w:val="13"/>
              </w:rPr>
              <w:t>Robin L. Washington</w:t>
            </w:r>
          </w:p>
        </w:tc>
        <w:tc>
          <w:tcPr>
            <w:tcW w:w="123" w:type="dxa"/>
            <w:tcBorders/>
            <w:shd w:fill="auto" w:val="clear"/>
            <w:vAlign w:val="bottom"/>
          </w:tcPr>
          <w:p>
            <w:pPr>
              <w:pStyle w:val="TableContents"/>
              <w:spacing w:before="0" w:after="283"/>
              <w:rPr/>
            </w:pPr>
            <w:r>
              <w:rPr/>
              <w:t>  </w:t>
            </w:r>
          </w:p>
        </w:tc>
        <w:tc>
          <w:tcPr>
            <w:tcW w:w="4054" w:type="dxa"/>
            <w:tcBorders/>
            <w:shd w:fill="auto" w:val="clear"/>
          </w:tcPr>
          <w:p>
            <w:pPr>
              <w:pStyle w:val="TableContents"/>
              <w:spacing w:before="0" w:after="283"/>
              <w:rPr>
                <w:sz w:val="17"/>
              </w:rPr>
            </w:pPr>
            <w:r>
              <w:rPr>
                <w:sz w:val="17"/>
              </w:rPr>
              <w:t>Director</w:t>
            </w:r>
          </w:p>
        </w:tc>
        <w:tc>
          <w:tcPr>
            <w:tcW w:w="209" w:type="dxa"/>
            <w:tcBorders/>
            <w:shd w:fill="auto" w:val="clear"/>
            <w:vAlign w:val="bottom"/>
          </w:tcPr>
          <w:p>
            <w:pPr>
              <w:pStyle w:val="TableContents"/>
              <w:spacing w:before="0" w:after="283"/>
              <w:rPr/>
            </w:pPr>
            <w:r>
              <w:rPr/>
              <w:t> </w:t>
            </w:r>
          </w:p>
        </w:tc>
        <w:tc>
          <w:tcPr>
            <w:tcW w:w="1927" w:type="dxa"/>
            <w:tcBorders/>
            <w:shd w:fill="auto" w:val="clear"/>
          </w:tcPr>
          <w:p>
            <w:pPr>
              <w:pStyle w:val="TableContents"/>
              <w:spacing w:before="0" w:after="283"/>
              <w:jc w:val="center"/>
              <w:rPr>
                <w:sz w:val="17"/>
              </w:rPr>
            </w:pPr>
            <w:r>
              <w:rPr>
                <w:sz w:val="17"/>
              </w:rPr>
              <w:t>December 10, 2018</w:t>
            </w:r>
          </w:p>
        </w:tc>
      </w:tr>
    </w:tbl>
    <w:p>
      <w:pPr>
        <w:pStyle w:val="TextBody"/>
        <w:spacing w:before="0" w:after="0"/>
        <w:jc w:val="left"/>
        <w:rPr/>
      </w:pPr>
      <w:r>
        <w:rPr/>
        <w:t> </w:t>
      </w:r>
    </w:p>
    <w:tbl>
      <w:tblPr>
        <w:tblW w:w="1900" w:type="pct"/>
        <w:jc w:val="left"/>
        <w:tblInd w:w="0" w:type="dxa"/>
        <w:tblCellMar>
          <w:top w:w="0" w:type="dxa"/>
          <w:left w:w="0" w:type="dxa"/>
          <w:bottom w:w="0" w:type="dxa"/>
          <w:right w:w="0" w:type="dxa"/>
        </w:tblCellMar>
      </w:tblPr>
      <w:tblGrid>
        <w:gridCol w:w="424"/>
        <w:gridCol w:w="80"/>
        <w:gridCol w:w="3373"/>
      </w:tblGrid>
      <w:tr>
        <w:trPr/>
        <w:tc>
          <w:tcPr>
            <w:tcW w:w="42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373"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24" w:type="dxa"/>
            <w:tcBorders/>
            <w:shd w:fill="auto" w:val="clear"/>
            <w:vAlign w:val="center"/>
          </w:tcPr>
          <w:p>
            <w:pPr>
              <w:pStyle w:val="TableContents"/>
              <w:spacing w:before="0" w:after="283"/>
              <w:rPr>
                <w:sz w:val="4"/>
                <w:szCs w:val="4"/>
              </w:rPr>
            </w:pPr>
            <w:r>
              <w:rPr>
                <w:sz w:val="4"/>
                <w:szCs w:val="4"/>
              </w:rPr>
            </w:r>
          </w:p>
        </w:tc>
        <w:tc>
          <w:tcPr>
            <w:tcW w:w="3453" w:type="dxa"/>
            <w:gridSpan w:val="2"/>
            <w:tcBorders/>
            <w:shd w:fill="auto" w:val="clear"/>
            <w:vAlign w:val="center"/>
          </w:tcPr>
          <w:p>
            <w:pPr>
              <w:pStyle w:val="TableContents"/>
              <w:spacing w:before="0" w:after="283"/>
              <w:rPr>
                <w:sz w:val="4"/>
                <w:szCs w:val="4"/>
              </w:rPr>
            </w:pPr>
            <w:r>
              <w:rPr>
                <w:sz w:val="4"/>
                <w:szCs w:val="4"/>
              </w:rPr>
            </w:r>
          </w:p>
        </w:tc>
      </w:tr>
      <w:tr>
        <w:trPr/>
        <w:tc>
          <w:tcPr>
            <w:tcW w:w="424" w:type="dxa"/>
            <w:tcBorders/>
            <w:shd w:fill="auto" w:val="clear"/>
          </w:tcPr>
          <w:p>
            <w:pPr>
              <w:pStyle w:val="TableContents"/>
              <w:spacing w:before="0" w:after="283"/>
              <w:rPr/>
            </w:pPr>
            <w:r>
              <w:rPr/>
              <w:t>*By:</w:t>
            </w:r>
          </w:p>
        </w:tc>
        <w:tc>
          <w:tcPr>
            <w:tcW w:w="80" w:type="dxa"/>
            <w:tcBorders/>
            <w:shd w:fill="auto" w:val="clear"/>
            <w:vAlign w:val="bottom"/>
          </w:tcPr>
          <w:p>
            <w:pPr>
              <w:pStyle w:val="TableContents"/>
              <w:spacing w:before="0" w:after="283"/>
              <w:rPr/>
            </w:pPr>
            <w:r>
              <w:rPr/>
              <w:t> </w:t>
            </w:r>
          </w:p>
        </w:tc>
        <w:tc>
          <w:tcPr>
            <w:tcW w:w="3373" w:type="dxa"/>
            <w:tcBorders/>
            <w:shd w:fill="auto" w:val="clear"/>
          </w:tcPr>
          <w:p>
            <w:pPr>
              <w:pStyle w:val="TableContents"/>
              <w:pBdr>
                <w:bottom w:val="single" w:sz="2" w:space="1" w:color="000000"/>
              </w:pBdr>
              <w:spacing w:before="0" w:after="20"/>
              <w:jc w:val="center"/>
              <w:rPr>
                <w:rFonts w:ascii="Times New Roman" w:hAnsi="Times New Roman"/>
                <w:sz w:val="17"/>
              </w:rPr>
            </w:pPr>
            <w:r>
              <w:rPr>
                <w:rFonts w:ascii="Times New Roman" w:hAnsi="Times New Roman"/>
                <w:sz w:val="17"/>
              </w:rPr>
              <w:t>/s/ Anne T. Madden</w:t>
            </w:r>
          </w:p>
        </w:tc>
      </w:tr>
      <w:tr>
        <w:trPr/>
        <w:tc>
          <w:tcPr>
            <w:tcW w:w="424" w:type="dxa"/>
            <w:tcBorders/>
            <w:shd w:fill="auto" w:val="clea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jc w:val="center"/>
              <w:rPr>
                <w:b/>
              </w:rPr>
            </w:pPr>
            <w:r>
              <w:rPr>
                <w:b/>
              </w:rPr>
              <w:t>Attorney-in-Fact</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II-6 </w:t>
      </w:r>
      <w:r>
        <w:br w:type="page"/>
      </w:r>
    </w:p>
    <w:p>
      <w:pPr>
        <w:pStyle w:val="TextBody"/>
        <w:spacing w:before="0" w:after="0"/>
        <w:jc w:val="right"/>
        <w:rPr>
          <w:rFonts w:ascii="Times New Roman" w:hAnsi="Times New Roman"/>
          <w:b/>
          <w:sz w:val="17"/>
        </w:rPr>
      </w:pPr>
      <w:bookmarkStart w:id="43" w:name="d655836dex11.htm"/>
      <w:bookmarkStart w:id="44" w:name="ksd655836dex11"/>
      <w:bookmarkEnd w:id="43"/>
      <w:bookmarkEnd w:id="44"/>
      <w:r>
        <w:rPr>
          <w:rFonts w:ascii="Times New Roman" w:hAnsi="Times New Roman"/>
          <w:b/>
          <w:sz w:val="17"/>
        </w:rPr>
        <w:t xml:space="preserve">Exhibit 1.1 </w:t>
      </w:r>
    </w:p>
    <w:p>
      <w:pPr>
        <w:pStyle w:val="TextBody"/>
        <w:spacing w:before="240" w:after="0"/>
        <w:jc w:val="center"/>
        <w:rPr>
          <w:rFonts w:ascii="Times New Roman" w:hAnsi="Times New Roman"/>
          <w:sz w:val="17"/>
        </w:rPr>
      </w:pPr>
      <w:r>
        <w:rPr>
          <w:rFonts w:ascii="Times New Roman" w:hAnsi="Times New Roman"/>
          <w:sz w:val="17"/>
        </w:rPr>
        <w:t xml:space="preserve">HONEYWELL INTERNATIONAL INC. </w:t>
      </w:r>
    </w:p>
    <w:p>
      <w:pPr>
        <w:pStyle w:val="TextBody"/>
        <w:spacing w:before="240" w:after="0"/>
        <w:jc w:val="center"/>
        <w:rPr>
          <w:rFonts w:ascii="Times New Roman" w:hAnsi="Times New Roman"/>
          <w:sz w:val="17"/>
        </w:rPr>
      </w:pPr>
      <w:r>
        <w:rPr>
          <w:rFonts w:ascii="Times New Roman" w:hAnsi="Times New Roman"/>
          <w:sz w:val="17"/>
        </w:rPr>
        <w:t xml:space="preserve">[TITLE OF SECURITIES] </w:t>
      </w:r>
    </w:p>
    <w:p>
      <w:pPr>
        <w:pStyle w:val="TextBody"/>
        <w:spacing w:before="240" w:after="0"/>
        <w:jc w:val="center"/>
        <w:rPr>
          <w:rFonts w:ascii="Times New Roman" w:hAnsi="Times New Roman"/>
          <w:sz w:val="17"/>
        </w:rPr>
      </w:pPr>
      <w:r>
        <w:rPr>
          <w:rFonts w:ascii="Times New Roman" w:hAnsi="Times New Roman"/>
          <w:sz w:val="17"/>
        </w:rPr>
        <w:t xml:space="preserve">UNDERWRITING AGREEMENT </w:t>
      </w:r>
    </w:p>
    <w:p>
      <w:pPr>
        <w:pStyle w:val="TextBody"/>
        <w:spacing w:before="0" w:after="0"/>
        <w:jc w:val="center"/>
        <w:rPr/>
      </w:pPr>
      <w:r>
        <w:rPr/>
        <w:t>            </w:t>
      </w:r>
      <w:r>
        <w:rPr>
          <w:rFonts w:ascii="Times New Roman" w:hAnsi="Times New Roman"/>
          <w:sz w:val="17"/>
        </w:rPr>
        <w:t xml:space="preserve">, 20     </w:t>
      </w:r>
    </w:p>
    <w:p>
      <w:pPr>
        <w:pStyle w:val="TextBody"/>
        <w:spacing w:before="240" w:after="0"/>
        <w:jc w:val="right"/>
        <w:rPr>
          <w:rFonts w:ascii="Times New Roman" w:hAnsi="Times New Roman"/>
          <w:sz w:val="17"/>
        </w:rPr>
      </w:pPr>
      <w:r>
        <w:rPr>
          <w:rFonts w:ascii="Times New Roman" w:hAnsi="Times New Roman"/>
          <w:sz w:val="17"/>
        </w:rPr>
        <w:t xml:space="preserve">New York, New York </w:t>
      </w:r>
    </w:p>
    <w:p>
      <w:pPr>
        <w:pStyle w:val="TextBody"/>
        <w:spacing w:before="240" w:after="0"/>
        <w:jc w:val="left"/>
        <w:rPr>
          <w:rFonts w:ascii="Times New Roman" w:hAnsi="Times New Roman"/>
          <w:sz w:val="17"/>
        </w:rPr>
      </w:pPr>
      <w:r>
        <w:rPr>
          <w:rFonts w:ascii="Times New Roman" w:hAnsi="Times New Roman"/>
          <w:sz w:val="17"/>
        </w:rPr>
        <w:t xml:space="preserve">To the Representatives named in Schedule I hereto </w:t>
      </w:r>
    </w:p>
    <w:p>
      <w:pPr>
        <w:pStyle w:val="TextBody"/>
        <w:spacing w:before="0" w:after="0"/>
        <w:jc w:val="left"/>
        <w:rPr>
          <w:rFonts w:ascii="Times New Roman" w:hAnsi="Times New Roman"/>
          <w:sz w:val="17"/>
        </w:rPr>
      </w:pPr>
      <w:r>
        <w:rPr>
          <w:rFonts w:ascii="Times New Roman" w:hAnsi="Times New Roman"/>
          <w:sz w:val="17"/>
        </w:rPr>
        <w:t xml:space="preserve">of the Underwriters named in Schedule II hereto </w:t>
      </w:r>
    </w:p>
    <w:p>
      <w:pPr>
        <w:pStyle w:val="TextBody"/>
        <w:spacing w:before="240" w:after="0"/>
        <w:jc w:val="left"/>
        <w:rPr>
          <w:rFonts w:ascii="Times New Roman" w:hAnsi="Times New Roman"/>
          <w:sz w:val="17"/>
        </w:rPr>
      </w:pPr>
      <w:r>
        <w:rPr>
          <w:rFonts w:ascii="Times New Roman" w:hAnsi="Times New Roman"/>
          <w:sz w:val="17"/>
        </w:rPr>
        <w:t>Honeywell International Inc., a Delaware corporation (the </w:t>
      </w:r>
      <w:r>
        <w:rPr>
          <w:rFonts w:ascii="Times New Roman" w:hAnsi="Times New Roman"/>
          <w:sz w:val="17"/>
          <w:u w:val="single"/>
        </w:rPr>
        <w:t>Company</w:t>
      </w:r>
      <w:r>
        <w:rPr>
          <w:rFonts w:ascii="Times New Roman" w:hAnsi="Times New Roman"/>
          <w:sz w:val="17"/>
        </w:rPr>
        <w:t>), proposes to sell to the underwriters named in Schedule II hereto (the </w:t>
      </w:r>
      <w:r>
        <w:rPr>
          <w:rFonts w:ascii="Times New Roman" w:hAnsi="Times New Roman"/>
          <w:sz w:val="17"/>
          <w:u w:val="single"/>
        </w:rPr>
        <w:t>Underwriters</w:t>
      </w:r>
      <w:r>
        <w:rPr>
          <w:rFonts w:ascii="Times New Roman" w:hAnsi="Times New Roman"/>
          <w:sz w:val="17"/>
        </w:rPr>
        <w:t>), for whom you are acting as representatives (the </w:t>
      </w:r>
      <w:r>
        <w:rPr>
          <w:rFonts w:ascii="Times New Roman" w:hAnsi="Times New Roman"/>
          <w:sz w:val="17"/>
          <w:u w:val="single"/>
        </w:rPr>
        <w:t>Representatives</w:t>
      </w:r>
      <w:r>
        <w:rPr>
          <w:rFonts w:ascii="Times New Roman" w:hAnsi="Times New Roman"/>
          <w:sz w:val="17"/>
        </w:rPr>
        <w:t>), the aggregate principal amount set forth in Schedule II hereto of its debt securities identified on Schedule I hereto (the </w:t>
      </w:r>
      <w:r>
        <w:rPr>
          <w:rFonts w:ascii="Times New Roman" w:hAnsi="Times New Roman"/>
          <w:sz w:val="17"/>
          <w:u w:val="single"/>
        </w:rPr>
        <w:t>Purchased Securities</w:t>
      </w:r>
      <w:r>
        <w:rPr>
          <w:rFonts w:ascii="Times New Roman" w:hAnsi="Times New Roman"/>
          <w:sz w:val="17"/>
        </w:rPr>
        <w:t>), to be issued under an indenture dated as of                    , (the </w:t>
      </w:r>
      <w:r>
        <w:rPr>
          <w:rFonts w:ascii="Times New Roman" w:hAnsi="Times New Roman"/>
          <w:sz w:val="17"/>
          <w:u w:val="single"/>
        </w:rPr>
        <w:t>Indenture</w:t>
      </w:r>
      <w:r>
        <w:rPr>
          <w:rFonts w:ascii="Times New Roman" w:hAnsi="Times New Roman"/>
          <w:sz w:val="17"/>
        </w:rPr>
        <w:t>) between the Company and                     , as Trustee (the </w:t>
      </w:r>
      <w:r>
        <w:rPr>
          <w:rFonts w:ascii="Times New Roman" w:hAnsi="Times New Roman"/>
          <w:sz w:val="17"/>
          <w:u w:val="single"/>
        </w:rPr>
        <w:t>Trustee</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1.    </w:t>
      </w:r>
      <w:r>
        <w:rPr>
          <w:rFonts w:ascii="Times New Roman" w:hAnsi="Times New Roman"/>
          <w:sz w:val="17"/>
          <w:u w:val="single"/>
        </w:rPr>
        <w:t>Representations and Warranties</w:t>
      </w:r>
      <w:r>
        <w:rPr>
          <w:rFonts w:ascii="Times New Roman" w:hAnsi="Times New Roman"/>
          <w:sz w:val="17"/>
        </w:rPr>
        <w:t xml:space="preserve">. The Company represents and warrants to, and agrees with, each Underwriter that: </w:t>
      </w:r>
    </w:p>
    <w:p>
      <w:pPr>
        <w:pStyle w:val="TextBody"/>
        <w:spacing w:before="240" w:after="0"/>
        <w:jc w:val="left"/>
        <w:rPr>
          <w:rFonts w:ascii="Times New Roman" w:hAnsi="Times New Roman"/>
          <w:sz w:val="17"/>
        </w:rPr>
      </w:pPr>
      <w:r>
        <w:rPr>
          <w:rFonts w:ascii="Times New Roman" w:hAnsi="Times New Roman"/>
          <w:sz w:val="17"/>
        </w:rPr>
        <w:t>(a)    The Company meets, and has met at all times since the initial filing referred to below, the requirements for use of Form S-3 under the Securities Act of 1933, as amended (the </w:t>
      </w:r>
      <w:r>
        <w:rPr>
          <w:rFonts w:ascii="Times New Roman" w:hAnsi="Times New Roman"/>
          <w:sz w:val="17"/>
          <w:u w:val="single"/>
        </w:rPr>
        <w:t>Act</w:t>
      </w:r>
      <w:r>
        <w:rPr>
          <w:rFonts w:ascii="Times New Roman" w:hAnsi="Times New Roman"/>
          <w:sz w:val="17"/>
        </w:rPr>
        <w:t>), and has filed with the Securities and Exchange Commission (the </w:t>
      </w:r>
      <w:r>
        <w:rPr>
          <w:rFonts w:ascii="Times New Roman" w:hAnsi="Times New Roman"/>
          <w:sz w:val="17"/>
          <w:u w:val="single"/>
        </w:rPr>
        <w:t>Commission</w:t>
      </w:r>
      <w:r>
        <w:rPr>
          <w:rFonts w:ascii="Times New Roman" w:hAnsi="Times New Roman"/>
          <w:sz w:val="17"/>
        </w:rPr>
        <w:t>) an automatic shelf registration statement on such Form (the file number of which is set forth in Schedule I hereto), which has become effective, for the registration under the Act of the Purchased Securities. Such registration statement, as amended at the date of the Agreement, meets the requirements set forth in Rule 415(a)(1)(x) under the Act and complies in all other material respects with said Rule. The Company proposes to file with the Commission pursuant to Rule 424 under the Act a supplement to the form of prospectus included in such registration statement relating to the Purchased Securities and the plan of distribution thereof and has previously advised you of all further information (financial and other) with respect to the Company to be set forth therein. Such registration statement, including the exhibits thereto, as amended at the date of this Agreement, is hereinafter called the </w:t>
      </w:r>
      <w:r>
        <w:rPr>
          <w:rFonts w:ascii="Times New Roman" w:hAnsi="Times New Roman"/>
          <w:sz w:val="17"/>
          <w:u w:val="single"/>
        </w:rPr>
        <w:t>Registration Statement</w:t>
      </w:r>
      <w:r>
        <w:rPr>
          <w:rFonts w:ascii="Times New Roman" w:hAnsi="Times New Roman"/>
          <w:sz w:val="17"/>
        </w:rPr>
        <w:t>; such prospectus in the form in which it appears in the Registration Statement is hereinafter called the </w:t>
      </w:r>
      <w:r>
        <w:rPr>
          <w:rFonts w:ascii="Times New Roman" w:hAnsi="Times New Roman"/>
          <w:sz w:val="17"/>
          <w:u w:val="single"/>
        </w:rPr>
        <w:t>Base Prospectus</w:t>
      </w:r>
      <w:r>
        <w:rPr>
          <w:rFonts w:ascii="Times New Roman" w:hAnsi="Times New Roman"/>
          <w:sz w:val="17"/>
        </w:rPr>
        <w:t>; and such supplemented form of prospectus, in the form in which it shall be first filed with the Commission pursuant to Rule 424 (including the Base Prospectus as so supplemented) is hereinafter called the </w:t>
      </w:r>
      <w:r>
        <w:rPr>
          <w:rFonts w:ascii="Times New Roman" w:hAnsi="Times New Roman"/>
          <w:sz w:val="17"/>
          <w:u w:val="single"/>
        </w:rPr>
        <w:t>Final Prospectus</w:t>
      </w:r>
      <w:r>
        <w:rPr>
          <w:rFonts w:ascii="Times New Roman" w:hAnsi="Times New Roman"/>
          <w:sz w:val="17"/>
        </w:rPr>
        <w:t xml:space="preserve">. Any preliminary form of the Final Prospectus which has heretofore been filed pursuant to Rule 424 is hereinafter called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Preliminary Final Prospectus</w:t>
      </w:r>
      <w:r>
        <w:rPr>
          <w:rFonts w:ascii="Times New Roman" w:hAnsi="Times New Roman"/>
          <w:sz w:val="17"/>
        </w:rPr>
        <w:t>. Any reference herein to the Registration Statement, the Base Prospectus, any Preliminary Final Prospectus or the Final Prospectus shall be deemed to refer to and include the documents incorporated by reference therein pursuant to Item 12 of Form S-3 which were filed under the Securities Exchange Act of 1934, as amended (the </w:t>
      </w:r>
      <w:r>
        <w:rPr>
          <w:rFonts w:ascii="Times New Roman" w:hAnsi="Times New Roman"/>
          <w:sz w:val="17"/>
          <w:u w:val="single"/>
        </w:rPr>
        <w:t>Exchange Act</w:t>
      </w:r>
      <w:r>
        <w:rPr>
          <w:rFonts w:ascii="Times New Roman" w:hAnsi="Times New Roman"/>
          <w:sz w:val="17"/>
        </w:rPr>
        <w:t>), on or before the date of this Agreement, or the issue date of the Base Prospectus, any Preliminary Final Prospectus or the Final Prospectus, as the case may be; and any reference herein to the terms </w:t>
      </w:r>
      <w:r>
        <w:rPr>
          <w:rFonts w:ascii="Times New Roman" w:hAnsi="Times New Roman"/>
          <w:sz w:val="17"/>
          <w:u w:val="single"/>
        </w:rPr>
        <w:t>amend</w:t>
      </w:r>
      <w:r>
        <w:rPr>
          <w:rFonts w:ascii="Times New Roman" w:hAnsi="Times New Roman"/>
          <w:sz w:val="17"/>
        </w:rPr>
        <w:t>, </w:t>
      </w:r>
      <w:r>
        <w:rPr>
          <w:rFonts w:ascii="Times New Roman" w:hAnsi="Times New Roman"/>
          <w:sz w:val="17"/>
          <w:u w:val="single"/>
        </w:rPr>
        <w:t>amendment</w:t>
      </w:r>
      <w:r>
        <w:rPr>
          <w:rFonts w:ascii="Times New Roman" w:hAnsi="Times New Roman"/>
          <w:sz w:val="17"/>
        </w:rPr>
        <w:t> or </w:t>
      </w:r>
      <w:r>
        <w:rPr>
          <w:rFonts w:ascii="Times New Roman" w:hAnsi="Times New Roman"/>
          <w:sz w:val="17"/>
          <w:u w:val="single"/>
        </w:rPr>
        <w:t>supplement</w:t>
      </w:r>
      <w:r>
        <w:rPr>
          <w:rFonts w:ascii="Times New Roman" w:hAnsi="Times New Roman"/>
          <w:sz w:val="17"/>
        </w:rPr>
        <w:t xml:space="preserve"> with respect to the Registration Statement, the Base Prospectus, any Preliminary Final Prospectus or the Final Prospectus shall be deemed to refer to and include the filing of any document under the Exchange Act after the date of this Agreement, or the issue date of the Base Prospectus, any Preliminary Final Prospectus or the Final Prospectus, as the case may be, deemed to be incorporated therein by reference. </w:t>
      </w:r>
    </w:p>
    <w:p>
      <w:pPr>
        <w:pStyle w:val="TextBody"/>
        <w:spacing w:before="240" w:after="0"/>
        <w:jc w:val="left"/>
        <w:rPr>
          <w:rFonts w:ascii="Times New Roman" w:hAnsi="Times New Roman"/>
          <w:sz w:val="17"/>
        </w:rPr>
      </w:pPr>
      <w:r>
        <w:rPr>
          <w:rFonts w:ascii="Times New Roman" w:hAnsi="Times New Roman"/>
          <w:sz w:val="17"/>
        </w:rPr>
        <w:t xml:space="preserve">(b)    As of the date hereof, when the Final Prospectus is first filed pursuant to Rule 424 under the Act, when, prior to the Closing Date (as hereinafter defined), any amendment to the Registration Statement becomes effective (including the filing of any document incorporated by reference in the Registration Statement), when any supplement to the Final Prospectus is filed with the Commission and at the Closing Date, </w:t>
      </w:r>
    </w:p>
    <w:p>
      <w:pPr>
        <w:pStyle w:val="TextBody"/>
        <w:spacing w:before="120" w:after="0"/>
        <w:jc w:val="left"/>
        <w:rPr>
          <w:rFonts w:ascii="Times New Roman" w:hAnsi="Times New Roman"/>
          <w:sz w:val="17"/>
        </w:rPr>
      </w:pPr>
      <w:r>
        <w:rPr>
          <w:rFonts w:ascii="Times New Roman" w:hAnsi="Times New Roman"/>
          <w:sz w:val="17"/>
        </w:rPr>
        <w:t>(i) the Registration Statement, as amended as of any such time, the Final Prospectus, as amended or supplemented as of any such time, and the Indenture will comply in all material respects with the applicable requirements of the Act, the Exchange Act, and the Trust Indenture Act of 1939, as amended (the </w:t>
      </w:r>
      <w:r>
        <w:rPr>
          <w:rFonts w:ascii="Times New Roman" w:hAnsi="Times New Roman"/>
          <w:sz w:val="17"/>
          <w:u w:val="single"/>
        </w:rPr>
        <w:t>Trust Indenture Act</w:t>
      </w:r>
      <w:r>
        <w:rPr>
          <w:rFonts w:ascii="Times New Roman" w:hAnsi="Times New Roman"/>
          <w:sz w:val="17"/>
        </w:rPr>
        <w:t xml:space="preserve">), and the respective rules thereunder; and </w:t>
      </w:r>
    </w:p>
    <w:p>
      <w:pPr>
        <w:pStyle w:val="TextBody"/>
        <w:spacing w:before="120" w:after="0"/>
        <w:jc w:val="left"/>
        <w:rPr>
          <w:rFonts w:ascii="Times New Roman" w:hAnsi="Times New Roman"/>
          <w:sz w:val="17"/>
        </w:rPr>
      </w:pPr>
      <w:r>
        <w:rPr>
          <w:rFonts w:ascii="Times New Roman" w:hAnsi="Times New Roman"/>
          <w:sz w:val="17"/>
        </w:rPr>
        <w:t xml:space="preserve">(ii) the Registration Statement, as amended as of any such time, will not contain any untrue statement of a material fact or omit to state any material fact required to be stated therein or necessary in order to make the statements therein not misleading; the Final Prospectus, as amended or supplemented as of any such time, will not include any untrue statement of a material fact or omit to state any material fact in order to make the statement therein, in the light of the circumstances under which they were made, not misleading;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Company makes no representations or warranties as to (A) that part of the Registration Statement which shall constitute the Statement of Eligibility and Qualification (Form T-1) of the Trustee under the Trust Indenture Act or (B) the information contained in or omitted from the Registration Statement or the Final Prospectus or any amendment thereof or supplement thereto in reliance upon and in conformity with information furnished to the Company by or on behalf of any Underwriter through the Representatives specifically for use in the Registration Statement or the Final Prospectus. </w:t>
      </w:r>
    </w:p>
    <w:p>
      <w:pPr>
        <w:pStyle w:val="TextBody"/>
        <w:spacing w:before="240" w:after="0"/>
        <w:jc w:val="left"/>
        <w:rPr>
          <w:rFonts w:ascii="Times New Roman" w:hAnsi="Times New Roman"/>
          <w:sz w:val="17"/>
        </w:rPr>
      </w:pPr>
      <w:r>
        <w:rPr>
          <w:rFonts w:ascii="Times New Roman" w:hAnsi="Times New Roman"/>
          <w:sz w:val="17"/>
        </w:rPr>
        <w:t>(c)    The Disclosure Package (as defined below) and the final term sheet prepared and filed pursuant to Section 4(i) hereto, if applicable, when taken together as a whole, do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information furnished in writing to the Company by or on behalf of any Underwriter through the Representatives specifically for inclusion therein. </w:t>
      </w:r>
      <w:r>
        <w:rPr>
          <w:rFonts w:ascii="Times New Roman" w:hAnsi="Times New Roman"/>
          <w:sz w:val="17"/>
          <w:u w:val="single"/>
        </w:rPr>
        <w:t>Disclosure Package</w:t>
      </w:r>
      <w:r>
        <w:rPr>
          <w:rFonts w:ascii="Times New Roman" w:hAnsi="Times New Roman"/>
          <w:sz w:val="17"/>
        </w:rPr>
        <w:t xml:space="preserve"> as used herein means the Base Prospectus,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the Preliminary Final Prospectus used most recently prior to the date hereof, the issuer free writing prospectus as defined in Rule 433 under the Act (the </w:t>
      </w:r>
      <w:r>
        <w:rPr>
          <w:rFonts w:ascii="Times New Roman" w:hAnsi="Times New Roman"/>
          <w:sz w:val="17"/>
          <w:u w:val="single"/>
        </w:rPr>
        <w:t>Issuer Free Writing Prospectus</w:t>
      </w:r>
      <w:r>
        <w:rPr>
          <w:rFonts w:ascii="Times New Roman" w:hAnsi="Times New Roman"/>
          <w:sz w:val="17"/>
        </w:rPr>
        <w:t>), if any, identified in Schedule III hereto, and any other free writing prospectus as defined in Rule 405 under the Act (the </w:t>
      </w:r>
      <w:r>
        <w:rPr>
          <w:rFonts w:ascii="Times New Roman" w:hAnsi="Times New Roman"/>
          <w:sz w:val="17"/>
          <w:u w:val="single"/>
        </w:rPr>
        <w:t>Free Writing Prospectus</w:t>
      </w:r>
      <w:r>
        <w:rPr>
          <w:rFonts w:ascii="Times New Roman" w:hAnsi="Times New Roman"/>
          <w:sz w:val="17"/>
        </w:rPr>
        <w:t xml:space="preserve">) that the parties hereto shall hereafter expressly agree in writing to treat as part of the Disclosure Package. </w:t>
      </w:r>
    </w:p>
    <w:p>
      <w:pPr>
        <w:pStyle w:val="TextBody"/>
        <w:spacing w:before="240" w:after="0"/>
        <w:jc w:val="left"/>
        <w:rPr>
          <w:rFonts w:ascii="Times New Roman" w:hAnsi="Times New Roman"/>
          <w:sz w:val="17"/>
        </w:rPr>
      </w:pPr>
      <w:r>
        <w:rPr>
          <w:rFonts w:ascii="Times New Roman" w:hAnsi="Times New Roman"/>
          <w:sz w:val="17"/>
        </w:rPr>
        <w:t xml:space="preserve">(d)    (i) At the earliest time after the filing of the Registration Statement that the Company or another offering participant made a </w:t>
      </w:r>
      <w:r>
        <w:rPr>
          <w:rFonts w:ascii="Times New Roman" w:hAnsi="Times New Roman"/>
          <w:i/>
          <w:sz w:val="17"/>
        </w:rPr>
        <w:t xml:space="preserve">bona fide </w:t>
      </w:r>
      <w:r>
        <w:rPr>
          <w:rFonts w:ascii="Times New Roman" w:hAnsi="Times New Roman"/>
          <w:sz w:val="17"/>
        </w:rPr>
        <w:t xml:space="preserve">offer (within the meaning of Rule 164(h)(2) under the Act) of the Purchased Securities; and (ii) as of the date hereof (with such date being used as the determination date for purposes of this clause (ii)), the Company was not and is not an Ineligible Issuer (as defined in Rule 405 under the Act), without taking account of any determination by the Commission pursuant to Rule 405 under the Act that it is not necessary that the Company be considered an Ineligible Issuer. </w:t>
      </w:r>
    </w:p>
    <w:p>
      <w:pPr>
        <w:pStyle w:val="TextBody"/>
        <w:spacing w:before="240" w:after="0"/>
        <w:jc w:val="left"/>
        <w:rPr>
          <w:rFonts w:ascii="Times New Roman" w:hAnsi="Times New Roman"/>
          <w:sz w:val="17"/>
        </w:rPr>
      </w:pPr>
      <w:r>
        <w:rPr>
          <w:rFonts w:ascii="Times New Roman" w:hAnsi="Times New Roman"/>
          <w:sz w:val="17"/>
        </w:rPr>
        <w:t xml:space="preserve">(e)    Each Issuer Free Writing Prospectus and the final term sheet prepared and filed pursuant to Section 4(i) hereto, if applicable, does not include any information that conflicts with the information contained in the Registration Statement, including any document incorporated therein and any prospectus supplement deemed to be a part thereof that has not been superseded or modified. The preceding sentence does not apply to statements in or omissions from the Disclosure Package based upon and in conformity with information furnished in writing to the Company by or on behalf of any Underwriter through the Representatives specifically for inclusion therein. </w:t>
      </w:r>
    </w:p>
    <w:p>
      <w:pPr>
        <w:pStyle w:val="TextBody"/>
        <w:spacing w:before="240" w:after="0"/>
        <w:jc w:val="left"/>
        <w:rPr>
          <w:rFonts w:ascii="Times New Roman" w:hAnsi="Times New Roman"/>
          <w:sz w:val="17"/>
        </w:rPr>
      </w:pPr>
      <w:r>
        <w:rPr>
          <w:rFonts w:ascii="Times New Roman" w:hAnsi="Times New Roman"/>
          <w:sz w:val="17"/>
        </w:rPr>
        <w:t>(f)    The Company has full right, power and authority to execute and deliver this Agreement, the Purchased Securities and the Indenture (collectively, the </w:t>
      </w:r>
      <w:r>
        <w:rPr>
          <w:rFonts w:ascii="Times New Roman" w:hAnsi="Times New Roman"/>
          <w:sz w:val="17"/>
          <w:u w:val="single"/>
        </w:rPr>
        <w:t>Transaction Documents</w:t>
      </w:r>
      <w:r>
        <w:rPr>
          <w:rFonts w:ascii="Times New Roman" w:hAnsi="Times New Roman"/>
          <w:sz w:val="17"/>
        </w:rPr>
        <w:t xml:space="preserve">) and to perform its obligations hereunder and thereunder; and all action required to be taken for the due and proper authorization, execution and delivery of each of the Transaction Documents and the consummation of the transactions contemplated thereby has been duly and validly taken. </w:t>
      </w:r>
    </w:p>
    <w:p>
      <w:pPr>
        <w:pStyle w:val="TextBody"/>
        <w:spacing w:before="240" w:after="0"/>
        <w:jc w:val="left"/>
        <w:rPr>
          <w:rFonts w:ascii="Times New Roman" w:hAnsi="Times New Roman"/>
          <w:sz w:val="17"/>
        </w:rPr>
      </w:pPr>
      <w:r>
        <w:rPr>
          <w:rFonts w:ascii="Times New Roman" w:hAnsi="Times New Roman"/>
          <w:sz w:val="17"/>
        </w:rPr>
        <w:t>(g)    The execution, delivery and performance by the Company of each of the Transaction Documents, the issuance and sale of the Purchased Securities and compliance by the Company with the terms thereof and the consummation of the transactions contemplated by the Transaction Documents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(the </w:t>
      </w:r>
      <w:r>
        <w:rPr>
          <w:rFonts w:ascii="Times New Roman" w:hAnsi="Times New Roman"/>
          <w:sz w:val="17"/>
          <w:u w:val="single"/>
        </w:rPr>
        <w:t>Significant Subsidiary</w:t>
      </w:r>
      <w:r>
        <w:rPr>
          <w:rFonts w:ascii="Times New Roman" w:hAnsi="Times New Roman"/>
          <w:sz w:val="17"/>
        </w:rPr>
        <w:t xml:space="preserve">) is a party or by which the Company or its subsidiary is bound or to which any of the property or assets of the Company or any of its subsidiaries is subject, (ii) result in any violation of the provisions of the charter or by-laws or similar organizational documents of the Company or its Significant Subsidiary or (iii) result in the violation of any law or statute or any judgment, order, rule or regulation of any court or arbitrator or governmental or regulatory authority, except, in the case of clauses (i) and (iii) above, for any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such conflict, breach or violation that would not, individually or in the aggregate, have a material adverse effect on the business, properties, management, financial position, results of operations or prospects of the Company and its Significant Subsidiary taken as a whole or on the performance by the Company of its obligations under the Purchased Securities (a </w:t>
      </w:r>
      <w:r>
        <w:rPr>
          <w:rFonts w:ascii="Times New Roman" w:hAnsi="Times New Roman"/>
          <w:sz w:val="17"/>
          <w:u w:val="single"/>
        </w:rPr>
        <w:t>Material Adverse Effect</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(h)    Except as described in the Disclosure Package and the Final Prospectus, there are no legal, governmental or regulatory investigations, actions, suits or proceedings pending to which the Company or its Significant Subsidiary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to the best knowledge of the Company, no such investigations, actions, suits or proceedings are threatened or, contemplated by any governmental or regulatory authority or threatened by others; and (i) there are no current or pending legal, governmental or regulatory actions, suits or proceedings that are required under the Securities Act to be described in the Registration Statement that are not so described in the Disclosure Package and the Final Prospectus and (ii) there are no contracts or other documents that are required under the Securities Act to be filed as exhibits to the Registration Statement or described in the Registration Statement or the Preliminary Final Prospectus that are not so filed as exhibits to the Registration Statement or described in the Disclosure Package and the Final Prospectus. </w:t>
      </w:r>
    </w:p>
    <w:p>
      <w:pPr>
        <w:pStyle w:val="TextBody"/>
        <w:spacing w:before="240" w:after="0"/>
        <w:jc w:val="left"/>
        <w:rPr>
          <w:rFonts w:ascii="Times New Roman" w:hAnsi="Times New Roman"/>
          <w:sz w:val="17"/>
        </w:rPr>
      </w:pPr>
      <w:r>
        <w:rPr>
          <w:rFonts w:ascii="Times New Roman" w:hAnsi="Times New Roman"/>
          <w:sz w:val="17"/>
        </w:rPr>
        <w:t xml:space="preserve">(i)    The financial statements and the related notes thereto included or incorporated by reference in the Disclosure Package and the Final Prospectus comply in all material respects with the applicable requirements of the Securities Act and the Exchange Act, as applicable, and present fairly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and the supporting schedules included or incorporated by reference in the Registration Statement present fairly in all material respects, the information required to be stated therein; and the other financial information included or incorporated by reference in the Disclosure Package and the Final Prospectus has been derived from the accounting records of the Company and its subsidiaries and presents fairly the information shown thereby. The interactive data in eXtensible Business Reporting Language included or incorporated by reference in the Disclosure Package and the Final Prospectus fairly presents the information called for in all material respects and is prepared in accordance with the Commissions rules and guidelines applicable thereto. </w:t>
      </w:r>
    </w:p>
    <w:p>
      <w:pPr>
        <w:pStyle w:val="TextBody"/>
        <w:spacing w:before="240" w:after="0"/>
        <w:jc w:val="left"/>
        <w:rPr>
          <w:rFonts w:ascii="Times New Roman" w:hAnsi="Times New Roman"/>
          <w:sz w:val="17"/>
        </w:rPr>
      </w:pPr>
      <w:r>
        <w:rPr>
          <w:rFonts w:ascii="Times New Roman" w:hAnsi="Times New Roman"/>
          <w:sz w:val="17"/>
        </w:rPr>
        <w:t xml:space="preserve">(j)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Disclosure Package and the Final Prospectus is prepared in accordance with the Commissions rules and guidelines applicable thereto. Except as disclosed in the Disclosure Package and the Final Prospectus, there are no material weaknesses in the Companys internal controls. </w:t>
      </w:r>
    </w:p>
    <w:p>
      <w:pPr>
        <w:pStyle w:val="TextBody"/>
        <w:spacing w:before="240" w:after="0"/>
        <w:jc w:val="left"/>
        <w:rPr>
          <w:rFonts w:ascii="Times New Roman" w:hAnsi="Times New Roman"/>
          <w:sz w:val="17"/>
        </w:rPr>
      </w:pPr>
      <w:r>
        <w:rPr>
          <w:rFonts w:ascii="Times New Roman" w:hAnsi="Times New Roman"/>
          <w:sz w:val="17"/>
        </w:rPr>
        <w:t>(k)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hAnsi="Times New Roman"/>
          <w:sz w:val="17"/>
          <w:u w:val="single"/>
        </w:rPr>
        <w:t>Sarbanes-Oxley Act</w:t>
      </w:r>
      <w:r>
        <w:rPr>
          <w:rFonts w:ascii="Times New Roman" w:hAnsi="Times New Roman"/>
          <w:sz w:val="17"/>
        </w:rPr>
        <w:t xml:space="preserve">), including Section 402 related to loans and Sections 302 and 906 related to certifications. </w:t>
      </w:r>
    </w:p>
    <w:p>
      <w:pPr>
        <w:pStyle w:val="TextBody"/>
        <w:spacing w:before="240" w:after="0"/>
        <w:jc w:val="left"/>
        <w:rPr>
          <w:rFonts w:ascii="Times New Roman" w:hAnsi="Times New Roman"/>
          <w:sz w:val="17"/>
        </w:rPr>
      </w:pPr>
      <w:r>
        <w:rPr>
          <w:rFonts w:ascii="Times New Roman" w:hAnsi="Times New Roman"/>
          <w:sz w:val="17"/>
        </w:rPr>
        <w:t>(l)    The Company has implemented and maintains in effect policies and procedures designed to ensure compliance by the Company, its subsidiaries and their respective directors, officers, employees and agents with Anti-Corruption Laws, and the Company, it subsidiaries and their respective officers and employees and to the knowledge of the Company, its directors and agents when acting on behalf of the Company and its subsidiaries, are in compliance with Anti-Corruption Laws in all material respects. The execution, delivery and performance by the Company of each of the Transaction Documents, the issuance and sale of the Purchased Securities and compliance by the Company with the terms thereof and the consummation of the transactions contemplated by the Transaction Documents will not, and the use of proceeds therefrom will not, constitute (i) a violation of the Bribery Act, (ii) a violation of the FCPA or (iii) a material violation of any other Anti-Corruption Laws. As used in this paragraph, </w:t>
      </w:r>
      <w:r>
        <w:rPr>
          <w:rFonts w:ascii="Times New Roman" w:hAnsi="Times New Roman"/>
          <w:sz w:val="17"/>
          <w:u w:val="single"/>
        </w:rPr>
        <w:t>Anti-Corruption Laws</w:t>
      </w:r>
      <w:r>
        <w:rPr>
          <w:rFonts w:ascii="Times New Roman" w:hAnsi="Times New Roman"/>
          <w:sz w:val="17"/>
        </w:rPr>
        <w:t> means all laws, rules, and regulations of any jurisdiction applicable to the Company or its subsidiaries from time to time concerning or relating to bribery or corruption; </w:t>
      </w:r>
      <w:r>
        <w:rPr>
          <w:rFonts w:ascii="Times New Roman" w:hAnsi="Times New Roman"/>
          <w:sz w:val="17"/>
          <w:u w:val="single"/>
        </w:rPr>
        <w:t>Bribery Act</w:t>
      </w:r>
      <w:r>
        <w:rPr>
          <w:rFonts w:ascii="Times New Roman" w:hAnsi="Times New Roman"/>
          <w:sz w:val="17"/>
        </w:rPr>
        <w:t> means the United Kingdom Bribery Act of 2010; and </w:t>
      </w:r>
      <w:r>
        <w:rPr>
          <w:rFonts w:ascii="Times New Roman" w:hAnsi="Times New Roman"/>
          <w:sz w:val="17"/>
          <w:u w:val="single"/>
        </w:rPr>
        <w:t>FCPA</w:t>
      </w:r>
      <w:r>
        <w:rPr>
          <w:rFonts w:ascii="Times New Roman" w:hAnsi="Times New Roman"/>
          <w:sz w:val="17"/>
        </w:rPr>
        <w:t xml:space="preserve"> means the United States Foreign Corrupt Practices Act of 1977. </w:t>
      </w:r>
    </w:p>
    <w:p>
      <w:pPr>
        <w:pStyle w:val="TextBody"/>
        <w:spacing w:before="240" w:after="0"/>
        <w:jc w:val="left"/>
        <w:rPr>
          <w:rFonts w:ascii="Times New Roman" w:hAnsi="Times New Roman"/>
          <w:sz w:val="17"/>
        </w:rPr>
      </w:pPr>
      <w:r>
        <w:rPr>
          <w:rFonts w:ascii="Times New Roman" w:hAnsi="Times New Roman"/>
          <w:sz w:val="17"/>
        </w:rPr>
        <w:t>(m)     The Company has implemented and maintains in effect policies and procedures designed to ensure compliance by the Company and its subsidiaries with applicable Sanctions; and the Company and its subsidiaries are in compliance with applicable Sanctions in all material respects. None of the company, its subsidiaries, or any of their respective officers or directors are Sanctioned Persons. The execution, delivery and performance by the Company of each of the Transaction Documents, the issuance and sale of the Purchased Securities and compliance by the Company with the terms thereof and the consummation of the transactions contemplated by the Transaction Documents will not, and the use of proceeds therefrom will not, violate applicable Sanctions. As used in this paragraph, </w:t>
      </w:r>
      <w:r>
        <w:rPr>
          <w:rFonts w:ascii="Times New Roman" w:hAnsi="Times New Roman"/>
          <w:sz w:val="17"/>
          <w:u w:val="single"/>
        </w:rPr>
        <w:t>Sanctions</w:t>
      </w:r>
      <w:r>
        <w:rPr>
          <w:rFonts w:ascii="Times New Roman" w:hAnsi="Times New Roman"/>
          <w:sz w:val="17"/>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 </w:t>
      </w:r>
      <w:r>
        <w:rPr>
          <w:rFonts w:ascii="Times New Roman" w:hAnsi="Times New Roman"/>
          <w:sz w:val="17"/>
          <w:u w:val="single"/>
        </w:rPr>
        <w:t>Sanctioned Person</w:t>
      </w:r>
      <w:r>
        <w:rPr>
          <w:rFonts w:ascii="Times New Roman" w:hAnsi="Times New Roman"/>
          <w:sz w:val="17"/>
        </w:rPr>
        <w:t> means, at any time, (a) any Person listed in any Sanctions-related list of designated Persons maintained by the Office of Foreign Assets Control of the U.S. Department of the Treasury or by the United Nations Security Council, the European Union or any EU member state, (b) any Person operating, organized or resident in a Sanctioned Country to the extent such Person is subject to Sanctions or (c) any Person controlled or more than 50 percent owned by any such Person; </w:t>
      </w:r>
      <w:r>
        <w:rPr>
          <w:rFonts w:ascii="Times New Roman" w:hAnsi="Times New Roman"/>
          <w:sz w:val="17"/>
          <w:u w:val="single"/>
        </w:rPr>
        <w:t>Sanctioned Country</w:t>
      </w:r>
      <w:r>
        <w:rPr>
          <w:rFonts w:ascii="Times New Roman" w:hAnsi="Times New Roman"/>
          <w:sz w:val="17"/>
        </w:rPr>
        <w:t> means, at any time, a country, region or territory which is the target of any comprehensive (but not list based) Sanctions (as of the date of this Agreement, Crimea, Cuba, Iran, North Korea, Sudan and Syria); and </w:t>
      </w:r>
      <w:r>
        <w:rPr>
          <w:rFonts w:ascii="Times New Roman" w:hAnsi="Times New Roman"/>
          <w:sz w:val="17"/>
          <w:u w:val="single"/>
        </w:rPr>
        <w:t>Person</w:t>
      </w:r>
      <w:r>
        <w:rPr>
          <w:rFonts w:ascii="Times New Roman" w:hAnsi="Times New Roman"/>
          <w:sz w:val="17"/>
        </w:rPr>
        <w:t xml:space="preserve"> means an individual, partnership, corporation (including a business trust), joint stock company, trust, unincorporated association, joint venture, limited liability company or other entity, or a government or any political subdivision or agency thereof. </w:t>
      </w:r>
    </w:p>
    <w:p>
      <w:pPr>
        <w:pStyle w:val="TextBody"/>
        <w:spacing w:before="240" w:after="0"/>
        <w:jc w:val="left"/>
        <w:rPr>
          <w:rFonts w:ascii="Times New Roman" w:hAnsi="Times New Roman"/>
          <w:sz w:val="17"/>
        </w:rPr>
      </w:pPr>
      <w:r>
        <w:rPr>
          <w:rFonts w:ascii="Times New Roman" w:hAnsi="Times New Roman"/>
          <w:sz w:val="17"/>
        </w:rPr>
        <w:t>2.    </w:t>
      </w:r>
      <w:r>
        <w:rPr>
          <w:rFonts w:ascii="Times New Roman" w:hAnsi="Times New Roman"/>
          <w:sz w:val="17"/>
          <w:u w:val="single"/>
        </w:rPr>
        <w:t>Purchase and Sale</w:t>
      </w:r>
      <w:r>
        <w:rPr>
          <w:rFonts w:ascii="Times New Roman" w:hAnsi="Times New Roman"/>
          <w:sz w:val="17"/>
        </w:rPr>
        <w:t xml:space="preserve">.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principal amount of Purchased Securities set forth opposite such Underwriters name in Schedule II hereto. </w:t>
      </w:r>
    </w:p>
    <w:p>
      <w:pPr>
        <w:pStyle w:val="TextBody"/>
        <w:spacing w:before="240" w:after="0"/>
        <w:jc w:val="left"/>
        <w:rPr>
          <w:rFonts w:ascii="Times New Roman" w:hAnsi="Times New Roman"/>
          <w:sz w:val="17"/>
        </w:rPr>
      </w:pPr>
      <w:r>
        <w:rPr>
          <w:rFonts w:ascii="Times New Roman" w:hAnsi="Times New Roman"/>
          <w:sz w:val="17"/>
        </w:rPr>
        <w:t>3.    </w:t>
      </w:r>
      <w:r>
        <w:rPr>
          <w:rFonts w:ascii="Times New Roman" w:hAnsi="Times New Roman"/>
          <w:sz w:val="17"/>
          <w:u w:val="single"/>
        </w:rPr>
        <w:t>Delivery and Payment</w:t>
      </w:r>
      <w:r>
        <w:rPr>
          <w:rFonts w:ascii="Times New Roman" w:hAnsi="Times New Roman"/>
          <w:sz w:val="17"/>
        </w:rPr>
        <w:t>. Delivery of and payment for the Purchased Securities shall be made at the office, on the date and at the time specified in Schedule I hereto (or such later date not later than five business days after such specified date as the Representatives shall designate), which date and time may be postponed by agreement between the Representatives and the Company or as provided in Section 9 hereof (such date and time of delivery and payment for the Securities being herein called the </w:t>
      </w:r>
      <w:r>
        <w:rPr>
          <w:rFonts w:ascii="Times New Roman" w:hAnsi="Times New Roman"/>
          <w:sz w:val="17"/>
          <w:u w:val="single"/>
        </w:rPr>
        <w:t>Closing Date</w:t>
      </w:r>
      <w:r>
        <w:rPr>
          <w:rFonts w:ascii="Times New Roman" w:hAnsi="Times New Roman"/>
          <w:sz w:val="17"/>
        </w:rPr>
        <w:t>). Delivery of a global certificate (the </w:t>
      </w:r>
      <w:r>
        <w:rPr>
          <w:rFonts w:ascii="Times New Roman" w:hAnsi="Times New Roman"/>
          <w:sz w:val="17"/>
          <w:u w:val="single"/>
        </w:rPr>
        <w:t>Global Note</w:t>
      </w:r>
      <w:r>
        <w:rPr>
          <w:rFonts w:ascii="Times New Roman" w:hAnsi="Times New Roman"/>
          <w:sz w:val="17"/>
        </w:rPr>
        <w:t>) representing the Purchased Securities shall be made to the Representatives for the respective accounts of the several Underwriters against payment by the several Underwriters through the Representatives of the purchase price thereof to or upon the order of the Company by wire transfer of same-day funds. The Global Note to be delivered to the Representatives shall be deposited with and registered in the name of Cede &amp; Co., as nominee of the Depository Trust Company (</w:t>
      </w:r>
      <w:r>
        <w:rPr>
          <w:rFonts w:ascii="Times New Roman" w:hAnsi="Times New Roman"/>
          <w:sz w:val="17"/>
          <w:u w:val="single"/>
        </w:rPr>
        <w:t>DTC</w:t>
      </w:r>
      <w:r>
        <w:rPr>
          <w:rFonts w:ascii="Times New Roman" w:hAnsi="Times New Roman"/>
          <w:sz w:val="17"/>
        </w:rPr>
        <w:t xml:space="preserve">). The interests of the owners in the Global Note will be represented by book entries on the records of DTC and participating members thereof. Notes in definitive form shall be available only under limited circumstances. </w:t>
      </w:r>
    </w:p>
    <w:p>
      <w:pPr>
        <w:pStyle w:val="TextBody"/>
        <w:spacing w:before="240" w:after="0"/>
        <w:jc w:val="left"/>
        <w:rPr>
          <w:rFonts w:ascii="Times New Roman" w:hAnsi="Times New Roman"/>
          <w:sz w:val="17"/>
        </w:rPr>
      </w:pPr>
      <w:r>
        <w:rPr>
          <w:rFonts w:ascii="Times New Roman" w:hAnsi="Times New Roman"/>
          <w:sz w:val="17"/>
        </w:rPr>
        <w:t>4.    </w:t>
      </w:r>
      <w:r>
        <w:rPr>
          <w:rFonts w:ascii="Times New Roman" w:hAnsi="Times New Roman"/>
          <w:sz w:val="17"/>
          <w:u w:val="single"/>
        </w:rPr>
        <w:t>Agreements</w:t>
      </w:r>
      <w:r>
        <w:rPr>
          <w:rFonts w:ascii="Times New Roman" w:hAnsi="Times New Roman"/>
          <w:sz w:val="17"/>
        </w:rPr>
        <w:t xml:space="preserve">. The Company agrees with the several Underwriters that: </w:t>
      </w:r>
    </w:p>
    <w:p>
      <w:pPr>
        <w:pStyle w:val="TextBody"/>
        <w:spacing w:before="240" w:after="0"/>
        <w:jc w:val="left"/>
        <w:rPr>
          <w:rFonts w:ascii="Times New Roman" w:hAnsi="Times New Roman"/>
          <w:sz w:val="17"/>
        </w:rPr>
      </w:pPr>
      <w:r>
        <w:rPr>
          <w:rFonts w:ascii="Times New Roman" w:hAnsi="Times New Roman"/>
          <w:sz w:val="17"/>
        </w:rPr>
        <w:t xml:space="preserve">(a)    Prior to the termination of the offering of the Purchased Securities, the Company will not file any amendment of the Registration Statement or supplement (including the Final Prospectus) to the Base Prospectus unless the Company has furnished you a copy for your review prior to filing and will not file any such proposed amendment or supplement to which you reasonably object. Subject to the foregoing sentence, the Company will cause the Final Prospectus to be filed with the Commission pursuant to said Rule. The Company will promptly advise the Representatives: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    when the Final Prospectus shall have been filed with the Commission pursuant to Rule 424; </w:t>
      </w:r>
    </w:p>
    <w:p>
      <w:pPr>
        <w:pStyle w:val="TextBody"/>
        <w:spacing w:before="120" w:after="0"/>
        <w:jc w:val="left"/>
        <w:rPr>
          <w:rFonts w:ascii="Times New Roman" w:hAnsi="Times New Roman"/>
          <w:sz w:val="17"/>
        </w:rPr>
      </w:pPr>
      <w:r>
        <w:rPr>
          <w:rFonts w:ascii="Times New Roman" w:hAnsi="Times New Roman"/>
          <w:sz w:val="17"/>
        </w:rPr>
        <w:t xml:space="preserve">(ii)    when any amendment to the Registration Statement relating to the Purchased Securities shall have become effective; </w:t>
      </w:r>
    </w:p>
    <w:p>
      <w:pPr>
        <w:pStyle w:val="TextBody"/>
        <w:spacing w:before="120" w:after="0"/>
        <w:jc w:val="left"/>
        <w:rPr>
          <w:rFonts w:ascii="Times New Roman" w:hAnsi="Times New Roman"/>
          <w:sz w:val="17"/>
        </w:rPr>
      </w:pPr>
      <w:r>
        <w:rPr>
          <w:rFonts w:ascii="Times New Roman" w:hAnsi="Times New Roman"/>
          <w:sz w:val="17"/>
        </w:rPr>
        <w:t xml:space="preserve">(iii)    of any request by the Commission for any amendment of the Registration Statement or notice objecting to its use or amendment of or supplement to the Final Prospectus or for any additional information; </w:t>
      </w:r>
    </w:p>
    <w:p>
      <w:pPr>
        <w:pStyle w:val="TextBody"/>
        <w:spacing w:before="120" w:after="0"/>
        <w:jc w:val="left"/>
        <w:rPr>
          <w:rFonts w:ascii="Times New Roman" w:hAnsi="Times New Roman"/>
          <w:sz w:val="17"/>
        </w:rPr>
      </w:pPr>
      <w:r>
        <w:rPr>
          <w:rFonts w:ascii="Times New Roman" w:hAnsi="Times New Roman"/>
          <w:sz w:val="17"/>
        </w:rPr>
        <w:t xml:space="preserve">(iv)    of the issuance by the Commission of any stop order suspending the effectiveness of the Registration Statement or the institution or threatening of any proceeding for that purpose; and </w:t>
      </w:r>
    </w:p>
    <w:p>
      <w:pPr>
        <w:pStyle w:val="TextBody"/>
        <w:spacing w:before="120" w:after="0"/>
        <w:jc w:val="left"/>
        <w:rPr>
          <w:rFonts w:ascii="Times New Roman" w:hAnsi="Times New Roman"/>
          <w:sz w:val="17"/>
        </w:rPr>
      </w:pPr>
      <w:r>
        <w:rPr>
          <w:rFonts w:ascii="Times New Roman" w:hAnsi="Times New Roman"/>
          <w:sz w:val="17"/>
        </w:rPr>
        <w:t xml:space="preserve">(v)    of the receipt by the Company of any notification with respect to the suspension or the qualification of the Purchased Securities for sale in any jurisdiction or the initiation or threatening of any proceeding for such purpose. The Company will use its best efforts to prevent the issuance of any such stop order and, if issued, to obtain as soon as possible the withdrawal thereof. </w:t>
      </w:r>
    </w:p>
    <w:p>
      <w:pPr>
        <w:pStyle w:val="TextBody"/>
        <w:spacing w:before="240" w:after="0"/>
        <w:jc w:val="left"/>
        <w:rPr>
          <w:rFonts w:ascii="Times New Roman" w:hAnsi="Times New Roman"/>
          <w:sz w:val="17"/>
        </w:rPr>
      </w:pPr>
      <w:r>
        <w:rPr>
          <w:rFonts w:ascii="Times New Roman" w:hAnsi="Times New Roman"/>
          <w:sz w:val="17"/>
        </w:rPr>
        <w:t xml:space="preserve">(b)    If, at any time when the Final Prospectus relating to the Purchased Securities is required to be delivered under the Act (including in circumstances where such requirement may be satisfied pursuant to Rule 172 under the Act), any event occurs as a result of which the Final Prospectus as then amended or supplemented would include any untrue statement of a material fact or omit to state any material fact necessary to make the statements therein, in the light of the circumstances under which they were made, not misleading, or if it shall be necessary to amend or supplement the Final Prospectus to comply with the Act or the Exchange Act or the respective rules thereunder, the Company promptly will </w:t>
      </w:r>
    </w:p>
    <w:p>
      <w:pPr>
        <w:pStyle w:val="TextBody"/>
        <w:spacing w:before="120" w:after="0"/>
        <w:jc w:val="left"/>
        <w:rPr>
          <w:rFonts w:ascii="Times New Roman" w:hAnsi="Times New Roman"/>
          <w:sz w:val="17"/>
        </w:rPr>
      </w:pPr>
      <w:r>
        <w:rPr>
          <w:rFonts w:ascii="Times New Roman" w:hAnsi="Times New Roman"/>
          <w:sz w:val="17"/>
        </w:rPr>
        <w:t xml:space="preserve">(i)    prepare and file with the Commission, subject to the first sentence of paragraph (a) of this Section 4, an amendment or supplement which will correct such statement or omission or an amendment which will effect such compliance; and </w:t>
      </w:r>
    </w:p>
    <w:p>
      <w:pPr>
        <w:pStyle w:val="TextBody"/>
        <w:spacing w:before="120" w:after="0"/>
        <w:jc w:val="left"/>
        <w:rPr>
          <w:rFonts w:ascii="Times New Roman" w:hAnsi="Times New Roman"/>
          <w:sz w:val="17"/>
        </w:rPr>
      </w:pPr>
      <w:r>
        <w:rPr>
          <w:rFonts w:ascii="Times New Roman" w:hAnsi="Times New Roman"/>
          <w:sz w:val="17"/>
        </w:rPr>
        <w:t xml:space="preserve">(ii)    supply any supplemented Final Prospectus to you in such quantities as you may reasonably request. </w:t>
      </w:r>
    </w:p>
    <w:p>
      <w:pPr>
        <w:pStyle w:val="TextBody"/>
        <w:spacing w:before="240" w:after="0"/>
        <w:jc w:val="left"/>
        <w:rPr>
          <w:rFonts w:ascii="Times New Roman" w:hAnsi="Times New Roman"/>
          <w:sz w:val="17"/>
        </w:rPr>
      </w:pPr>
      <w:r>
        <w:rPr>
          <w:rFonts w:ascii="Times New Roman" w:hAnsi="Times New Roman"/>
          <w:sz w:val="17"/>
        </w:rPr>
        <w:t xml:space="preserve">(c)    The Company will make generally available to its security holders and to the Representatives an earnings statement (which need not be audited) of the Company and its subsidiaries which will satisfy the provisions of Section 11(a) of the Act and Rule 158 under the Act. </w:t>
      </w:r>
    </w:p>
    <w:p>
      <w:pPr>
        <w:pStyle w:val="TextBody"/>
        <w:spacing w:before="240" w:after="0"/>
        <w:jc w:val="left"/>
        <w:rPr>
          <w:rFonts w:ascii="Times New Roman" w:hAnsi="Times New Roman"/>
          <w:sz w:val="17"/>
        </w:rPr>
      </w:pPr>
      <w:r>
        <w:rPr>
          <w:rFonts w:ascii="Times New Roman" w:hAnsi="Times New Roman"/>
          <w:sz w:val="17"/>
        </w:rPr>
        <w:t xml:space="preserve">(d)    The Company will furnish to the Representatives and counsel for the Underwriters, without charge, copies of the Registration Statement (including exhibits thereto)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and each amendment thereto which shall become effective on or prior to the Closing Date and, so long as delivery of a prospectus by an Underwriter or dealer may be required by the Act, as many copies of any Preliminary Final Prospectus, the Final Prospectus and each Issuer Free Writing Prospectus and any amendments thereof and supplements thereto as the Representatives may reasonably request. The Company will pay the expenses of printing all documents relating to the offering. </w:t>
      </w:r>
    </w:p>
    <w:p>
      <w:pPr>
        <w:pStyle w:val="TextBody"/>
        <w:spacing w:before="240" w:after="0"/>
        <w:jc w:val="left"/>
        <w:rPr>
          <w:rFonts w:ascii="Times New Roman" w:hAnsi="Times New Roman"/>
          <w:sz w:val="17"/>
        </w:rPr>
      </w:pPr>
      <w:r>
        <w:rPr>
          <w:rFonts w:ascii="Times New Roman" w:hAnsi="Times New Roman"/>
          <w:sz w:val="17"/>
        </w:rPr>
        <w:t xml:space="preserve">(e)    The Company will arrange for the qualification of the Purchased Securities for sale under the laws of such jurisdictions as the Representatives may designate, will maintain such qualifications in effect so long as required for the distribution of the Purchased Securities and will arrange for the determination of the legality of the Purchased Securities for purchase by institutional investors;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Purchased Securities, in any jurisdiction where it is not now so subject. </w:t>
      </w:r>
    </w:p>
    <w:p>
      <w:pPr>
        <w:pStyle w:val="TextBody"/>
        <w:spacing w:before="240" w:after="0"/>
        <w:jc w:val="left"/>
        <w:rPr>
          <w:rFonts w:ascii="Times New Roman" w:hAnsi="Times New Roman"/>
          <w:sz w:val="17"/>
        </w:rPr>
      </w:pPr>
      <w:r>
        <w:rPr>
          <w:rFonts w:ascii="Times New Roman" w:hAnsi="Times New Roman"/>
          <w:sz w:val="17"/>
        </w:rPr>
        <w:t xml:space="preserve">(f)    Until the business day following the Closing Date, the Company will not, without the consent of the Representatives, offer, sell or contract to sell, or otherwise dispose of, directly or indirectly, or announce the offering of, any debt securities or warrants covered by the Registration Statement or any other registration statement filed under the Act. </w:t>
      </w:r>
    </w:p>
    <w:p>
      <w:pPr>
        <w:pStyle w:val="TextBody"/>
        <w:spacing w:before="240" w:after="0"/>
        <w:jc w:val="left"/>
        <w:rPr>
          <w:rFonts w:ascii="Times New Roman" w:hAnsi="Times New Roman"/>
          <w:sz w:val="17"/>
        </w:rPr>
      </w:pPr>
      <w:r>
        <w:rPr>
          <w:rFonts w:ascii="Times New Roman" w:hAnsi="Times New Roman"/>
          <w:sz w:val="17"/>
        </w:rPr>
        <w:t xml:space="preserve">(g)    Prior to the termination of the offering of the Purchased Securities, if there occurs an event or development as a result of which the Disclosure Package or the Final Prospectus would include an untrue statement of a material fact or would omit to state a material fact necessary in order to make the statements therein, in the light of the circumstances then prevailing, not misleading, the Company will notify promptly the Representatives so that any use of the Disclosure Package or the Final Prospectus may cease until it is amended or supplemented. </w:t>
      </w:r>
    </w:p>
    <w:p>
      <w:pPr>
        <w:pStyle w:val="TextBody"/>
        <w:spacing w:before="240" w:after="0"/>
        <w:jc w:val="left"/>
        <w:rPr>
          <w:rFonts w:ascii="Times New Roman" w:hAnsi="Times New Roman"/>
          <w:sz w:val="17"/>
        </w:rPr>
      </w:pPr>
      <w:r>
        <w:rPr>
          <w:rFonts w:ascii="Times New Roman" w:hAnsi="Times New Roman"/>
          <w:sz w:val="17"/>
        </w:rPr>
        <w:t xml:space="preserve">(h)    The Company agrees that, unless it obtains the prior written consent of the Representatives, and each Underwriter, severally and not jointly, agrees with the Company that, unless it has obtained or will obtain, as the case may be, the prior written consent of the Company, it has not made and will not make any offer relating to the Purchased Securities that would constitute an Issuer Free Writing Prospectus or that would otherwise constitute a free writing prospectus (as defined in Rule 405 under the Act) required to be filed by the Company with the Commission or retained by the Company under Rule 433 under the Act, other than the final term sheet prepared and filed pursuant to Section 4(i) hereto, if applicable;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the prior written consent of the parties hereto shall be deemed to have been given in respect of the Free Writing Prospectuses included in Schedule III hereto. Any such Free Writing Prospectus consented to by the Representatives or the Company is hereinafter referred to as a </w:t>
      </w:r>
      <w:r>
        <w:rPr>
          <w:rFonts w:ascii="Times New Roman" w:hAnsi="Times New Roman"/>
          <w:sz w:val="17"/>
          <w:u w:val="single"/>
        </w:rPr>
        <w:t>Permitted Free Writing Prospectus</w:t>
      </w:r>
      <w:r>
        <w:rPr>
          <w:rFonts w:ascii="Times New Roman" w:hAnsi="Times New Roman"/>
          <w:sz w:val="17"/>
        </w:rPr>
        <w:t xml:space="preserve">. The Company agrees that (i) it has treated and will treat, as the case may be, each Permitted Free Writing Prospectus as an Issuer Free Writing Prospectus and (ii) it has complied and will comply, as the case may be, with the requirements of Rules 164 and 433 under the Act applicable to any Permitted Free Writing Prospectus, including in respect of timely filing with the Commission, legending and record keeping.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    If applicable, the Company will prepare a final term sheet, containing solely a description of final terms of the Purchased Securities and the offering thereof, in a form approved by the Representatives and to file such term sheet pursuant to Rule 433(d) under the Act within the time required by such Rule. </w:t>
      </w:r>
    </w:p>
    <w:p>
      <w:pPr>
        <w:pStyle w:val="TextBody"/>
        <w:spacing w:before="240" w:after="0"/>
        <w:jc w:val="left"/>
        <w:rPr>
          <w:rFonts w:ascii="Times New Roman" w:hAnsi="Times New Roman"/>
          <w:sz w:val="17"/>
        </w:rPr>
      </w:pPr>
      <w:r>
        <w:rPr>
          <w:rFonts w:ascii="Times New Roman" w:hAnsi="Times New Roman"/>
          <w:sz w:val="17"/>
        </w:rPr>
        <w:t>5.    </w:t>
      </w:r>
      <w:r>
        <w:rPr>
          <w:rFonts w:ascii="Times New Roman" w:hAnsi="Times New Roman"/>
          <w:sz w:val="17"/>
          <w:u w:val="single"/>
        </w:rPr>
        <w:t>Conditions to the Obligations of the Underwriters</w:t>
      </w:r>
      <w:r>
        <w:rPr>
          <w:rFonts w:ascii="Times New Roman" w:hAnsi="Times New Roman"/>
          <w:sz w:val="17"/>
        </w:rPr>
        <w:t xml:space="preserve">. The obligations of the Underwriters to purchase the Purchased Securities shall be subject to the accuracy of the representations and warranties on the part of the Company contained herein as of the date hereof, as of the date of the effectiveness of any amendment to the Registration Statement filed prior to the Closing Date (including the filing of any document incorporated by reference therein) and as of the Closing Date, to the accuracy of the statements of the Company made in any certificates pursuant to the provisions hereof, to the performance by the Company of its obligations hereunder and to the following additional conditions: </w:t>
      </w:r>
    </w:p>
    <w:p>
      <w:pPr>
        <w:pStyle w:val="TextBody"/>
        <w:spacing w:before="240" w:after="0"/>
        <w:jc w:val="left"/>
        <w:rPr>
          <w:rFonts w:ascii="Times New Roman" w:hAnsi="Times New Roman"/>
          <w:sz w:val="17"/>
        </w:rPr>
      </w:pPr>
      <w:r>
        <w:rPr>
          <w:rFonts w:ascii="Times New Roman" w:hAnsi="Times New Roman"/>
          <w:sz w:val="17"/>
        </w:rPr>
        <w:t xml:space="preserve">(a)    No stop order suspending in whole or in part the effectiveness of the Registration Statement, as amended from time to time, or any notice objecting to its use shall have been issued and no proceedings for that purpose shall have been instituted or threatened; the Final Prospectus and any supplement thereto shall have been filed in the manner and within the time period required by Rule 424(b) under the Act; the final term sheet contemplated by Section 4(i) hereto, if applicable, and any other material required to be filed by the Company pursuant to Rule 433(d) under the Act, shall have been filed with the Commission within the applicable time periods prescribed for such filings by Rule 433 under the Act. </w:t>
      </w:r>
    </w:p>
    <w:p>
      <w:pPr>
        <w:pStyle w:val="TextBody"/>
        <w:spacing w:before="240" w:after="0"/>
        <w:jc w:val="left"/>
        <w:rPr>
          <w:rFonts w:ascii="Times New Roman" w:hAnsi="Times New Roman"/>
          <w:sz w:val="17"/>
        </w:rPr>
      </w:pPr>
      <w:r>
        <w:rPr>
          <w:rFonts w:ascii="Times New Roman" w:hAnsi="Times New Roman"/>
          <w:sz w:val="17"/>
        </w:rPr>
        <w:t xml:space="preserve">(b)    The Company shall have furnished to the Representatives the opinion of its General Counsel, or of Anne T. Madden, Esq., Senior Vice President, General Counsel and Corporate Secretary, of the Company, or such other counsel to the Company reasonably acceptable to the Representatives, dated the Closing Date, to the effect that: </w:t>
      </w:r>
    </w:p>
    <w:p>
      <w:pPr>
        <w:pStyle w:val="TextBody"/>
        <w:spacing w:before="120" w:after="0"/>
        <w:jc w:val="left"/>
        <w:rPr>
          <w:rFonts w:ascii="Times New Roman" w:hAnsi="Times New Roman"/>
          <w:sz w:val="17"/>
        </w:rPr>
      </w:pPr>
      <w:r>
        <w:rPr>
          <w:rFonts w:ascii="Times New Roman" w:hAnsi="Times New Roman"/>
          <w:sz w:val="17"/>
        </w:rPr>
        <w:t xml:space="preserve">(i)    the Company has been duly incorporated and is validly existing as a corporation in good standing under the laws of the jurisdiction in which it is chartered or organized with full corporate power and authority to own its properties and conduct its business as described in the Disclosure Package and the Final Prospectus; </w:t>
      </w:r>
    </w:p>
    <w:p>
      <w:pPr>
        <w:pStyle w:val="TextBody"/>
        <w:spacing w:before="120" w:after="0"/>
        <w:jc w:val="left"/>
        <w:rPr>
          <w:rFonts w:ascii="Times New Roman" w:hAnsi="Times New Roman"/>
          <w:sz w:val="17"/>
        </w:rPr>
      </w:pPr>
      <w:r>
        <w:rPr>
          <w:rFonts w:ascii="Times New Roman" w:hAnsi="Times New Roman"/>
          <w:sz w:val="17"/>
        </w:rPr>
        <w:t xml:space="preserve">(ii)    the Companys authorized equity capitalization is as set forth in the Disclosure Package and the Final Prospectus; the Purchased Securities conform to the description thereof contained in the Disclosure Package and the Final Prospectus; and, if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 Purchased Securities are to be listed on the New York Stock Exchange, authorization therefor has been given, subject to official notice of issuance and evidence of satisfactory distribution, or the Company has filed a preliminary listing application and all required supporting documents with respect to the Purchased Securities with the New York Stock Exchange and such counsel has no reason to believe that the Purchased Securities will not be authorized for listing, subject to official notice of issuance and evidence of satisfactory distribution; </w:t>
      </w:r>
    </w:p>
    <w:p>
      <w:pPr>
        <w:pStyle w:val="TextBody"/>
        <w:spacing w:before="120" w:after="0"/>
        <w:jc w:val="left"/>
        <w:rPr>
          <w:rFonts w:ascii="Times New Roman" w:hAnsi="Times New Roman"/>
          <w:sz w:val="17"/>
        </w:rPr>
      </w:pPr>
      <w:r>
        <w:rPr>
          <w:rFonts w:ascii="Times New Roman" w:hAnsi="Times New Roman"/>
          <w:sz w:val="17"/>
        </w:rPr>
        <w:t xml:space="preserve">(iii)    the Indenture has been duly authorized, executed and delivered; the Indenture has been duly qualified under the Trust Indenture Act; the Indenture constitutes a valid and legally binding instrument enforceable against the Company in accordance with its terms, except that such enforcement may be subject to applicable bankruptcy, reorganization, insolvency, moratorium or other laws affecting creditors rights generally and general principles of equity from time to time in effect; and the Purchased Securities have been duly authorized and, when executed and authenticated in accordance with the provisions of the Indenture and delivered to and paid for by the Underwriters pursuant to this Agreement, will constitute valid and legally binding obligations of the Company entitled to the benefits of the Indenture; </w:t>
      </w:r>
    </w:p>
    <w:p>
      <w:pPr>
        <w:pStyle w:val="TextBody"/>
        <w:spacing w:before="120" w:after="0"/>
        <w:jc w:val="left"/>
        <w:rPr>
          <w:rFonts w:ascii="Times New Roman" w:hAnsi="Times New Roman"/>
          <w:sz w:val="17"/>
        </w:rPr>
      </w:pPr>
      <w:r>
        <w:rPr>
          <w:rFonts w:ascii="Times New Roman" w:hAnsi="Times New Roman"/>
          <w:sz w:val="17"/>
        </w:rPr>
        <w:t xml:space="preserve">(iv)    to the best knowledge of such counsel, there is no pending or threatened action, suit or proceeding before any court or governmental agency, authority or body or any arbitrator involving the Company or any of its subsidiaries of a character required to be disclosed in the Registration Statement which is not adequately disclosed in the Preliminary Final Prospectus and the Final Prospectus, and there is no franchise, contract or other document of a character required to be disclosed, or to be filed as an exhibit, in the Registration Statement which is not adequately disclosed in the Preliminary Final Prospectus and the Final Prospectus; </w:t>
      </w:r>
    </w:p>
    <w:p>
      <w:pPr>
        <w:pStyle w:val="TextBody"/>
        <w:spacing w:before="120" w:after="0"/>
        <w:jc w:val="left"/>
        <w:rPr>
          <w:rFonts w:ascii="Times New Roman" w:hAnsi="Times New Roman"/>
          <w:sz w:val="17"/>
        </w:rPr>
      </w:pPr>
      <w:r>
        <w:rPr>
          <w:rFonts w:ascii="Times New Roman" w:hAnsi="Times New Roman"/>
          <w:sz w:val="17"/>
        </w:rPr>
        <w:t xml:space="preserve">(v)    the Registration Statement and any amendments thereto have become effective under the Act; the Final Prospectus has been filed in the manner and within the time period required by Rule 424; to the best knowledge of such counsel, no stop order suspending in whole or in part the effectiveness of the Registration Statement, as amended, or any notice objecting to its use has been issued, no proceedings for that purpose have been instituted or threatened, and the Registration Statement, the Final Prospectus and each amendment thereof or supplement thereto as of their respective effective or issue dates (other than the financial statements and other financial and statistical information and managements report on the effectiveness of internal control over financial reporting contained therein as to which such counsel need express no opinion) comply as to form in all material respects with the applicable requirements of the Act and the Exchange Act, and the respective rules thereunder; and such counsel has no reason to believe that the Registration Statement, or any amendment thereof, at the time it became effective and at the date of this Agreement, contained any untrue statement of a material fact or omitted to state any material fact required to be stated therein or necessary to make the statements therein not misleading or that the Final Prospectus, as amended or supplemented, as of its date or the Closing Date includes any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untrue statement of a material fact or omits to state a material fact necessary to make the statements therein, in light of the circumstances under which they were made, not misleading (in each case, other than the financial statements and other financial and statistical information and managements report on the effectiveness of internal control over financial reporting contained therein as to which such counsel need express no opinion); </w:t>
      </w:r>
    </w:p>
    <w:p>
      <w:pPr>
        <w:pStyle w:val="TextBody"/>
        <w:spacing w:before="120" w:after="0"/>
        <w:jc w:val="left"/>
        <w:rPr>
          <w:rFonts w:ascii="Times New Roman" w:hAnsi="Times New Roman"/>
          <w:sz w:val="17"/>
        </w:rPr>
      </w:pPr>
      <w:r>
        <w:rPr>
          <w:rFonts w:ascii="Times New Roman" w:hAnsi="Times New Roman"/>
          <w:sz w:val="17"/>
        </w:rPr>
        <w:t xml:space="preserve">(vi)    such counsel has no reason to believe that the documents specified in a schedule to such counsels letter, consisting of those included in the Disclosure Package and the final term sheet prepared and filed pursuant to Section 4(i) hereof, if applicable, when taken together as a whole, contain any untrue statement of a material fact or omit to state any material fact required to be stated therein or necessary in order to make the statements therein, in light of circumstances under which they were made, not misleading (in each case, other than the financial statements and other financial and statistical information and managements report on the effectiveness of internal control over financial reporting contained therein as to which such counsel need express no opinion); </w:t>
      </w:r>
    </w:p>
    <w:p>
      <w:pPr>
        <w:pStyle w:val="TextBody"/>
        <w:spacing w:before="120" w:after="0"/>
        <w:jc w:val="left"/>
        <w:rPr>
          <w:rFonts w:ascii="Times New Roman" w:hAnsi="Times New Roman"/>
          <w:sz w:val="17"/>
        </w:rPr>
      </w:pPr>
      <w:r>
        <w:rPr>
          <w:rFonts w:ascii="Times New Roman" w:hAnsi="Times New Roman"/>
          <w:sz w:val="17"/>
        </w:rPr>
        <w:t xml:space="preserve">(vii)    this Agreement has been duly authorized, executed and delivered by the Company; </w:t>
      </w:r>
    </w:p>
    <w:p>
      <w:pPr>
        <w:pStyle w:val="TextBody"/>
        <w:spacing w:before="120" w:after="0"/>
        <w:jc w:val="left"/>
        <w:rPr>
          <w:rFonts w:ascii="Times New Roman" w:hAnsi="Times New Roman"/>
          <w:sz w:val="17"/>
        </w:rPr>
      </w:pPr>
      <w:r>
        <w:rPr>
          <w:rFonts w:ascii="Times New Roman" w:hAnsi="Times New Roman"/>
          <w:sz w:val="17"/>
        </w:rPr>
        <w:t xml:space="preserve">(viii)    no consent, approval, authorization or order of any court or governmental agency or body is required for the consummation of the transactions contemplated herein, except such as have been obtained under the Act and such as may be required under the blue sky laws of any jurisdiction in connection with the purchase and distribution of Purchased Securities by the Underwriters and such other approvals (specified in such opinion) as have been obtained; </w:t>
      </w:r>
    </w:p>
    <w:p>
      <w:pPr>
        <w:pStyle w:val="TextBody"/>
        <w:spacing w:before="120" w:after="0"/>
        <w:jc w:val="left"/>
        <w:rPr>
          <w:rFonts w:ascii="Times New Roman" w:hAnsi="Times New Roman"/>
          <w:sz w:val="17"/>
        </w:rPr>
      </w:pPr>
      <w:r>
        <w:rPr>
          <w:rFonts w:ascii="Times New Roman" w:hAnsi="Times New Roman"/>
          <w:sz w:val="17"/>
        </w:rPr>
        <w:t xml:space="preserve">(ix)    neither the issue and sale of the Purchased Securities, nor the consummation of any other of the transactions herein contemplated nor the fulfillment of the terms hereof will conflict with, result in a breach or violation of, or constitute a default under (i) the certificate of incorporation or by-laws of the Company, (ii) the terms of any indenture or other agreement or instrument known to such counsel to which the Company is a party or bound, or (iii) any order, rule or regulation known to such counsel of any court, regulatory body, administrative agency, governmental body or arbitrator having jurisdiction over the Company, except in the case of clauses (ii) and (iii) where any such breach, violation or default would not be material to the Company and its subsidiaries taken as a whole; and </w:t>
      </w:r>
    </w:p>
    <w:p>
      <w:pPr>
        <w:pStyle w:val="TextBody"/>
        <w:spacing w:before="120" w:after="0"/>
        <w:jc w:val="left"/>
        <w:rPr>
          <w:rFonts w:ascii="Times New Roman" w:hAnsi="Times New Roman"/>
          <w:sz w:val="17"/>
        </w:rPr>
      </w:pPr>
      <w:r>
        <w:rPr>
          <w:rFonts w:ascii="Times New Roman" w:hAnsi="Times New Roman"/>
          <w:sz w:val="17"/>
        </w:rPr>
        <w:t xml:space="preserve">(x)    no holders of securities of the Company have rights to the registration of such securities under the Registration Statement. </w:t>
      </w:r>
    </w:p>
    <w:p>
      <w:pPr>
        <w:pStyle w:val="TextBody"/>
        <w:spacing w:before="240" w:after="0"/>
        <w:jc w:val="left"/>
        <w:rPr>
          <w:rFonts w:ascii="Times New Roman" w:hAnsi="Times New Roman"/>
          <w:sz w:val="17"/>
        </w:rPr>
      </w:pPr>
      <w:r>
        <w:rPr>
          <w:rFonts w:ascii="Times New Roman" w:hAnsi="Times New Roman"/>
          <w:sz w:val="17"/>
        </w:rPr>
        <w:t xml:space="preserve">In rendering such opinion, such counsel may rely (A) as to matters involving the application of laws of any jurisdictions other than the States of Delaware and New York or the United States, to the extent deemed proper and specified in such opinion, upon the opinion of other counsel of good standing believed to be reliable and who are satisfactory to counsel for the Underwriters and (B) as to matters of fact, to the extent deemed proper, on certificates of responsible officers of the Company and public officials.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The Representatives shall have received from counsel for the Underwriters, such opinion or opinions, dated the Closing Date, with respect to the issuance and sale of the Purchased Securities, the Indenture, the Registration Statement, the Final Prospectus and other related matters as the Representatives may reasonably require, and the Company shall have furnished to such counsel such documents as they request for the purpose of enabling them to pass upon such matters. </w:t>
      </w:r>
    </w:p>
    <w:p>
      <w:pPr>
        <w:pStyle w:val="TextBody"/>
        <w:spacing w:before="240" w:after="0"/>
        <w:jc w:val="left"/>
        <w:rPr>
          <w:rFonts w:ascii="Times New Roman" w:hAnsi="Times New Roman"/>
          <w:sz w:val="17"/>
        </w:rPr>
      </w:pPr>
      <w:r>
        <w:rPr>
          <w:rFonts w:ascii="Times New Roman" w:hAnsi="Times New Roman"/>
          <w:sz w:val="17"/>
        </w:rPr>
        <w:t xml:space="preserve">(d)    The Company shall have furnished to the Representatives a certificate of the Company signed by the Chief Financial Officer, the Treasurer, any Assistant Treasurer or the Controller of the Company, dated the Closing Date, to the effect that the signer of such certificate has carefully examined the Registration Statement, the Disclosure Package and any supplements or amendments thereto, as well as each electronic roadshow used to offer the Purchased Securities, if any, and this Agreement and that: </w:t>
      </w:r>
    </w:p>
    <w:p>
      <w:pPr>
        <w:pStyle w:val="TextBody"/>
        <w:spacing w:before="120" w:after="0"/>
        <w:jc w:val="left"/>
        <w:rPr>
          <w:rFonts w:ascii="Times New Roman" w:hAnsi="Times New Roman"/>
          <w:sz w:val="17"/>
        </w:rPr>
      </w:pPr>
      <w:r>
        <w:rPr>
          <w:rFonts w:ascii="Times New Roman" w:hAnsi="Times New Roman"/>
          <w:sz w:val="17"/>
        </w:rPr>
        <w:t xml:space="preserve">(i)    the representations and warranties of the Company in this Agreement are true and correct in all material respects on and as of the Closing Date with the same effect as if made on the Closing Date and the Company has complied with all the agreements and satisfied all the conditions on its part to be performed or satisfied at or prior to the Closing Date; </w:t>
      </w:r>
    </w:p>
    <w:p>
      <w:pPr>
        <w:pStyle w:val="TextBody"/>
        <w:spacing w:before="120" w:after="0"/>
        <w:jc w:val="left"/>
        <w:rPr>
          <w:rFonts w:ascii="Times New Roman" w:hAnsi="Times New Roman"/>
          <w:sz w:val="17"/>
        </w:rPr>
      </w:pPr>
      <w:r>
        <w:rPr>
          <w:rFonts w:ascii="Times New Roman" w:hAnsi="Times New Roman"/>
          <w:sz w:val="17"/>
        </w:rPr>
        <w:t xml:space="preserve">(ii)    no stop order suspending in whole or in part the effectiveness of the Registration Statement, as amended, or any notice objecting to its use has been issued and no proceedings for that purpose have been instituted or, to their knowledge, threatened; and </w:t>
      </w:r>
    </w:p>
    <w:p>
      <w:pPr>
        <w:pStyle w:val="TextBody"/>
        <w:spacing w:before="120" w:after="0"/>
        <w:jc w:val="left"/>
        <w:rPr>
          <w:rFonts w:ascii="Times New Roman" w:hAnsi="Times New Roman"/>
          <w:sz w:val="17"/>
        </w:rPr>
      </w:pPr>
      <w:r>
        <w:rPr>
          <w:rFonts w:ascii="Times New Roman" w:hAnsi="Times New Roman"/>
          <w:sz w:val="17"/>
        </w:rPr>
        <w:t xml:space="preserve">(iii)    since the date of the most recent financial statements included in the Disclosure Package and the Final Prospectus, there has been no material adverse change in the condition (financial or other), earnings, business or properties of the Company and its Significant Subsidiary, whether or not arising from transactions in the ordinary course of business, except as set forth in or contemplated in the Disclosure Package and the Final Prospectus. </w:t>
      </w:r>
    </w:p>
    <w:p>
      <w:pPr>
        <w:pStyle w:val="TextBody"/>
        <w:spacing w:before="240" w:after="0"/>
        <w:jc w:val="left"/>
        <w:rPr>
          <w:rFonts w:ascii="Times New Roman" w:hAnsi="Times New Roman"/>
          <w:sz w:val="17"/>
        </w:rPr>
      </w:pPr>
      <w:r>
        <w:rPr>
          <w:rFonts w:ascii="Times New Roman" w:hAnsi="Times New Roman"/>
          <w:sz w:val="17"/>
        </w:rPr>
        <w:t xml:space="preserve">(e)    On the date of this Agreement and on the Closing Date, the Companys auditor(s)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the Registration Statement, the Disclosure Package and the Final Prospectus; </w:t>
      </w:r>
      <w:r>
        <w:rPr>
          <w:rFonts w:ascii="Times New Roman" w:hAnsi="Times New Roman"/>
          <w:sz w:val="17"/>
          <w:u w:val="single"/>
        </w:rPr>
        <w:t>provided</w:t>
      </w:r>
      <w:r>
        <w:rPr>
          <w:rFonts w:ascii="Times New Roman" w:hAnsi="Times New Roman"/>
          <w:sz w:val="17"/>
        </w:rPr>
        <w:t xml:space="preserve"> that the letter(s) delivered on the Closing Date shall use a cut-off date no more than three business days prior to the Closing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(f)    Subsequent to the respective dates as of which information is given in the Registration Statement, the Disclosure Package and the Final Prospectus, there shall not have been </w:t>
      </w:r>
    </w:p>
    <w:p>
      <w:pPr>
        <w:pStyle w:val="TextBody"/>
        <w:spacing w:before="120" w:after="0"/>
        <w:jc w:val="left"/>
        <w:rPr>
          <w:rFonts w:ascii="Times New Roman" w:hAnsi="Times New Roman"/>
          <w:sz w:val="17"/>
        </w:rPr>
      </w:pPr>
      <w:r>
        <w:rPr>
          <w:rFonts w:ascii="Times New Roman" w:hAnsi="Times New Roman"/>
          <w:sz w:val="17"/>
        </w:rPr>
        <w:t xml:space="preserve">(i)    any change or decrease specified in the letter or letters referred to in paragraph (e) of this Section 5; or </w:t>
      </w:r>
    </w:p>
    <w:p>
      <w:pPr>
        <w:pStyle w:val="TextBody"/>
        <w:spacing w:before="120" w:after="0"/>
        <w:jc w:val="left"/>
        <w:rPr>
          <w:rFonts w:ascii="Times New Roman" w:hAnsi="Times New Roman"/>
          <w:sz w:val="17"/>
        </w:rPr>
      </w:pPr>
      <w:r>
        <w:rPr>
          <w:rFonts w:ascii="Times New Roman" w:hAnsi="Times New Roman"/>
          <w:sz w:val="17"/>
        </w:rPr>
        <w:t xml:space="preserve">(ii)    any change, or any development involving a prospective change, in or affecting the business or properties of the Company and its Significant Subsidiary, except as set forth in or contemplated in the Disclosure Package, </w:t>
      </w:r>
    </w:p>
    <w:p>
      <w:pPr>
        <w:pStyle w:val="TextBody"/>
        <w:spacing w:before="240" w:after="0"/>
        <w:jc w:val="left"/>
        <w:rPr>
          <w:rFonts w:ascii="Times New Roman" w:hAnsi="Times New Roman"/>
          <w:sz w:val="17"/>
        </w:rPr>
      </w:pPr>
      <w:r>
        <w:rPr>
          <w:rFonts w:ascii="Times New Roman" w:hAnsi="Times New Roman"/>
          <w:sz w:val="17"/>
        </w:rPr>
        <w:t xml:space="preserve">the effect of which, in any case referred to in clause (i) or (ii) above, is, in the judgment of the Representatives, so material and adverse as to make it impractical or inadvisable to proceed with the offering or the delivery of the Purchased Securities as contemplated by the Registration Statement, the Disclosure Package and the Final Prospectus. </w:t>
      </w:r>
    </w:p>
    <w:p>
      <w:pPr>
        <w:pStyle w:val="TextBody"/>
        <w:spacing w:before="240" w:after="0"/>
        <w:jc w:val="left"/>
        <w:rPr>
          <w:rFonts w:ascii="Times New Roman" w:hAnsi="Times New Roman"/>
          <w:sz w:val="17"/>
        </w:rPr>
      </w:pPr>
      <w:r>
        <w:rPr>
          <w:rFonts w:ascii="Times New Roman" w:hAnsi="Times New Roman"/>
          <w:sz w:val="17"/>
        </w:rPr>
        <w:t xml:space="preserve">(g)    Subsequent to the execution of this Agreement, there shall not have been any decrease in the rating of any of the Companys debt securities by any nationally recognized statistical rating organization (as such term is defined under Section 3(a) (62) of the Exchange Act) or any notice given of any intended or potential decrease in any such rating or of a possible change in any such rating that does not indicate the direction of the possible change. </w:t>
      </w:r>
    </w:p>
    <w:p>
      <w:pPr>
        <w:pStyle w:val="TextBody"/>
        <w:spacing w:before="240" w:after="0"/>
        <w:jc w:val="left"/>
        <w:rPr>
          <w:rFonts w:ascii="Times New Roman" w:hAnsi="Times New Roman"/>
          <w:sz w:val="17"/>
        </w:rPr>
      </w:pPr>
      <w:r>
        <w:rPr>
          <w:rFonts w:ascii="Times New Roman" w:hAnsi="Times New Roman"/>
          <w:sz w:val="17"/>
        </w:rPr>
        <w:t xml:space="preserve">(h)    Prior to the Closing Date, the Company shall have furnished to the Representatives such further information, certificates and documents as the Representatives may reasonably request. If any of the conditions specified in this Section 5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telegraph confirmed in writing. </w:t>
      </w:r>
    </w:p>
    <w:p>
      <w:pPr>
        <w:pStyle w:val="TextBody"/>
        <w:spacing w:before="240" w:after="0"/>
        <w:jc w:val="left"/>
        <w:rPr>
          <w:rFonts w:ascii="Times New Roman" w:hAnsi="Times New Roman"/>
          <w:sz w:val="17"/>
        </w:rPr>
      </w:pPr>
      <w:r>
        <w:rPr>
          <w:rFonts w:ascii="Times New Roman" w:hAnsi="Times New Roman"/>
          <w:sz w:val="17"/>
        </w:rPr>
        <w:t xml:space="preserve">The documents required to be delivered by this Section 5 shall be delivered at the office of counsel for the Underwriters, at the principal offices of such counsel, on the Closing Date. </w:t>
      </w:r>
    </w:p>
    <w:p>
      <w:pPr>
        <w:pStyle w:val="TextBody"/>
        <w:spacing w:before="360" w:after="0"/>
        <w:jc w:val="left"/>
        <w:rPr>
          <w:rFonts w:ascii="Times New Roman" w:hAnsi="Times New Roman"/>
          <w:sz w:val="17"/>
        </w:rPr>
      </w:pPr>
      <w:r>
        <w:rPr>
          <w:rFonts w:ascii="Times New Roman" w:hAnsi="Times New Roman"/>
          <w:sz w:val="17"/>
        </w:rPr>
        <w:t>6.    </w:t>
      </w:r>
      <w:r>
        <w:rPr>
          <w:rFonts w:ascii="Times New Roman" w:hAnsi="Times New Roman"/>
          <w:sz w:val="17"/>
          <w:u w:val="single"/>
        </w:rPr>
        <w:t>Expenses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The Company covenants and agrees with the several Underwriters that the Company will pay or cause to be paid the following: </w:t>
      </w:r>
    </w:p>
    <w:p>
      <w:pPr>
        <w:pStyle w:val="TextBody"/>
        <w:spacing w:before="120" w:after="0"/>
        <w:jc w:val="left"/>
        <w:rPr>
          <w:rFonts w:ascii="Times New Roman" w:hAnsi="Times New Roman"/>
          <w:sz w:val="17"/>
        </w:rPr>
      </w:pPr>
      <w:r>
        <w:rPr>
          <w:rFonts w:ascii="Times New Roman" w:hAnsi="Times New Roman"/>
          <w:sz w:val="17"/>
        </w:rPr>
        <w:t xml:space="preserve">(i)    the fees, disbursements and expenses of the Companys counsel and accountants in connection with the registration of the Purchased Securities under the Act and all other expenses in connection with the preparation, printing and filing of the Registration Statement, any Permitted Free Writing Prospectus, any Preliminary Final Prospectus and the Final Prospectus and amendments and supplements thereto and the mailing and delivering of copies thereof to the Underwriters and dealers;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the cost of printing or producing this Agreement, the Indenture, the blue sky and legal investment memoranda and any other documents in connection with the offering, purchase, sale and delivery of the Purchased Securities; </w:t>
      </w:r>
    </w:p>
    <w:p>
      <w:pPr>
        <w:pStyle w:val="TextBody"/>
        <w:spacing w:before="120" w:after="0"/>
        <w:jc w:val="left"/>
        <w:rPr>
          <w:rFonts w:ascii="Times New Roman" w:hAnsi="Times New Roman"/>
          <w:sz w:val="17"/>
        </w:rPr>
      </w:pPr>
      <w:r>
        <w:rPr>
          <w:rFonts w:ascii="Times New Roman" w:hAnsi="Times New Roman"/>
          <w:sz w:val="17"/>
        </w:rPr>
        <w:t xml:space="preserve">(iii)    all expenses in connection with the qualification of the Purchased Securities for offering and sale under state securities laws as provided in Section 4(e) hereof, including the reasonable fees and disbursements of counsel for the Underwriters in connection with such qualification and in connection with the blue sky and legal investment surveys; </w:t>
      </w:r>
    </w:p>
    <w:p>
      <w:pPr>
        <w:pStyle w:val="TextBody"/>
        <w:spacing w:before="120" w:after="0"/>
        <w:jc w:val="left"/>
        <w:rPr>
          <w:rFonts w:ascii="Times New Roman" w:hAnsi="Times New Roman"/>
          <w:sz w:val="17"/>
        </w:rPr>
      </w:pPr>
      <w:r>
        <w:rPr>
          <w:rFonts w:ascii="Times New Roman" w:hAnsi="Times New Roman"/>
          <w:sz w:val="17"/>
        </w:rPr>
        <w:t xml:space="preserve">(iv)    any fees charged by securities rating services for rating the Purchased Securities; </w:t>
      </w:r>
    </w:p>
    <w:p>
      <w:pPr>
        <w:pStyle w:val="TextBody"/>
        <w:spacing w:before="120" w:after="0"/>
        <w:jc w:val="left"/>
        <w:rPr>
          <w:rFonts w:ascii="Times New Roman" w:hAnsi="Times New Roman"/>
          <w:sz w:val="17"/>
        </w:rPr>
      </w:pPr>
      <w:r>
        <w:rPr>
          <w:rFonts w:ascii="Times New Roman" w:hAnsi="Times New Roman"/>
          <w:sz w:val="17"/>
        </w:rPr>
        <w:t xml:space="preserve">(v)    the filing fees incident to any required review by the Financial Industry Regulatory Authority, Inc. of the terms of the sale of the Purchased Securities; </w:t>
      </w:r>
    </w:p>
    <w:p>
      <w:pPr>
        <w:pStyle w:val="TextBody"/>
        <w:spacing w:before="120" w:after="0"/>
        <w:jc w:val="left"/>
        <w:rPr>
          <w:rFonts w:ascii="Times New Roman" w:hAnsi="Times New Roman"/>
          <w:sz w:val="17"/>
        </w:rPr>
      </w:pPr>
      <w:r>
        <w:rPr>
          <w:rFonts w:ascii="Times New Roman" w:hAnsi="Times New Roman"/>
          <w:sz w:val="17"/>
        </w:rPr>
        <w:t xml:space="preserve">(vi)    the cost of preparing the Purchased Securities; </w:t>
      </w:r>
    </w:p>
    <w:p>
      <w:pPr>
        <w:pStyle w:val="TextBody"/>
        <w:spacing w:before="120" w:after="0"/>
        <w:jc w:val="left"/>
        <w:rPr>
          <w:rFonts w:ascii="Times New Roman" w:hAnsi="Times New Roman"/>
          <w:sz w:val="17"/>
        </w:rPr>
      </w:pPr>
      <w:r>
        <w:rPr>
          <w:rFonts w:ascii="Times New Roman" w:hAnsi="Times New Roman"/>
          <w:sz w:val="17"/>
        </w:rPr>
        <w:t xml:space="preserve">(vii)    the fees and expenses of the Trustee and any agent of the Trustee, and the fees and disbursements of counsel for the Trustee in connection with the Indenture and the Purchased Securities; and </w:t>
      </w:r>
    </w:p>
    <w:p>
      <w:pPr>
        <w:pStyle w:val="TextBody"/>
        <w:spacing w:before="120" w:after="0"/>
        <w:jc w:val="left"/>
        <w:rPr>
          <w:rFonts w:ascii="Times New Roman" w:hAnsi="Times New Roman"/>
          <w:sz w:val="17"/>
        </w:rPr>
      </w:pPr>
      <w:r>
        <w:rPr>
          <w:rFonts w:ascii="Times New Roman" w:hAnsi="Times New Roman"/>
          <w:sz w:val="17"/>
        </w:rPr>
        <w:t xml:space="preserve">(viii)    all other costs and expenses incident to the performance of its obligations hereunder which are not otherwise specifically provided for in this Section. </w:t>
      </w:r>
    </w:p>
    <w:p>
      <w:pPr>
        <w:pStyle w:val="TextBody"/>
        <w:spacing w:before="240" w:after="0"/>
        <w:jc w:val="left"/>
        <w:rPr>
          <w:rFonts w:ascii="Times New Roman" w:hAnsi="Times New Roman"/>
          <w:sz w:val="17"/>
        </w:rPr>
      </w:pPr>
      <w:r>
        <w:rPr>
          <w:rFonts w:ascii="Times New Roman" w:hAnsi="Times New Roman"/>
          <w:sz w:val="17"/>
        </w:rPr>
        <w:t xml:space="preserve">(b)    If (i) this Agreement is terminated pursuant to Section 9, (ii) the Company for any reason fails to tender the Purchased Securities for delivery to the Underwriters or (iii) the Underwriters decline to purchase the Purchased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w:t>
      </w:r>
    </w:p>
    <w:p>
      <w:pPr>
        <w:pStyle w:val="TextBody"/>
        <w:spacing w:before="240" w:after="0"/>
        <w:jc w:val="left"/>
        <w:rPr>
          <w:rFonts w:ascii="Times New Roman" w:hAnsi="Times New Roman"/>
          <w:sz w:val="17"/>
        </w:rPr>
      </w:pPr>
      <w:r>
        <w:rPr>
          <w:rFonts w:ascii="Times New Roman" w:hAnsi="Times New Roman"/>
          <w:sz w:val="17"/>
        </w:rPr>
        <w:t xml:space="preserve">It is understood, however, that, except as provided in this Section and Section 7 hereof, the Underwriters will pay all of their own costs and expenses, including the fees of their counsel, transfer taxes on resale of any of the Purchased Securities by them, and any advertising expenses connected with any offers they may make. </w:t>
      </w:r>
    </w:p>
    <w:p>
      <w:pPr>
        <w:pStyle w:val="TextBody"/>
        <w:spacing w:before="360" w:after="0"/>
        <w:jc w:val="left"/>
        <w:rPr>
          <w:rFonts w:ascii="Times New Roman" w:hAnsi="Times New Roman"/>
          <w:sz w:val="17"/>
        </w:rPr>
      </w:pPr>
      <w:r>
        <w:rPr>
          <w:rFonts w:ascii="Times New Roman" w:hAnsi="Times New Roman"/>
          <w:sz w:val="17"/>
        </w:rPr>
        <w:t>7.    </w:t>
      </w:r>
      <w:r>
        <w:rPr>
          <w:rFonts w:ascii="Times New Roman" w:hAnsi="Times New Roman"/>
          <w:sz w:val="17"/>
          <w:u w:val="single"/>
        </w:rPr>
        <w:t>Indemnification and Contribution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law or otherwise, insofar as such losses, claims, damages or liabilities (or actions in respect thereof) arise out of or are based upon any untrue statement or alleged untrue statement of a material fact contained in the Registration Statement for the registration of the Purchased Securities as originally filed or in any amendment thereof, or in the Base Prospectus, any Preliminary Final Prospectus or the Final Prospectus, or any Issuer Free Writing Prospectus or the information contained in the final term sheet required to be prepared and filed pursuant to Section 4(i) hereto, if applicable,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for any legal or other expenses reasonably incurred by it in connection with investigating or defending any such loss, claim, damage, liability or action;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use therein or that part of the Registration Statement that shall constitute the Statement of Eligibility and Qualification (Form T-1) under the Trust Indenture Act. </w:t>
      </w:r>
    </w:p>
    <w:p>
      <w:pPr>
        <w:pStyle w:val="TextBody"/>
        <w:spacing w:before="240" w:after="0"/>
        <w:jc w:val="left"/>
        <w:rPr>
          <w:rFonts w:ascii="Times New Roman" w:hAnsi="Times New Roman"/>
          <w:sz w:val="17"/>
        </w:rPr>
      </w:pPr>
      <w:r>
        <w:rPr>
          <w:rFonts w:ascii="Times New Roman" w:hAnsi="Times New Roman"/>
          <w:sz w:val="17"/>
        </w:rPr>
        <w:t xml:space="preserve">(b)    Each Underwriter severally and not jointly agrees to indemnify and hold harmless the Company, each of its directors, officers, employees and agents,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Representatives specifically for use in the documents referred to in the foregoing indemnity. This indemnity agreement will be in addition to any liability which any Underwriter may otherwise have. The Company acknowledges that the statements described in Schedule IV hereto constitute the only information furnished by or on behalf of the several Underwriters for inclusion in the documents referred to in the foregoing indemnity, and you, as the Representatives, confirm that such statements are correct. </w:t>
      </w:r>
    </w:p>
    <w:p>
      <w:pPr>
        <w:pStyle w:val="TextBody"/>
        <w:spacing w:before="240" w:after="0"/>
        <w:jc w:val="left"/>
        <w:rPr>
          <w:rFonts w:ascii="Times New Roman" w:hAnsi="Times New Roman"/>
          <w:sz w:val="17"/>
        </w:rPr>
      </w:pPr>
      <w:r>
        <w:rPr>
          <w:rFonts w:ascii="Times New Roman" w:hAnsi="Times New Roman"/>
          <w:sz w:val="17"/>
        </w:rPr>
        <w:t xml:space="preserve">(c)    Promptly after receipt by an indemnified party under this Section 7 of notice of the commencement of such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In case any such action is brought against any indemnified party, and it notifies the indemnifying party of the commencement thereof, the indemnifying party will be entitled to participate therein, and to the extent that it may elect by written notice delivered to the indemnified party promptly after receiving the aforesaid notice from such indemnified party, to assume the defense thereof, with counsel satisfactory to such indemnified party; </w:t>
      </w:r>
      <w:r>
        <w:rPr>
          <w:rFonts w:ascii="Times New Roman" w:hAnsi="Times New Roman"/>
          <w:sz w:val="17"/>
          <w:u w:val="single"/>
        </w:rPr>
        <w:t>provided</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u w:val="single"/>
        </w:rPr>
        <w:t>however</w:t>
      </w:r>
      <w:r>
        <w:rPr>
          <w:rFonts w:ascii="Times New Roman" w:hAnsi="Times New Roman"/>
          <w:sz w:val="17"/>
        </w:rPr>
        <w:t xml:space="preserve">, that if the defendants in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the indemnified party or parties shall have the right to select separate counsel to assert such legal defenses and to otherwise participate in the defense of such action on behalf of such indemnified party or parties. Upon receipt of notice from the indemnifying party to such indemnified party of its election to so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w:t>
      </w:r>
    </w:p>
    <w:p>
      <w:pPr>
        <w:pStyle w:val="TextBody"/>
        <w:spacing w:before="120" w:after="0"/>
        <w:jc w:val="left"/>
        <w:rPr>
          <w:rFonts w:ascii="Times New Roman" w:hAnsi="Times New Roman"/>
          <w:sz w:val="17"/>
        </w:rPr>
      </w:pPr>
      <w:r>
        <w:rPr>
          <w:rFonts w:ascii="Times New Roman" w:hAnsi="Times New Roman"/>
          <w:sz w:val="17"/>
        </w:rPr>
        <w:t xml:space="preserve">(i)    the indemnified party shall have employed separate counsel in connection with the assertion of legal defenses in accordance with the proviso to the next preceding sentence (it being understood, however, that the indemnifying party shall not be liable for the expenses of more than one separate counsel, approved by the Representatives in the case of paragraph (a) of this Section 7, representing the indemnified parties under such paragraph (a) who are parties to such action); </w:t>
      </w:r>
    </w:p>
    <w:p>
      <w:pPr>
        <w:pStyle w:val="TextBody"/>
        <w:spacing w:before="120" w:after="0"/>
        <w:jc w:val="left"/>
        <w:rPr>
          <w:rFonts w:ascii="Times New Roman" w:hAnsi="Times New Roman"/>
          <w:sz w:val="17"/>
        </w:rPr>
      </w:pPr>
      <w:r>
        <w:rPr>
          <w:rFonts w:ascii="Times New Roman" w:hAnsi="Times New Roman"/>
          <w:sz w:val="17"/>
        </w:rPr>
        <w:t xml:space="preserve">(ii)    the indemnifying party shall not have employed counsel satisfactory to the indemnified party to represent the indemnified party within a reasonable time after notice of commencement of the action; or </w:t>
      </w:r>
    </w:p>
    <w:p>
      <w:pPr>
        <w:pStyle w:val="TextBody"/>
        <w:spacing w:before="120" w:after="0"/>
        <w:jc w:val="left"/>
        <w:rPr>
          <w:rFonts w:ascii="Times New Roman" w:hAnsi="Times New Roman"/>
          <w:sz w:val="17"/>
        </w:rPr>
      </w:pPr>
      <w:r>
        <w:rPr>
          <w:rFonts w:ascii="Times New Roman" w:hAnsi="Times New Roman"/>
          <w:sz w:val="17"/>
        </w:rPr>
        <w:t xml:space="preserve">(iii)    the indemnifying party has authorized the employment of counsel for the indemnified party at the expense of the indemnifying party; and except that, if clause (i) or (iii) is applicable, such liability shall be only in respect of the counsel referred to in such clause (i) or (iii). </w:t>
      </w:r>
    </w:p>
    <w:p>
      <w:pPr>
        <w:pStyle w:val="TextBody"/>
        <w:spacing w:before="240" w:after="0"/>
        <w:jc w:val="left"/>
        <w:rPr>
          <w:rFonts w:ascii="Times New Roman" w:hAnsi="Times New Roman"/>
          <w:sz w:val="17"/>
        </w:rPr>
      </w:pPr>
      <w:r>
        <w:rPr>
          <w:rFonts w:ascii="Times New Roman" w:hAnsi="Times New Roman"/>
          <w:sz w:val="17"/>
        </w:rPr>
        <w:t xml:space="preserve">(d)    In order to provide for just and equitable contribution in circumstances in which the indemnification provided for in this Section 7 is due in accordance with its terms but is for any reason held by a court to be unavailable on grounds of policy or otherwise, the Company and the Underwriters shall contribute to the aggregate losses, claims, damages and liabilities (including legal or other expenses reasonably incurred in connection with investigating or defending the same) to which the Company and one or more of the Underwriters may be subject in such proportion so that the Underwriters are responsible for that portion represented by the percentage that the underwriting discount bears to the sum of such discount and the purchase price of the Purchased Securities specified in Schedule I hereto and the Company is responsible for the balance;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(y) in no case shall any Underwriter (except as may be provided in any agreement among Underwriters relating to the offering of the Purchased Securities) be responsible for any amount in excess of the underwriting discount applicable to the Purchased Securities purchased by such Underwriter hereunder; and (z) no person guilty of fraudulent misrepresentation (within the meaning of Section 11(f) of the Act) shall be entitled to contribution from any person who was not guilty of such fraudulent misrepresentation. For purposes of this Section 7, each person who controls an Underwriter within the meaning of either the Act or the Exchange Act shall have the same rights to contribution as such Underwriter, and each person who controls the Company within the meaning of either the Act or the Exchange Act, each officer of the Company who shall have signed the Registration Statement and each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director of the Company shall have the same rights to contribution as the Company, subject in each case to clause (z) of this paragraph (d). Any party entitled to contribution will, promptly after receipt of notice of commencement of any action, suit or proceeding against such party in respect of which a claim for contribution may be made against another party or parties under this paragraph (d), notify such party or parties from whom contribution may be sought of the commencement thereof, but the omission to so notify such party or parties shall not relieve the party or parties from whom contribution may be sought from any other obligation it or they may have hereunder or otherwise than under this paragraph (d). </w:t>
      </w:r>
    </w:p>
    <w:p>
      <w:pPr>
        <w:pStyle w:val="TextBody"/>
        <w:spacing w:before="240" w:after="0"/>
        <w:jc w:val="left"/>
        <w:rPr>
          <w:rFonts w:ascii="Times New Roman" w:hAnsi="Times New Roman"/>
          <w:sz w:val="17"/>
        </w:rPr>
      </w:pPr>
      <w:r>
        <w:rPr>
          <w:rFonts w:ascii="Times New Roman" w:hAnsi="Times New Roman"/>
          <w:sz w:val="17"/>
        </w:rPr>
        <w:t>8.    </w:t>
      </w:r>
      <w:r>
        <w:rPr>
          <w:rFonts w:ascii="Times New Roman" w:hAnsi="Times New Roman"/>
          <w:sz w:val="17"/>
          <w:u w:val="single"/>
        </w:rPr>
        <w:t>Default by an Underwriter</w:t>
      </w:r>
      <w:r>
        <w:rPr>
          <w:rFonts w:ascii="Times New Roman" w:hAnsi="Times New Roman"/>
          <w:sz w:val="17"/>
        </w:rPr>
        <w:t xml:space="preserve">. If any one or more Underwriters shall fail to purchase and pay for any of the Purchased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Purchased Securities set forth opposite their names in Schedule II hereto bears to the aggregate amount of Purchased Securities set forth opposite the names of all the remaining Underwriters) the Purchased Securities which the defaulting Underwriter or Underwriters agreed but failed to purchase;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event that the aggregate amount of Purchased Securities which the defaulting Underwriter or Underwriters agreed but failed to purchase shall exceed 10% of the aggregate amount of Purchased Securities set forth in Schedule II hereto, the remaining Underwriters shall have the right to purchase all, but shall not be under any obligation to purchase any, of the Purchased Securities, and if such nondefaulting Underwriters do not purchase all the Purchased Securities, this Agreement will terminate without liability to any nondefaulting Underwriter or the Company. In the event of a default by any Underwriter as set forth in this Section 8, the Closing Date shall be postponed for such period, not exceeding seven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 </w:t>
      </w:r>
    </w:p>
    <w:p>
      <w:pPr>
        <w:pStyle w:val="TextBody"/>
        <w:spacing w:before="240" w:after="0"/>
        <w:jc w:val="left"/>
        <w:rPr>
          <w:rFonts w:ascii="Times New Roman" w:hAnsi="Times New Roman"/>
          <w:sz w:val="17"/>
        </w:rPr>
      </w:pPr>
      <w:r>
        <w:rPr>
          <w:rFonts w:ascii="Times New Roman" w:hAnsi="Times New Roman"/>
          <w:sz w:val="17"/>
        </w:rPr>
        <w:t>9.    </w:t>
      </w:r>
      <w:r>
        <w:rPr>
          <w:rFonts w:ascii="Times New Roman" w:hAnsi="Times New Roman"/>
          <w:sz w:val="17"/>
          <w:u w:val="single"/>
        </w:rPr>
        <w:t>Termination</w:t>
      </w:r>
      <w:r>
        <w:rPr>
          <w:rFonts w:ascii="Times New Roman" w:hAnsi="Times New Roman"/>
          <w:sz w:val="17"/>
        </w:rPr>
        <w:t xml:space="preserve">. This Agreement shall be subject to termination by the Representatives by notice given to the Company prior to delivery of and payment for the Purchased Securities if prior to such time </w:t>
      </w:r>
    </w:p>
    <w:p>
      <w:pPr>
        <w:pStyle w:val="TextBody"/>
        <w:spacing w:before="120" w:after="0"/>
        <w:jc w:val="left"/>
        <w:rPr>
          <w:rFonts w:ascii="Times New Roman" w:hAnsi="Times New Roman"/>
          <w:sz w:val="17"/>
        </w:rPr>
      </w:pPr>
      <w:r>
        <w:rPr>
          <w:rFonts w:ascii="Times New Roman" w:hAnsi="Times New Roman"/>
          <w:sz w:val="17"/>
        </w:rPr>
        <w:t xml:space="preserve">(i)    trading in the Companys Common Stock shall have been suspended by the Commission or the New York Stock Exchange or trading in securities generally on the New York Stock Exchange shall have been suspended or limited or minimum prices shall have been established on such Exchange; </w:t>
      </w:r>
    </w:p>
    <w:p>
      <w:pPr>
        <w:pStyle w:val="TextBody"/>
        <w:spacing w:before="120" w:after="0"/>
        <w:jc w:val="left"/>
        <w:rPr>
          <w:rFonts w:ascii="Times New Roman" w:hAnsi="Times New Roman"/>
          <w:sz w:val="17"/>
        </w:rPr>
      </w:pPr>
      <w:r>
        <w:rPr>
          <w:rFonts w:ascii="Times New Roman" w:hAnsi="Times New Roman"/>
          <w:sz w:val="17"/>
        </w:rPr>
        <w:t xml:space="preserve">(ii)    a banking moratorium in the United States or the State of New York shall have been declared either by Federal or New York State authorities; or </w:t>
      </w:r>
    </w:p>
    <w:p>
      <w:pPr>
        <w:pStyle w:val="TextBody"/>
        <w:spacing w:before="120" w:after="0"/>
        <w:jc w:val="left"/>
        <w:rPr>
          <w:rFonts w:ascii="Times New Roman" w:hAnsi="Times New Roman"/>
          <w:sz w:val="17"/>
        </w:rPr>
      </w:pPr>
      <w:r>
        <w:rPr>
          <w:rFonts w:ascii="Times New Roman" w:hAnsi="Times New Roman"/>
          <w:sz w:val="17"/>
        </w:rPr>
        <w:t xml:space="preserve">(iii)    there shall have occurred any material outbreak or material escalation of major hostilities in which the United States is involved, or a declaration of war by the Congress of the United States, or other substantial national or international calamity 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crisis the effect of which on the financial markets of the United States is such as to prevent or materially impair, in the judgment of the Representatives, the offering or delivery of the Purchased Securities as contemplated by any Preliminary Final Prospectus or the Final Prospectus. </w:t>
      </w:r>
    </w:p>
    <w:p>
      <w:pPr>
        <w:pStyle w:val="TextBody"/>
        <w:spacing w:before="240" w:after="0"/>
        <w:jc w:val="left"/>
        <w:rPr>
          <w:rFonts w:ascii="Times New Roman" w:hAnsi="Times New Roman"/>
          <w:sz w:val="17"/>
        </w:rPr>
      </w:pPr>
      <w:r>
        <w:rPr>
          <w:rFonts w:ascii="Times New Roman" w:hAnsi="Times New Roman"/>
          <w:sz w:val="17"/>
        </w:rPr>
        <w:t>10.    </w:t>
      </w:r>
      <w:r>
        <w:rPr>
          <w:rFonts w:ascii="Times New Roman" w:hAnsi="Times New Roman"/>
          <w:sz w:val="17"/>
          <w:u w:val="single"/>
        </w:rPr>
        <w:t>Representations and Indemnities to Survive</w:t>
      </w:r>
      <w:r>
        <w:rPr>
          <w:rFonts w:ascii="Times New Roman" w:hAnsi="Times New Roman"/>
          <w:sz w:val="17"/>
        </w:rPr>
        <w:t xml:space="preserve">.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or controlling persons referred to in Section 7 hereof, and will survive delivery of and payment for the Purchased Securities. The provisions of Section 7 hereof shall survive the termination or cancellation of this Agreement. </w:t>
      </w:r>
    </w:p>
    <w:p>
      <w:pPr>
        <w:pStyle w:val="TextBody"/>
        <w:spacing w:before="240" w:after="0"/>
        <w:jc w:val="left"/>
        <w:rPr>
          <w:rFonts w:ascii="Times New Roman" w:hAnsi="Times New Roman"/>
          <w:sz w:val="17"/>
        </w:rPr>
      </w:pPr>
      <w:r>
        <w:rPr>
          <w:rFonts w:ascii="Times New Roman" w:hAnsi="Times New Roman"/>
          <w:sz w:val="17"/>
        </w:rPr>
        <w:t>11.    </w:t>
      </w:r>
      <w:r>
        <w:rPr>
          <w:rFonts w:ascii="Times New Roman" w:hAnsi="Times New Roman"/>
          <w:sz w:val="17"/>
          <w:u w:val="single"/>
        </w:rPr>
        <w:t>Authority of Representatives; Notice</w:t>
      </w:r>
      <w:r>
        <w:rPr>
          <w:rFonts w:ascii="Times New Roman" w:hAnsi="Times New Roman"/>
          <w:sz w:val="17"/>
        </w:rPr>
        <w:t xml:space="preserve">. In all dealings hereunder, you shall act on behalf of each of the Underwriters, and the parties hereto shall be entitled to act and rely upon any statement, request, notice or agreement on behalf of any Underwriter made by you as the Representatives. </w:t>
      </w:r>
    </w:p>
    <w:p>
      <w:pPr>
        <w:pStyle w:val="TextBody"/>
        <w:spacing w:before="240" w:after="0"/>
        <w:jc w:val="left"/>
        <w:rPr>
          <w:rFonts w:ascii="Times New Roman" w:hAnsi="Times New Roman"/>
          <w:sz w:val="17"/>
        </w:rPr>
      </w:pPr>
      <w:r>
        <w:rPr>
          <w:rFonts w:ascii="Times New Roman" w:hAnsi="Times New Roman"/>
          <w:sz w:val="17"/>
        </w:rPr>
        <w:t xml:space="preserve">All communications hereunder will be in writing and effective only on receipt, and, if sent to the Representatives, will be mailed, delivered or telecopied and confirmed to them, at the address appearing on Schedule I; or, if sent to the Company, will be mailed, delivered or telegraphed and confirmed to it at                     Attention: Assistant Treasurer. </w:t>
      </w:r>
    </w:p>
    <w:p>
      <w:pPr>
        <w:pStyle w:val="TextBody"/>
        <w:spacing w:before="240" w:after="0"/>
        <w:jc w:val="left"/>
        <w:rPr>
          <w:rFonts w:ascii="Times New Roman" w:hAnsi="Times New Roman"/>
          <w:sz w:val="17"/>
        </w:rPr>
      </w:pPr>
      <w:r>
        <w:rPr>
          <w:rFonts w:ascii="Times New Roman" w:hAnsi="Times New Roman"/>
          <w:sz w:val="17"/>
        </w:rPr>
        <w:t>12.    </w:t>
      </w:r>
      <w:r>
        <w:rPr>
          <w:rFonts w:ascii="Times New Roman" w:hAnsi="Times New Roman"/>
          <w:sz w:val="17"/>
          <w:u w:val="single"/>
        </w:rPr>
        <w:t>Successors</w:t>
      </w:r>
      <w:r>
        <w:rPr>
          <w:rFonts w:ascii="Times New Roman" w:hAnsi="Times New Roman"/>
          <w:sz w:val="17"/>
        </w:rPr>
        <w:t xml:space="preserve">. This Agreement will inure to the benefit of and be binding upon the parties hereto and their respective successors and the officers, directors, employees, agents and controlling persons referred to in Section 7 hereof, and no other person will have rights or obligations hereunder. </w:t>
      </w:r>
    </w:p>
    <w:p>
      <w:pPr>
        <w:pStyle w:val="TextBody"/>
        <w:spacing w:before="240" w:after="0"/>
        <w:jc w:val="left"/>
        <w:rPr>
          <w:rFonts w:ascii="Times New Roman" w:hAnsi="Times New Roman"/>
          <w:sz w:val="17"/>
        </w:rPr>
      </w:pPr>
      <w:r>
        <w:rPr>
          <w:rFonts w:ascii="Times New Roman" w:hAnsi="Times New Roman"/>
          <w:sz w:val="17"/>
        </w:rPr>
        <w:t>13.    </w:t>
      </w:r>
      <w:r>
        <w:rPr>
          <w:rFonts w:ascii="Times New Roman" w:hAnsi="Times New Roman"/>
          <w:sz w:val="17"/>
          <w:u w:val="single"/>
        </w:rPr>
        <w:t>Relationship</w:t>
      </w:r>
      <w:r>
        <w:rPr>
          <w:rFonts w:ascii="Times New Roman" w:hAnsi="Times New Roman"/>
          <w:sz w:val="17"/>
        </w:rPr>
        <w:t xml:space="preserve">. The Company and the Underwriters acknowledge and agree that in connection with all aspects of each transaction contemplated by this Agreement, the Company and the Underwriters have an arms-length business relationship that creates no fiduciary duty on the part of either party and each expressly disclaims any fiduciary relationship. </w:t>
      </w:r>
    </w:p>
    <w:p>
      <w:pPr>
        <w:pStyle w:val="TextBody"/>
        <w:spacing w:before="240" w:after="0"/>
        <w:jc w:val="left"/>
        <w:rPr>
          <w:rFonts w:ascii="Times New Roman" w:hAnsi="Times New Roman"/>
          <w:sz w:val="17"/>
        </w:rPr>
      </w:pPr>
      <w:r>
        <w:rPr>
          <w:rFonts w:ascii="Times New Roman" w:hAnsi="Times New Roman"/>
          <w:sz w:val="17"/>
        </w:rPr>
        <w:t>14.    </w:t>
      </w:r>
      <w:r>
        <w:rPr>
          <w:rFonts w:ascii="Times New Roman" w:hAnsi="Times New Roman"/>
          <w:sz w:val="17"/>
          <w:u w:val="single"/>
        </w:rPr>
        <w:t>Integration</w:t>
      </w:r>
      <w:r>
        <w:rPr>
          <w:rFonts w:ascii="Times New Roman" w:hAnsi="Times New Roman"/>
          <w:sz w:val="17"/>
        </w:rPr>
        <w:t xml:space="preserve">. This Agreement supersedes all prior agreements and understandings (whether written or oral) between the Company and the Underwriters, or any of them, with respect to the subject matter hereof. </w:t>
      </w:r>
    </w:p>
    <w:p>
      <w:pPr>
        <w:pStyle w:val="TextBody"/>
        <w:spacing w:before="240" w:after="0"/>
        <w:jc w:val="left"/>
        <w:rPr>
          <w:rFonts w:ascii="Times New Roman" w:hAnsi="Times New Roman"/>
          <w:sz w:val="17"/>
        </w:rPr>
      </w:pPr>
      <w:r>
        <w:rPr>
          <w:rFonts w:ascii="Times New Roman" w:hAnsi="Times New Roman"/>
          <w:sz w:val="17"/>
        </w:rPr>
        <w:t>15.    </w:t>
      </w:r>
      <w:r>
        <w:rPr>
          <w:rFonts w:ascii="Times New Roman" w:hAnsi="Times New Roman"/>
          <w:sz w:val="17"/>
          <w:u w:val="single"/>
        </w:rPr>
        <w:t>Applicable Law</w:t>
      </w:r>
      <w:r>
        <w:rPr>
          <w:rFonts w:ascii="Times New Roman" w:hAnsi="Times New Roman"/>
          <w:sz w:val="17"/>
        </w:rPr>
        <w:t xml:space="preserve">. This Agreement will be governed by and construed in accordance with the laws of the State of New York, without regard to the choice of laws provisions thereof.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If the foregoing is in accordance with your understanding of our agreement, please sign and return to us the enclosed duplicate hereof, whereupon this letter and your acceptance shall represent a binding agreement among the Company and the several Underwriters.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8"/>
        <w:gridCol w:w="669"/>
        <w:gridCol w:w="2745"/>
      </w:tblGrid>
      <w:tr>
        <w:trPr/>
        <w:tc>
          <w:tcPr>
            <w:tcW w:w="668"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HONEYWELL INTERNATIONAL INC.</w:t>
            </w:r>
          </w:p>
        </w:tc>
      </w:tr>
    </w:tbl>
    <w:tbl>
      <w:tblPr>
        <w:tblW w:w="2000" w:type="pct"/>
        <w:jc w:val="right"/>
        <w:tblInd w:w="0" w:type="dxa"/>
        <w:tblCellMar>
          <w:top w:w="0" w:type="dxa"/>
          <w:left w:w="0" w:type="dxa"/>
          <w:bottom w:w="0" w:type="dxa"/>
          <w:right w:w="0" w:type="dxa"/>
        </w:tblCellMar>
      </w:tblPr>
      <w:tblGrid>
        <w:gridCol w:w="313"/>
        <w:gridCol w:w="93"/>
        <w:gridCol w:w="3676"/>
      </w:tblGrid>
      <w:tr>
        <w:trPr/>
        <w:tc>
          <w:tcPr>
            <w:tcW w:w="31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76"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69" w:type="dxa"/>
            <w:gridSpan w:val="2"/>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pPr>
            <w:r>
              <w:rPr/>
              <w:t>By:</w:t>
            </w:r>
          </w:p>
        </w:tc>
        <w:tc>
          <w:tcPr>
            <w:tcW w:w="93"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pBdr>
                <w:bottom w:val="single" w:sz="2" w:space="1" w:color="000000"/>
              </w:pBdr>
              <w:spacing w:before="0" w:after="20"/>
              <w:rPr/>
            </w:pPr>
            <w:r>
              <w:rPr/>
              <w:t> </w:t>
            </w:r>
          </w:p>
        </w:tc>
      </w:tr>
      <w:tr>
        <w:trPr/>
        <w:tc>
          <w:tcPr>
            <w:tcW w:w="313"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pPr>
            <w:r>
              <w:rPr/>
              <w:t>Name:</w:t>
            </w:r>
          </w:p>
        </w:tc>
      </w:tr>
      <w:tr>
        <w:trPr/>
        <w:tc>
          <w:tcPr>
            <w:tcW w:w="313"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pPr>
            <w:r>
              <w:rPr/>
              <w:t>Title:</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17"/>
        </w:rPr>
      </w:pPr>
      <w:r>
        <w:rPr>
          <w:rFonts w:ascii="Times New Roman" w:hAnsi="Times New Roman"/>
          <w:sz w:val="17"/>
        </w:rPr>
        <w:t xml:space="preserve">The foregoing Agreement is hereby confirmed and accepted as of the date specified in Schedule I hereto. For themselves and as Representatives of the several Underwriters named in Schedule II attached hereto.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710"/>
        <w:gridCol w:w="711"/>
        <w:gridCol w:w="2661"/>
      </w:tblGrid>
      <w:tr>
        <w:trPr/>
        <w:tc>
          <w:tcPr>
            <w:tcW w:w="71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bottom"/>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[NAMES OF REPRESENTATIVE UNDERWRITERS]</w:t>
            </w:r>
          </w:p>
        </w:tc>
      </w:tr>
    </w:tbl>
    <w:tbl>
      <w:tblPr>
        <w:tblW w:w="2000" w:type="pct"/>
        <w:jc w:val="right"/>
        <w:tblInd w:w="0" w:type="dxa"/>
        <w:tblCellMar>
          <w:top w:w="0" w:type="dxa"/>
          <w:left w:w="0" w:type="dxa"/>
          <w:bottom w:w="0" w:type="dxa"/>
          <w:right w:w="0" w:type="dxa"/>
        </w:tblCellMar>
      </w:tblPr>
      <w:tblGrid>
        <w:gridCol w:w="313"/>
        <w:gridCol w:w="93"/>
        <w:gridCol w:w="3676"/>
      </w:tblGrid>
      <w:tr>
        <w:trPr/>
        <w:tc>
          <w:tcPr>
            <w:tcW w:w="31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76"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69" w:type="dxa"/>
            <w:gridSpan w:val="2"/>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pPr>
            <w:r>
              <w:rPr/>
              <w:t>By:</w:t>
            </w:r>
          </w:p>
        </w:tc>
        <w:tc>
          <w:tcPr>
            <w:tcW w:w="93"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pBdr>
                <w:bottom w:val="single" w:sz="2" w:space="1" w:color="000000"/>
              </w:pBdr>
              <w:spacing w:before="0" w:after="20"/>
              <w:rPr/>
            </w:pPr>
            <w:r>
              <w:rPr/>
              <w:t> </w:t>
            </w:r>
          </w:p>
        </w:tc>
      </w:tr>
      <w:tr>
        <w:trPr/>
        <w:tc>
          <w:tcPr>
            <w:tcW w:w="313"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pPr>
            <w:r>
              <w:rPr/>
              <w:t>Name:</w:t>
            </w:r>
          </w:p>
        </w:tc>
      </w:tr>
      <w:tr>
        <w:trPr/>
        <w:tc>
          <w:tcPr>
            <w:tcW w:w="313"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pPr>
            <w:r>
              <w:rPr/>
              <w:t>Title:</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sz w:val="17"/>
        </w:rPr>
      </w:pPr>
      <w:r>
        <w:rPr>
          <w:rFonts w:ascii="Times New Roman" w:hAnsi="Times New Roman"/>
          <w:b/>
          <w:sz w:val="17"/>
        </w:rPr>
        <w:t xml:space="preserve">SCHEDULE I </w:t>
      </w:r>
    </w:p>
    <w:p>
      <w:pPr>
        <w:pStyle w:val="TextBody"/>
        <w:spacing w:before="240" w:after="0"/>
        <w:jc w:val="center"/>
        <w:rPr>
          <w:rFonts w:ascii="Times New Roman" w:hAnsi="Times New Roman"/>
          <w:sz w:val="17"/>
        </w:rPr>
      </w:pPr>
      <w:r>
        <w:rPr>
          <w:rFonts w:ascii="Times New Roman" w:hAnsi="Times New Roman"/>
          <w:sz w:val="17"/>
        </w:rPr>
        <w:t xml:space="preserve">Underwriting Agreement dated             , 20     </w:t>
      </w:r>
    </w:p>
    <w:p>
      <w:pPr>
        <w:pStyle w:val="TextBody"/>
        <w:spacing w:before="240" w:after="0"/>
        <w:jc w:val="left"/>
        <w:rPr>
          <w:rFonts w:ascii="Times New Roman" w:hAnsi="Times New Roman"/>
          <w:sz w:val="17"/>
        </w:rPr>
      </w:pPr>
      <w:r>
        <w:rPr>
          <w:rFonts w:ascii="Times New Roman" w:hAnsi="Times New Roman"/>
          <w:sz w:val="17"/>
        </w:rPr>
        <w:t xml:space="preserve">Registration Statement No. </w:t>
      </w:r>
      <w:r>
        <w:rPr>
          <w:rFonts w:ascii="Times New Roman" w:hAnsi="Times New Roman"/>
          <w:sz w:val="17"/>
          <w:u w:val="single"/>
        </w:rPr>
        <w:t>                    </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Representatives: </w:t>
      </w:r>
    </w:p>
    <w:p>
      <w:pPr>
        <w:pStyle w:val="TextBody"/>
        <w:spacing w:before="240" w:after="0"/>
        <w:jc w:val="left"/>
        <w:rPr>
          <w:rFonts w:ascii="Times New Roman" w:hAnsi="Times New Roman"/>
          <w:sz w:val="17"/>
        </w:rPr>
      </w:pPr>
      <w:r>
        <w:rPr>
          <w:rFonts w:ascii="Times New Roman" w:hAnsi="Times New Roman"/>
          <w:sz w:val="17"/>
        </w:rPr>
        <w:t xml:space="preserve">Closing Date, Time and Location: </w:t>
      </w:r>
    </w:p>
    <w:p>
      <w:pPr>
        <w:pStyle w:val="TextBody"/>
        <w:spacing w:before="240" w:after="0"/>
        <w:jc w:val="left"/>
        <w:rPr>
          <w:rFonts w:ascii="Times New Roman" w:hAnsi="Times New Roman"/>
          <w:sz w:val="17"/>
        </w:rPr>
      </w:pPr>
      <w:r>
        <w:rPr>
          <w:rFonts w:ascii="Times New Roman" w:hAnsi="Times New Roman"/>
          <w:sz w:val="17"/>
        </w:rPr>
        <w:t xml:space="preserve">Sale, Purchase Price and Description of Purchased Securities: </w:t>
      </w:r>
    </w:p>
    <w:p>
      <w:pPr>
        <w:pStyle w:val="TextBody"/>
        <w:spacing w:before="240" w:after="0"/>
        <w:jc w:val="left"/>
        <w:rPr>
          <w:rFonts w:ascii="Times New Roman" w:hAnsi="Times New Roman"/>
          <w:sz w:val="17"/>
        </w:rPr>
      </w:pPr>
      <w:r>
        <w:rPr>
          <w:rFonts w:ascii="Times New Roman" w:hAnsi="Times New Roman"/>
          <w:sz w:val="17"/>
        </w:rPr>
        <w:t xml:space="preserve">Title: </w:t>
      </w:r>
    </w:p>
    <w:p>
      <w:pPr>
        <w:pStyle w:val="TextBody"/>
        <w:spacing w:before="240" w:after="0"/>
        <w:jc w:val="left"/>
        <w:rPr>
          <w:rFonts w:ascii="Times New Roman" w:hAnsi="Times New Roman"/>
          <w:sz w:val="17"/>
        </w:rPr>
      </w:pPr>
      <w:r>
        <w:rPr>
          <w:rFonts w:ascii="Times New Roman" w:hAnsi="Times New Roman"/>
          <w:sz w:val="17"/>
        </w:rPr>
        <w:t xml:space="preserve">Principal amount and currency: </w:t>
      </w:r>
    </w:p>
    <w:p>
      <w:pPr>
        <w:pStyle w:val="TextBody"/>
        <w:spacing w:before="240" w:after="0"/>
        <w:jc w:val="left"/>
        <w:rPr>
          <w:rFonts w:ascii="Times New Roman" w:hAnsi="Times New Roman"/>
          <w:sz w:val="17"/>
        </w:rPr>
      </w:pPr>
      <w:r>
        <w:rPr>
          <w:rFonts w:ascii="Times New Roman" w:hAnsi="Times New Roman"/>
          <w:sz w:val="17"/>
        </w:rPr>
        <w:t xml:space="preserve">Purchase price: </w:t>
      </w:r>
    </w:p>
    <w:p>
      <w:pPr>
        <w:pStyle w:val="TextBody"/>
        <w:spacing w:before="240" w:after="0"/>
        <w:jc w:val="left"/>
        <w:rPr>
          <w:rFonts w:ascii="Times New Roman" w:hAnsi="Times New Roman"/>
          <w:sz w:val="17"/>
        </w:rPr>
      </w:pPr>
      <w:r>
        <w:rPr>
          <w:rFonts w:ascii="Times New Roman" w:hAnsi="Times New Roman"/>
          <w:sz w:val="17"/>
        </w:rPr>
        <w:t xml:space="preserve">Interest rate: </w:t>
      </w:r>
    </w:p>
    <w:p>
      <w:pPr>
        <w:pStyle w:val="TextBody"/>
        <w:spacing w:before="240" w:after="0"/>
        <w:jc w:val="left"/>
        <w:rPr>
          <w:rFonts w:ascii="Times New Roman" w:hAnsi="Times New Roman"/>
          <w:sz w:val="17"/>
        </w:rPr>
      </w:pPr>
      <w:r>
        <w:rPr>
          <w:rFonts w:ascii="Times New Roman" w:hAnsi="Times New Roman"/>
          <w:sz w:val="17"/>
        </w:rPr>
        <w:t xml:space="preserve">Interest payment dates: </w:t>
      </w:r>
    </w:p>
    <w:p>
      <w:pPr>
        <w:pStyle w:val="TextBody"/>
        <w:spacing w:before="240" w:after="0"/>
        <w:jc w:val="left"/>
        <w:rPr>
          <w:rFonts w:ascii="Times New Roman" w:hAnsi="Times New Roman"/>
          <w:sz w:val="17"/>
        </w:rPr>
      </w:pPr>
      <w:r>
        <w:rPr>
          <w:rFonts w:ascii="Times New Roman" w:hAnsi="Times New Roman"/>
          <w:sz w:val="17"/>
        </w:rPr>
        <w:t xml:space="preserve">Maturity: </w:t>
      </w:r>
    </w:p>
    <w:p>
      <w:pPr>
        <w:pStyle w:val="TextBody"/>
        <w:spacing w:before="240" w:after="0"/>
        <w:jc w:val="left"/>
        <w:rPr>
          <w:rFonts w:ascii="Times New Roman" w:hAnsi="Times New Roman"/>
          <w:sz w:val="17"/>
        </w:rPr>
      </w:pPr>
      <w:r>
        <w:rPr>
          <w:rFonts w:ascii="Times New Roman" w:hAnsi="Times New Roman"/>
          <w:sz w:val="17"/>
        </w:rPr>
        <w:t xml:space="preserve">Sinking fund provisions: </w:t>
      </w:r>
    </w:p>
    <w:p>
      <w:pPr>
        <w:pStyle w:val="TextBody"/>
        <w:spacing w:before="240" w:after="0"/>
        <w:jc w:val="left"/>
        <w:rPr>
          <w:rFonts w:ascii="Times New Roman" w:hAnsi="Times New Roman"/>
          <w:sz w:val="17"/>
        </w:rPr>
      </w:pPr>
      <w:r>
        <w:rPr>
          <w:rFonts w:ascii="Times New Roman" w:hAnsi="Times New Roman"/>
          <w:sz w:val="17"/>
        </w:rPr>
        <w:t xml:space="preserve">Bearer or registered: </w:t>
      </w:r>
    </w:p>
    <w:p>
      <w:pPr>
        <w:pStyle w:val="TextBody"/>
        <w:spacing w:before="240" w:after="0"/>
        <w:jc w:val="left"/>
        <w:rPr>
          <w:rFonts w:ascii="Times New Roman" w:hAnsi="Times New Roman"/>
          <w:sz w:val="17"/>
        </w:rPr>
      </w:pPr>
      <w:r>
        <w:rPr>
          <w:rFonts w:ascii="Times New Roman" w:hAnsi="Times New Roman"/>
          <w:sz w:val="17"/>
        </w:rPr>
        <w:t xml:space="preserve">Other provisions: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I-1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17"/>
        </w:rPr>
      </w:pPr>
      <w:r>
        <w:rPr>
          <w:rFonts w:ascii="Times New Roman" w:hAnsi="Times New Roman"/>
          <w:b/>
          <w:sz w:val="17"/>
        </w:rPr>
        <w:t xml:space="preserve">SCHEDULE II </w:t>
      </w:r>
    </w:p>
    <w:p>
      <w:pPr>
        <w:pStyle w:val="TextBody"/>
        <w:spacing w:before="0" w:after="0"/>
        <w:jc w:val="left"/>
        <w:rPr/>
      </w:pPr>
      <w:r>
        <w:rPr/>
        <w: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549"/>
        <w:gridCol w:w="819"/>
        <w:gridCol w:w="350"/>
        <w:gridCol w:w="2157"/>
        <w:gridCol w:w="64"/>
      </w:tblGrid>
      <w:tr>
        <w:trPr/>
        <w:tc>
          <w:tcPr>
            <w:tcW w:w="354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549"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Underwriter</w:t>
            </w:r>
          </w:p>
        </w:tc>
        <w:tc>
          <w:tcPr>
            <w:tcW w:w="819" w:type="dxa"/>
            <w:tcBorders/>
            <w:shd w:fill="auto" w:val="clear"/>
            <w:vAlign w:val="bottom"/>
          </w:tcPr>
          <w:p>
            <w:pPr>
              <w:pStyle w:val="TableContents"/>
              <w:spacing w:before="0" w:after="283"/>
              <w:rPr/>
            </w:pPr>
            <w:r>
              <w:rPr/>
              <w:t>  </w:t>
            </w:r>
          </w:p>
        </w:tc>
        <w:tc>
          <w:tcPr>
            <w:tcW w:w="2507" w:type="dxa"/>
            <w:gridSpan w:val="2"/>
            <w:tcBorders>
              <w:bottom w:val="single" w:sz="8" w:space="0" w:color="000000"/>
            </w:tcBorders>
            <w:shd w:fill="auto" w:val="clear"/>
            <w:tcMar>
              <w:bottom w:w="28" w:type="dxa"/>
            </w:tcMar>
            <w:vAlign w:val="bottom"/>
          </w:tcPr>
          <w:p>
            <w:pPr>
              <w:pStyle w:val="TableContents"/>
              <w:spacing w:before="0" w:after="283"/>
              <w:jc w:val="center"/>
              <w:rPr/>
            </w:pPr>
            <w:r>
              <w:rPr/>
              <w:t>Principal Amount of     </w:t>
            </w:r>
          </w:p>
        </w:tc>
        <w:tc>
          <w:tcPr>
            <w:tcW w:w="64" w:type="dxa"/>
            <w:tcBorders/>
            <w:shd w:fill="auto" w:val="clear"/>
            <w:vAlign w:val="bottom"/>
          </w:tcPr>
          <w:p>
            <w:pPr>
              <w:pStyle w:val="TableContents"/>
              <w:spacing w:before="0" w:after="283"/>
              <w:rPr/>
            </w:pPr>
            <w:r>
              <w:rPr/>
              <w:t> </w:t>
            </w:r>
          </w:p>
        </w:tc>
      </w:tr>
      <w:tr>
        <w:trPr/>
        <w:tc>
          <w:tcPr>
            <w:tcW w:w="3549"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2507" w:type="dxa"/>
            <w:gridSpan w:val="2"/>
            <w:tcBorders>
              <w:bottom w:val="single" w:sz="8" w:space="0" w:color="000000"/>
            </w:tcBorders>
            <w:shd w:fill="auto" w:val="clear"/>
            <w:tcMar>
              <w:bottom w:w="28" w:type="dxa"/>
            </w:tcMar>
            <w:vAlign w:val="bottom"/>
          </w:tcPr>
          <w:p>
            <w:pPr>
              <w:pStyle w:val="TableContents"/>
              <w:spacing w:before="0" w:after="283"/>
              <w:jc w:val="center"/>
              <w:rPr/>
            </w:pPr>
            <w:r>
              <w:rPr/>
              <w:t>Securities to be Purchased</w:t>
            </w:r>
          </w:p>
        </w:tc>
        <w:tc>
          <w:tcPr>
            <w:tcW w:w="64" w:type="dxa"/>
            <w:tcBorders/>
            <w:shd w:fill="auto" w:val="clear"/>
            <w:vAlign w:val="bottom"/>
          </w:tcPr>
          <w:p>
            <w:pPr>
              <w:pStyle w:val="TableContents"/>
              <w:spacing w:before="0" w:after="283"/>
              <w:rPr/>
            </w:pPr>
            <w:r>
              <w:rPr/>
              <w:t> </w:t>
            </w:r>
          </w:p>
        </w:tc>
      </w:tr>
      <w:tr>
        <w:trPr/>
        <w:tc>
          <w:tcPr>
            <w:tcW w:w="3549" w:type="dxa"/>
            <w:tcBorders/>
            <w:shd w:fill="CCEEFF" w:val="clear"/>
          </w:tcPr>
          <w:p>
            <w:pPr>
              <w:pStyle w:val="TableContents"/>
              <w:spacing w:before="0" w:after="283"/>
              <w:rPr>
                <w:sz w:val="4"/>
                <w:szCs w:val="4"/>
              </w:rPr>
            </w:pPr>
            <w:r>
              <w:rPr>
                <w:sz w:val="4"/>
                <w:szCs w:val="4"/>
              </w:rPr>
            </w:r>
          </w:p>
        </w:tc>
        <w:tc>
          <w:tcPr>
            <w:tcW w:w="819"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2157"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3549" w:type="dxa"/>
            <w:tcBorders/>
            <w:shd w:fill="auto" w:val="clear"/>
          </w:tcPr>
          <w:p>
            <w:pPr>
              <w:pStyle w:val="TableContents"/>
              <w:spacing w:before="0" w:after="283"/>
              <w:rPr>
                <w:sz w:val="4"/>
                <w:szCs w:val="4"/>
              </w:rPr>
            </w:pPr>
            <w:r>
              <w:rPr>
                <w:sz w:val="4"/>
                <w:szCs w:val="4"/>
              </w:rPr>
            </w:r>
          </w:p>
        </w:tc>
        <w:tc>
          <w:tcPr>
            <w:tcW w:w="819"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2157"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3549" w:type="dxa"/>
            <w:tcBorders/>
            <w:shd w:fill="CCEEFF" w:val="clear"/>
          </w:tcPr>
          <w:p>
            <w:pPr>
              <w:pStyle w:val="TableContents"/>
              <w:spacing w:before="0" w:after="283"/>
              <w:rPr>
                <w:sz w:val="4"/>
                <w:szCs w:val="4"/>
              </w:rPr>
            </w:pPr>
            <w:r>
              <w:rPr>
                <w:sz w:val="4"/>
                <w:szCs w:val="4"/>
              </w:rPr>
            </w:r>
          </w:p>
        </w:tc>
        <w:tc>
          <w:tcPr>
            <w:tcW w:w="819"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2157"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3549" w:type="dxa"/>
            <w:tcBorders/>
            <w:shd w:fill="auto" w:val="clear"/>
            <w:vAlign w:val="bottom"/>
          </w:tcPr>
          <w:p>
            <w:pPr>
              <w:pStyle w:val="TableContents"/>
              <w:spacing w:before="0" w:after="283"/>
              <w:rPr>
                <w:sz w:val="4"/>
                <w:szCs w:val="4"/>
              </w:rPr>
            </w:pPr>
            <w:r>
              <w:rPr>
                <w:sz w:val="4"/>
                <w:szCs w:val="4"/>
              </w:rPr>
            </w:r>
          </w:p>
        </w:tc>
        <w:tc>
          <w:tcPr>
            <w:tcW w:w="819"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215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3549"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819"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w:t>
            </w:r>
          </w:p>
        </w:tc>
        <w:tc>
          <w:tcPr>
            <w:tcW w:w="2157" w:type="dxa"/>
            <w:tcBorders/>
            <w:shd w:fill="auto" w:val="clear"/>
            <w:vAlign w:val="bottom"/>
          </w:tcPr>
          <w:p>
            <w:pPr>
              <w:pStyle w:val="TableContents"/>
              <w:spacing w:before="0" w:after="283"/>
              <w:jc w:val="right"/>
              <w:rPr/>
            </w:pPr>
            <w:r>
              <w:rPr/>
              <w:t>    </w:t>
            </w:r>
            <w:r>
              <w:rPr/>
              <w:t>,    ,    </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II-1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17"/>
        </w:rPr>
      </w:pPr>
      <w:r>
        <w:rPr>
          <w:rFonts w:ascii="Times New Roman" w:hAnsi="Times New Roman"/>
          <w:b/>
          <w:sz w:val="17"/>
        </w:rPr>
        <w:t xml:space="preserve">SCHEDULE III </w:t>
      </w:r>
    </w:p>
    <w:p>
      <w:pPr>
        <w:pStyle w:val="TextBody"/>
        <w:spacing w:before="240" w:after="0"/>
        <w:jc w:val="left"/>
        <w:rPr>
          <w:rFonts w:ascii="Times New Roman" w:hAnsi="Times New Roman"/>
          <w:sz w:val="17"/>
        </w:rPr>
      </w:pPr>
      <w:r>
        <w:rPr>
          <w:rFonts w:ascii="Times New Roman" w:hAnsi="Times New Roman"/>
          <w:sz w:val="17"/>
        </w:rPr>
        <w:t xml:space="preserve">Issuer Free Writing Prospectus: </w:t>
      </w:r>
    </w:p>
    <w:p>
      <w:pPr>
        <w:pStyle w:val="TextBody"/>
        <w:spacing w:before="240" w:after="0"/>
        <w:jc w:val="left"/>
        <w:rPr>
          <w:rFonts w:ascii="Times New Roman" w:hAnsi="Times New Roman"/>
          <w:sz w:val="17"/>
        </w:rPr>
      </w:pPr>
      <w:r>
        <w:rPr>
          <w:rFonts w:ascii="Times New Roman" w:hAnsi="Times New Roman"/>
          <w:sz w:val="17"/>
        </w:rPr>
        <w:t xml:space="preserve">Free Writing Prospectus: </w:t>
      </w:r>
    </w:p>
    <w:p>
      <w:pPr>
        <w:pStyle w:val="TextBody"/>
        <w:spacing w:before="240" w:after="0"/>
        <w:jc w:val="left"/>
        <w:rPr>
          <w:rFonts w:ascii="Times New Roman" w:hAnsi="Times New Roman"/>
          <w:sz w:val="17"/>
        </w:rPr>
      </w:pPr>
      <w:r>
        <w:rPr>
          <w:rFonts w:ascii="Times New Roman" w:hAnsi="Times New Roman"/>
          <w:sz w:val="17"/>
        </w:rPr>
        <w:t xml:space="preserve">Final term sheet prepared and filed pursuant to Section 4(i) </w:t>
      </w:r>
    </w:p>
    <w:p>
      <w:pPr>
        <w:pStyle w:val="TextBody"/>
        <w:spacing w:before="240" w:after="0"/>
        <w:jc w:val="left"/>
        <w:rPr>
          <w:rFonts w:ascii="Times New Roman" w:hAnsi="Times New Roman"/>
          <w:sz w:val="17"/>
        </w:rPr>
      </w:pPr>
      <w:r>
        <w:rPr>
          <w:rFonts w:ascii="Times New Roman" w:hAnsi="Times New Roman"/>
          <w:sz w:val="17"/>
        </w:rPr>
        <w:t xml:space="preserve">(Applicable </w:t>
      </w:r>
      <w:r>
        <w:rPr>
          <w:rFonts w:ascii="Times New Roman" w:hAnsi="Times New Roman"/>
          <w:sz w:val="17"/>
          <w:u w:val="single"/>
        </w:rPr>
        <w:t>                    </w:t>
      </w:r>
      <w:r>
        <w:rPr>
          <w:rFonts w:ascii="Times New Roman" w:hAnsi="Times New Roman"/>
          <w:sz w:val="17"/>
        </w:rPr>
        <w:t xml:space="preserve">; Non-applicable </w:t>
      </w:r>
      <w:r>
        <w:rPr>
          <w:rFonts w:ascii="Times New Roman" w:hAnsi="Times New Roman"/>
          <w:sz w:val="17"/>
          <w:u w:val="single"/>
        </w:rPr>
        <w:t>                    </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III-1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17"/>
        </w:rPr>
      </w:pPr>
      <w:r>
        <w:rPr>
          <w:rFonts w:ascii="Times New Roman" w:hAnsi="Times New Roman"/>
          <w:b/>
          <w:sz w:val="17"/>
        </w:rPr>
        <w:t xml:space="preserve">SCHEDULE IV </w:t>
      </w:r>
    </w:p>
    <w:p>
      <w:pPr>
        <w:pStyle w:val="TextBody"/>
        <w:spacing w:before="240" w:after="0"/>
        <w:jc w:val="center"/>
        <w:rPr>
          <w:rFonts w:ascii="Times New Roman" w:hAnsi="Times New Roman"/>
          <w:sz w:val="17"/>
        </w:rPr>
      </w:pPr>
      <w:r>
        <w:rPr>
          <w:rFonts w:ascii="Times New Roman" w:hAnsi="Times New Roman"/>
          <w:sz w:val="17"/>
        </w:rPr>
        <w:t xml:space="preserve">INFORMATION PROVIDED BY THE UNDERWRITERS TO THE COMPANY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IV-1 </w:t>
      </w:r>
      <w:r>
        <w:br w:type="page"/>
      </w:r>
    </w:p>
    <w:p>
      <w:pPr>
        <w:pStyle w:val="TextBody"/>
        <w:spacing w:before="0" w:after="0"/>
        <w:jc w:val="right"/>
        <w:rPr>
          <w:rFonts w:ascii="Times New Roman" w:hAnsi="Times New Roman"/>
          <w:b/>
          <w:sz w:val="17"/>
        </w:rPr>
      </w:pPr>
      <w:bookmarkStart w:id="45" w:name="d655836dex51.htm"/>
      <w:bookmarkStart w:id="46" w:name="ksd655836dex51"/>
      <w:bookmarkEnd w:id="45"/>
      <w:bookmarkEnd w:id="46"/>
      <w:r>
        <w:rPr>
          <w:rFonts w:ascii="Times New Roman" w:hAnsi="Times New Roman"/>
          <w:b/>
          <w:sz w:val="17"/>
        </w:rPr>
        <w:t xml:space="preserve">Exhibit 5.1 </w:t>
      </w:r>
    </w:p>
    <w:p>
      <w:pPr>
        <w:pStyle w:val="TextBody"/>
        <w:spacing w:before="0" w:after="0"/>
        <w:jc w:val="left"/>
        <w:rPr/>
      </w:pPr>
      <w:r>
        <w:rPr/>
        <w:t> </w:t>
      </w:r>
    </w:p>
    <w:p>
      <w:pPr>
        <w:pStyle w:val="TextBody"/>
        <w:spacing w:before="0" w:after="0"/>
        <w:jc w:val="right"/>
        <w:rPr/>
      </w:pPr>
      <w:r>
        <w:rPr/>
        <w:drawing>
          <wp:inline distT="0" distB="0" distL="0" distR="0">
            <wp:extent cx="7772400" cy="1695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7772400" cy="1695450"/>
                    </a:xfrm>
                    <a:prstGeom prst="rect">
                      <a:avLst/>
                    </a:prstGeom>
                  </pic:spPr>
                </pic:pic>
              </a:graphicData>
            </a:graphic>
          </wp:inline>
        </w:drawing>
      </w:r>
      <w:r>
        <w:rPr/>
        <w:t xml:space="preserve"> </w:t>
      </w:r>
    </w:p>
    <w:p>
      <w:pPr>
        <w:pStyle w:val="TextBody"/>
        <w:spacing w:before="0" w:after="0"/>
        <w:jc w:val="left"/>
        <w:rPr/>
      </w:pPr>
      <w:r>
        <w:rPr/>
        <w:t> </w:t>
      </w:r>
    </w:p>
    <w:tbl>
      <w:tblPr>
        <w:tblW w:w="3600" w:type="pct"/>
        <w:jc w:val="center"/>
        <w:tblInd w:w="0" w:type="dxa"/>
        <w:tblCellMar>
          <w:top w:w="0" w:type="dxa"/>
          <w:left w:w="0" w:type="dxa"/>
          <w:bottom w:w="0" w:type="dxa"/>
          <w:right w:w="0" w:type="dxa"/>
        </w:tblCellMar>
      </w:tblPr>
      <w:tblGrid>
        <w:gridCol w:w="2299"/>
        <w:gridCol w:w="120"/>
        <w:gridCol w:w="2198"/>
        <w:gridCol w:w="120"/>
        <w:gridCol w:w="2610"/>
      </w:tblGrid>
      <w:tr>
        <w:trPr/>
        <w:tc>
          <w:tcPr>
            <w:tcW w:w="22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10" w:type="dxa"/>
            <w:tcBorders/>
            <w:shd w:fill="auto" w:val="clear"/>
            <w:vAlign w:val="center"/>
          </w:tcPr>
          <w:p>
            <w:pPr>
              <w:pStyle w:val="TableContents"/>
              <w:spacing w:before="0" w:after="283"/>
              <w:rPr>
                <w:sz w:val="4"/>
                <w:szCs w:val="4"/>
              </w:rPr>
            </w:pPr>
            <w:r>
              <w:rPr>
                <w:sz w:val="4"/>
                <w:szCs w:val="4"/>
              </w:rPr>
            </w:r>
          </w:p>
        </w:tc>
      </w:tr>
      <w:tr>
        <w:trPr/>
        <w:tc>
          <w:tcPr>
            <w:tcW w:w="2299" w:type="dxa"/>
            <w:tcBorders/>
            <w:shd w:fill="auto" w:val="clear"/>
            <w:vAlign w:val="bottom"/>
          </w:tcPr>
          <w:p>
            <w:pPr>
              <w:pStyle w:val="TableContents"/>
              <w:spacing w:before="0" w:after="0"/>
              <w:rPr>
                <w:rFonts w:ascii="Times New Roman" w:hAnsi="Times New Roman"/>
                <w:b/>
                <w:sz w:val="12"/>
              </w:rPr>
            </w:pPr>
            <w:r>
              <w:rPr>
                <w:rFonts w:ascii="Times New Roman" w:hAnsi="Times New Roman"/>
                <w:b/>
                <w:sz w:val="12"/>
              </w:rPr>
              <w:t>Anne T. Madden</w:t>
            </w:r>
          </w:p>
          <w:p>
            <w:pPr>
              <w:pStyle w:val="TableContents"/>
              <w:spacing w:before="0" w:after="0"/>
              <w:rPr>
                <w:rFonts w:ascii="Times New Roman" w:hAnsi="Times New Roman"/>
                <w:sz w:val="12"/>
              </w:rPr>
            </w:pPr>
            <w:r>
              <w:rPr>
                <w:rFonts w:ascii="Times New Roman" w:hAnsi="Times New Roman"/>
                <w:sz w:val="12"/>
              </w:rPr>
              <w:t>Senior Vice President,</w:t>
            </w:r>
          </w:p>
          <w:p>
            <w:pPr>
              <w:pStyle w:val="TableContents"/>
              <w:spacing w:before="0" w:after="0"/>
              <w:rPr>
                <w:rFonts w:ascii="Times New Roman" w:hAnsi="Times New Roman"/>
                <w:sz w:val="12"/>
              </w:rPr>
            </w:pPr>
            <w:r>
              <w:rPr>
                <w:rFonts w:ascii="Times New Roman" w:hAnsi="Times New Roman"/>
                <w:sz w:val="12"/>
              </w:rPr>
              <w:t>General Counsel and</w:t>
            </w:r>
          </w:p>
          <w:p>
            <w:pPr>
              <w:pStyle w:val="TableContents"/>
              <w:spacing w:before="0" w:after="20"/>
              <w:rPr>
                <w:rFonts w:ascii="Times New Roman" w:hAnsi="Times New Roman"/>
                <w:sz w:val="12"/>
              </w:rPr>
            </w:pPr>
            <w:r>
              <w:rPr>
                <w:rFonts w:ascii="Times New Roman" w:hAnsi="Times New Roman"/>
                <w:sz w:val="12"/>
              </w:rPr>
              <w:t>Corporate Secretary</w:t>
            </w:r>
          </w:p>
        </w:tc>
        <w:tc>
          <w:tcPr>
            <w:tcW w:w="120" w:type="dxa"/>
            <w:tcBorders/>
            <w:shd w:fill="auto" w:val="clear"/>
            <w:vAlign w:val="bottom"/>
          </w:tcPr>
          <w:p>
            <w:pPr>
              <w:pStyle w:val="TableContents"/>
              <w:spacing w:before="0" w:after="283"/>
              <w:rPr/>
            </w:pPr>
            <w:r>
              <w:rPr/>
              <w:t>  </w:t>
            </w:r>
          </w:p>
        </w:tc>
        <w:tc>
          <w:tcPr>
            <w:tcW w:w="2198" w:type="dxa"/>
            <w:tcBorders/>
            <w:shd w:fill="auto" w:val="clear"/>
            <w:vAlign w:val="bottom"/>
          </w:tcPr>
          <w:p>
            <w:pPr>
              <w:pStyle w:val="TableContents"/>
              <w:spacing w:before="0" w:after="0"/>
              <w:rPr>
                <w:rFonts w:ascii="Times New Roman" w:hAnsi="Times New Roman"/>
                <w:sz w:val="12"/>
              </w:rPr>
            </w:pPr>
            <w:r>
              <w:rPr>
                <w:rFonts w:ascii="Times New Roman" w:hAnsi="Times New Roman"/>
                <w:sz w:val="12"/>
              </w:rPr>
              <w:t>Honeywell International Inc.</w:t>
            </w:r>
          </w:p>
          <w:p>
            <w:pPr>
              <w:pStyle w:val="TableContents"/>
              <w:spacing w:before="0" w:after="0"/>
              <w:rPr>
                <w:rFonts w:ascii="Times New Roman" w:hAnsi="Times New Roman"/>
                <w:sz w:val="12"/>
              </w:rPr>
            </w:pPr>
            <w:r>
              <w:rPr>
                <w:rFonts w:ascii="Times New Roman" w:hAnsi="Times New Roman"/>
                <w:sz w:val="12"/>
              </w:rPr>
              <w:t>115 Tabor Road</w:t>
              <w:br/>
              <w:t>Morris Plains, New Jersey</w:t>
            </w:r>
          </w:p>
          <w:p>
            <w:pPr>
              <w:pStyle w:val="TableContents"/>
              <w:spacing w:before="0" w:after="20"/>
              <w:rPr>
                <w:rFonts w:ascii="Times New Roman" w:hAnsi="Times New Roman"/>
                <w:sz w:val="12"/>
              </w:rPr>
            </w:pPr>
            <w:r>
              <w:rPr>
                <w:rFonts w:ascii="Times New Roman" w:hAnsi="Times New Roman"/>
                <w:sz w:val="12"/>
              </w:rPr>
              <w:t>07950</w:t>
            </w:r>
          </w:p>
        </w:tc>
        <w:tc>
          <w:tcPr>
            <w:tcW w:w="120" w:type="dxa"/>
            <w:tcBorders/>
            <w:shd w:fill="auto" w:val="clear"/>
            <w:vAlign w:val="bottom"/>
          </w:tcPr>
          <w:p>
            <w:pPr>
              <w:pStyle w:val="TableContents"/>
              <w:spacing w:before="0" w:after="283"/>
              <w:rPr/>
            </w:pPr>
            <w:r>
              <w:rPr/>
              <w:t>  </w:t>
            </w:r>
          </w:p>
        </w:tc>
        <w:tc>
          <w:tcPr>
            <w:tcW w:w="2610" w:type="dxa"/>
            <w:tcBorders/>
            <w:shd w:fill="auto" w:val="clear"/>
          </w:tcPr>
          <w:p>
            <w:pPr>
              <w:pStyle w:val="TableContents"/>
              <w:spacing w:before="0" w:after="0"/>
              <w:rPr>
                <w:rFonts w:ascii="Times New Roman" w:hAnsi="Times New Roman"/>
                <w:sz w:val="12"/>
              </w:rPr>
            </w:pPr>
            <w:r>
              <w:rPr>
                <w:rFonts w:ascii="Times New Roman" w:hAnsi="Times New Roman"/>
                <w:sz w:val="12"/>
              </w:rPr>
              <w:t>phone 973-455-2000</w:t>
            </w:r>
          </w:p>
          <w:p>
            <w:pPr>
              <w:pStyle w:val="TableContents"/>
              <w:spacing w:before="0" w:after="0"/>
              <w:rPr>
                <w:rFonts w:ascii="Times New Roman" w:hAnsi="Times New Roman"/>
                <w:sz w:val="12"/>
              </w:rPr>
            </w:pPr>
            <w:r>
              <w:rPr>
                <w:rFonts w:ascii="Times New Roman" w:hAnsi="Times New Roman"/>
                <w:sz w:val="12"/>
              </w:rPr>
              <w:t>anne.madden@honeywell.com</w:t>
            </w:r>
          </w:p>
          <w:p>
            <w:pPr>
              <w:pStyle w:val="TableContents"/>
              <w:spacing w:before="0" w:after="20"/>
              <w:rPr>
                <w:rFonts w:ascii="Times New Roman" w:hAnsi="Times New Roman"/>
                <w:sz w:val="12"/>
              </w:rPr>
            </w:pPr>
            <w:r>
              <w:rPr>
                <w:rFonts w:ascii="Times New Roman" w:hAnsi="Times New Roman"/>
                <w:sz w:val="12"/>
              </w:rPr>
              <w:t>www.honeywell.com</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right"/>
        <w:rPr>
          <w:rFonts w:ascii="Times New Roman" w:hAnsi="Times New Roman"/>
          <w:sz w:val="17"/>
        </w:rPr>
      </w:pPr>
      <w:r>
        <w:rPr>
          <w:rFonts w:ascii="Times New Roman" w:hAnsi="Times New Roman"/>
          <w:sz w:val="17"/>
        </w:rPr>
        <w:t xml:space="preserve">December 10, 2018 </w:t>
      </w:r>
    </w:p>
    <w:p>
      <w:pPr>
        <w:pStyle w:val="TextBody"/>
        <w:spacing w:before="240" w:after="0"/>
        <w:jc w:val="left"/>
        <w:rPr>
          <w:rFonts w:ascii="Times New Roman" w:hAnsi="Times New Roman"/>
          <w:sz w:val="17"/>
        </w:rPr>
      </w:pPr>
      <w:r>
        <w:rPr>
          <w:rFonts w:ascii="Times New Roman" w:hAnsi="Times New Roman"/>
          <w:sz w:val="17"/>
        </w:rPr>
        <w:t xml:space="preserve">Securities and Exchange Commission </w:t>
      </w:r>
    </w:p>
    <w:p>
      <w:pPr>
        <w:pStyle w:val="TextBody"/>
        <w:spacing w:before="0" w:after="0"/>
        <w:jc w:val="left"/>
        <w:rPr>
          <w:rFonts w:ascii="Times New Roman" w:hAnsi="Times New Roman"/>
          <w:sz w:val="17"/>
        </w:rPr>
      </w:pPr>
      <w:r>
        <w:rPr>
          <w:rFonts w:ascii="Times New Roman" w:hAnsi="Times New Roman"/>
          <w:sz w:val="17"/>
        </w:rPr>
        <w:t xml:space="preserve">100 F Street, N.E. </w:t>
      </w:r>
    </w:p>
    <w:p>
      <w:pPr>
        <w:pStyle w:val="TextBody"/>
        <w:spacing w:before="0" w:after="0"/>
        <w:jc w:val="left"/>
        <w:rPr>
          <w:rFonts w:ascii="Times New Roman" w:hAnsi="Times New Roman"/>
          <w:sz w:val="17"/>
        </w:rPr>
      </w:pPr>
      <w:r>
        <w:rPr>
          <w:rFonts w:ascii="Times New Roman" w:hAnsi="Times New Roman"/>
          <w:sz w:val="17"/>
        </w:rPr>
        <w:t xml:space="preserve">Washington, D.C. 20549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224"/>
        <w:gridCol w:w="509"/>
        <w:gridCol w:w="8472"/>
      </w:tblGrid>
      <w:tr>
        <w:trPr/>
        <w:tc>
          <w:tcPr>
            <w:tcW w:w="122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Re:</w:t>
            </w:r>
          </w:p>
        </w:tc>
        <w:tc>
          <w:tcPr>
            <w:tcW w:w="847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Honeywell International Inc. </w:t>
            </w:r>
          </w:p>
        </w:tc>
      </w:tr>
    </w:tbl>
    <w:tbl>
      <w:tblPr>
        <w:tblW w:w="5000" w:type="pct"/>
        <w:jc w:val="left"/>
        <w:tblInd w:w="0" w:type="dxa"/>
        <w:tblCellMar>
          <w:top w:w="0" w:type="dxa"/>
          <w:left w:w="0" w:type="dxa"/>
          <w:bottom w:w="0" w:type="dxa"/>
          <w:right w:w="0" w:type="dxa"/>
        </w:tblCellMar>
      </w:tblPr>
      <w:tblGrid>
        <w:gridCol w:w="1224"/>
        <w:gridCol w:w="508"/>
        <w:gridCol w:w="8473"/>
      </w:tblGrid>
      <w:tr>
        <w:trPr/>
        <w:tc>
          <w:tcPr>
            <w:tcW w:w="1224"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    </w:t>
            </w:r>
          </w:p>
        </w:tc>
        <w:tc>
          <w:tcPr>
            <w:tcW w:w="847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Registration Statement on Form S-3 </w:t>
            </w:r>
          </w:p>
        </w:tc>
      </w:tr>
    </w:tbl>
    <w:p>
      <w:pPr>
        <w:pStyle w:val="TextBody"/>
        <w:spacing w:before="240" w:after="0"/>
        <w:jc w:val="left"/>
        <w:rPr>
          <w:rFonts w:ascii="Times New Roman" w:hAnsi="Times New Roman"/>
          <w:sz w:val="17"/>
        </w:rPr>
      </w:pPr>
      <w:r>
        <w:rPr>
          <w:rFonts w:ascii="Times New Roman" w:hAnsi="Times New Roman"/>
          <w:sz w:val="17"/>
        </w:rPr>
        <w:t xml:space="preserve">Ladies and Gentlemen: </w:t>
      </w:r>
    </w:p>
    <w:p>
      <w:pPr>
        <w:pStyle w:val="TextBody"/>
        <w:spacing w:before="240" w:after="0"/>
        <w:jc w:val="left"/>
        <w:rPr>
          <w:rFonts w:ascii="Times New Roman" w:hAnsi="Times New Roman"/>
          <w:sz w:val="17"/>
        </w:rPr>
      </w:pPr>
      <w:r>
        <w:rPr>
          <w:rFonts w:ascii="Times New Roman" w:hAnsi="Times New Roman"/>
          <w:sz w:val="17"/>
        </w:rPr>
        <w:t>I am Senior Vice President, General Counsel and Corporate Secretary, of Honeywell International Inc., a Delaware corporation (the </w:t>
      </w:r>
      <w:r>
        <w:rPr>
          <w:rFonts w:ascii="Times New Roman" w:hAnsi="Times New Roman"/>
          <w:sz w:val="17"/>
          <w:u w:val="single"/>
        </w:rPr>
        <w:t>Company</w:t>
      </w:r>
      <w:r>
        <w:rPr>
          <w:rFonts w:ascii="Times New Roman" w:hAnsi="Times New Roman"/>
          <w:sz w:val="17"/>
        </w:rPr>
        <w:t>). This opinion is being rendered in connection with the issuance and sale of the Companys securities (the </w:t>
      </w:r>
      <w:r>
        <w:rPr>
          <w:rFonts w:ascii="Times New Roman" w:hAnsi="Times New Roman"/>
          <w:sz w:val="17"/>
          <w:u w:val="single"/>
        </w:rPr>
        <w:t>Securities</w:t>
      </w:r>
      <w:r>
        <w:rPr>
          <w:rFonts w:ascii="Times New Roman" w:hAnsi="Times New Roman"/>
          <w:sz w:val="17"/>
        </w:rPr>
        <w:t>) from time to time in accordance with Rule 415 under the Securities Act of 1933, as amended (the </w:t>
      </w:r>
      <w:r>
        <w:rPr>
          <w:rFonts w:ascii="Times New Roman" w:hAnsi="Times New Roman"/>
          <w:sz w:val="17"/>
          <w:u w:val="single"/>
        </w:rPr>
        <w:t>Securities Act</w:t>
      </w:r>
      <w:r>
        <w:rPr>
          <w:rFonts w:ascii="Times New Roman" w:hAnsi="Times New Roman"/>
          <w:sz w:val="17"/>
        </w:rPr>
        <w:t>), pursuant to the Registration Statement on Form S-3 (the </w:t>
      </w:r>
      <w:r>
        <w:rPr>
          <w:rFonts w:ascii="Times New Roman" w:hAnsi="Times New Roman"/>
          <w:sz w:val="17"/>
          <w:u w:val="single"/>
        </w:rPr>
        <w:t>Registration Statement</w:t>
      </w:r>
      <w:r>
        <w:rPr>
          <w:rFonts w:ascii="Times New Roman" w:hAnsi="Times New Roman"/>
          <w:sz w:val="17"/>
        </w:rPr>
        <w:t>) filed with the Securities and Exchange Commission (the </w:t>
      </w:r>
      <w:r>
        <w:rPr>
          <w:rFonts w:ascii="Times New Roman" w:hAnsi="Times New Roman"/>
          <w:sz w:val="17"/>
          <w:u w:val="single"/>
        </w:rPr>
        <w:t>Commission</w:t>
      </w:r>
      <w:r>
        <w:rPr>
          <w:rFonts w:ascii="Times New Roman" w:hAnsi="Times New Roman"/>
          <w:sz w:val="17"/>
        </w:rPr>
        <w:t>) under the Securities Act. The Registration Statement contains three prospectuses: (A) a prospectus (the </w:t>
      </w:r>
      <w:r>
        <w:rPr>
          <w:rFonts w:ascii="Times New Roman" w:hAnsi="Times New Roman"/>
          <w:sz w:val="17"/>
          <w:u w:val="single"/>
        </w:rPr>
        <w:t>Shelf Prospectus</w:t>
      </w:r>
      <w:r>
        <w:rPr>
          <w:rFonts w:ascii="Times New Roman" w:hAnsi="Times New Roman"/>
          <w:sz w:val="17"/>
        </w:rPr>
        <w:t>) relating to the issuance and sale by the Company from time to time, as shall be set forth in one or more supplements to the Shelf Prospectus, of the Companys (i) debt securities (</w:t>
      </w:r>
      <w:r>
        <w:rPr>
          <w:rFonts w:ascii="Times New Roman" w:hAnsi="Times New Roman"/>
          <w:sz w:val="17"/>
          <w:u w:val="single"/>
        </w:rPr>
        <w:t>Debt Securities</w:t>
      </w:r>
      <w:r>
        <w:rPr>
          <w:rFonts w:ascii="Times New Roman" w:hAnsi="Times New Roman"/>
          <w:sz w:val="17"/>
        </w:rPr>
        <w:t>); (ii) common shares, par value $1.00 per share (</w:t>
      </w:r>
      <w:r>
        <w:rPr>
          <w:rFonts w:ascii="Times New Roman" w:hAnsi="Times New Roman"/>
          <w:sz w:val="17"/>
          <w:u w:val="single"/>
        </w:rPr>
        <w:t>Common Stock</w:t>
      </w:r>
      <w:r>
        <w:rPr>
          <w:rFonts w:ascii="Times New Roman" w:hAnsi="Times New Roman"/>
          <w:sz w:val="17"/>
        </w:rPr>
        <w:t>); and (iii) preferred shares, without par value (</w:t>
      </w:r>
      <w:r>
        <w:rPr>
          <w:rFonts w:ascii="Times New Roman" w:hAnsi="Times New Roman"/>
          <w:sz w:val="17"/>
          <w:u w:val="single"/>
        </w:rPr>
        <w:t>Preferred Stock</w:t>
      </w:r>
      <w:r>
        <w:rPr>
          <w:rFonts w:ascii="Times New Roman" w:hAnsi="Times New Roman"/>
          <w:sz w:val="17"/>
        </w:rPr>
        <w:t>); (B) a prospectus (the </w:t>
      </w:r>
      <w:r>
        <w:rPr>
          <w:rFonts w:ascii="Times New Roman" w:hAnsi="Times New Roman"/>
          <w:sz w:val="17"/>
          <w:u w:val="single"/>
        </w:rPr>
        <w:t>Plan Prospectus</w:t>
      </w:r>
      <w:r>
        <w:rPr>
          <w:rFonts w:ascii="Times New Roman" w:hAnsi="Times New Roman"/>
          <w:sz w:val="17"/>
        </w:rPr>
        <w:t>) relating to the issuance and sale from time to time, as may be set forth in the Plan Prospectus or one or more supplements to the Plan Prospectus, of Common Stock issued or to be issued pursuant to the Honeywell International Inc. Dividend Reinvestment and Share Purchase Plan (the </w:t>
      </w:r>
      <w:r>
        <w:rPr>
          <w:rFonts w:ascii="Times New Roman" w:hAnsi="Times New Roman"/>
          <w:sz w:val="17"/>
          <w:u w:val="single"/>
        </w:rPr>
        <w:t>Plan</w:t>
      </w:r>
      <w:r>
        <w:rPr>
          <w:rFonts w:ascii="Times New Roman" w:hAnsi="Times New Roman"/>
          <w:sz w:val="17"/>
        </w:rPr>
        <w:t>); and (C) a prospectus (the </w:t>
      </w:r>
      <w:r>
        <w:rPr>
          <w:rFonts w:ascii="Times New Roman" w:hAnsi="Times New Roman"/>
          <w:sz w:val="17"/>
          <w:u w:val="single"/>
        </w:rPr>
        <w:t>Trust Prospectus</w:t>
      </w:r>
      <w:r>
        <w:rPr>
          <w:rFonts w:ascii="Times New Roman" w:hAnsi="Times New Roman"/>
          <w:sz w:val="17"/>
        </w:rPr>
        <w:t>) relating to the sale from time to time, as shall be set forth in one or more supplements to the Trust Prospectus, of Common Stock contributed or to be contributed to the Honeywell International Inc. Master Retirement Trust (the </w:t>
      </w:r>
      <w:r>
        <w:rPr>
          <w:rFonts w:ascii="Times New Roman" w:hAnsi="Times New Roman"/>
          <w:sz w:val="17"/>
          <w:u w:val="single"/>
        </w:rPr>
        <w:t>Trust</w:t>
      </w:r>
      <w:r>
        <w:rPr>
          <w:rFonts w:ascii="Times New Roman" w:hAnsi="Times New Roman"/>
          <w:sz w:val="17"/>
        </w:rPr>
        <w:t xml:space="preserve">). The Debt Securities, the Preferred Stock and the Common Stock are herein collectively referred to as the Securities. </w:t>
      </w:r>
    </w:p>
    <w:p>
      <w:pPr>
        <w:pStyle w:val="TextBody"/>
        <w:spacing w:before="240" w:after="0"/>
        <w:jc w:val="left"/>
        <w:rPr>
          <w:rFonts w:ascii="Times New Roman" w:hAnsi="Times New Roman"/>
          <w:sz w:val="17"/>
        </w:rPr>
      </w:pPr>
      <w:r>
        <w:rPr>
          <w:rFonts w:ascii="Times New Roman" w:hAnsi="Times New Roman"/>
          <w:sz w:val="17"/>
        </w:rPr>
        <w:t>As counsel for the Company, I have examined such documents, including the Registration Statement, the Indenture between the Company and Deutsche Bank Trust Company Americas, as trustee, as may be supplemented from time to time (the </w:t>
      </w:r>
      <w:r>
        <w:rPr>
          <w:rFonts w:ascii="Times New Roman" w:hAnsi="Times New Roman"/>
          <w:sz w:val="17"/>
          <w:u w:val="single"/>
        </w:rPr>
        <w:t>Indenture</w:t>
      </w:r>
      <w:r>
        <w:rPr>
          <w:rFonts w:ascii="Times New Roman" w:hAnsi="Times New Roman"/>
          <w:sz w:val="17"/>
        </w:rPr>
        <w:t>), the Amended and Restated Certificate of Incorporation and By-laws, as amended, of the Company and certain resolutions of the Board of Directors of the Company (the </w:t>
      </w:r>
      <w:r>
        <w:rPr>
          <w:rFonts w:ascii="Times New Roman" w:hAnsi="Times New Roman"/>
          <w:sz w:val="17"/>
          <w:u w:val="single"/>
        </w:rPr>
        <w:t>Board</w:t>
      </w:r>
      <w:r>
        <w:rPr>
          <w:rFonts w:ascii="Times New Roman" w:hAnsi="Times New Roman"/>
          <w:sz w:val="17"/>
        </w:rPr>
        <w:t>) relating to issuance of the Securities (the </w:t>
      </w:r>
      <w:r>
        <w:rPr>
          <w:rFonts w:ascii="Times New Roman" w:hAnsi="Times New Roman"/>
          <w:sz w:val="17"/>
          <w:u w:val="single"/>
        </w:rPr>
        <w:t>Resolutions</w:t>
      </w:r>
      <w:r>
        <w:rPr>
          <w:rFonts w:ascii="Times New Roman" w:hAnsi="Times New Roman"/>
          <w:sz w:val="17"/>
        </w:rPr>
        <w:t xml:space="preserve">). I have also reviewed such questions of law as I have considered necessary and appropriate for the purposes of the opinions set forth below.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In rendering the opinions set forth below, I have assumed the authenticity of all documents submitted to me as originals, the genuineness of all signatures and the conformity to authentic originals of all documents submitted to me as copies. I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this opinion, I have relied upon certificates of officers of the Company and of public officials. I have also assumed that, at the time of the authentication and delivery of the Securities, the Resolutions will not have been modified or rescinded, there will not have occurred any change in the law affecting the authorization, execution, delivery, validity or enforceability of such Securities, the Registration Statement will be effective and will continue to be effective, none of the particular terms of such Securities will violate any applicable law and neither the issuance and sale thereof nor the compliance by the Company with the terms thereof will result in a violation of any agreement or instrument then binding upon the Company or any order of any court or governmental body having jurisdiction over the Company. </w:t>
      </w:r>
    </w:p>
    <w:p>
      <w:pPr>
        <w:pStyle w:val="TextBody"/>
        <w:spacing w:before="240" w:after="0"/>
        <w:jc w:val="left"/>
        <w:rPr>
          <w:rFonts w:ascii="Times New Roman" w:hAnsi="Times New Roman"/>
          <w:sz w:val="17"/>
        </w:rPr>
      </w:pPr>
      <w:r>
        <w:rPr>
          <w:rFonts w:ascii="Times New Roman" w:hAnsi="Times New Roman"/>
          <w:sz w:val="17"/>
        </w:rPr>
        <w:t xml:space="preserve">Based on the foregoing, and subject to the qualifications and limitations stated herein, I am of the opinion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Company has been duly incorporated and is a validly existing corporation under the laws of the State of Delaware.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2.</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With respect to the Debt Securities, when the specific terms of a series of Debt Securities of the Company have been specified in (i) an Officers Certificate of the Company which has been executed and delivered to the trustee by an officer of the Company authorized to do so by the Resolutions, and (ii) if applicable, in a supplemental indenture, such series of Debt Securities will have been duly authorized by all requisite corporate action and, when executed and authenticated as specified in the Indenture and delivered against payment therefor pursuant to the terms described in the Registration Statement and as specified by an officer of the Company authorized to do so by the Resolutions, will constitute valid and binding obligations of the Company, enforceable in accordance with the terms of such series. This opinion is subject to the following qualifications and exceptions: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3"/>
        <w:gridCol w:w="509"/>
        <w:gridCol w:w="8883"/>
      </w:tblGrid>
      <w:tr>
        <w:trPr/>
        <w:tc>
          <w:tcPr>
            <w:tcW w:w="81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88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opinion is subject to the effect of any applicable bankruptcy, insolvency, reorganization, moratorium or other similar law of general application affecting creditors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3"/>
        <w:gridCol w:w="509"/>
        <w:gridCol w:w="8883"/>
      </w:tblGrid>
      <w:tr>
        <w:trPr/>
        <w:tc>
          <w:tcPr>
            <w:tcW w:w="81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88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opinion is subject to the effect of general principles of equity, including (without limitation) concepts of materiality, reasonableness, good faith and fair dealing, and other similar doctrines affecting the enforceability of agreements generally (regardless of whether considered in a proceeding in equity or at law).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88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of the date of this opinion, a judgment for money in an action based on a Debt Security denominated in a foreign currency or currency unit in a federal or state court in the United States ordinarily would be enforced in the United States only in United States dollars. The date used to determine the rate of conversion into United States dollars of the foreign currency or currency unit in which a particular Debt Security is denominated will depend on various factors, including which court renders the judgment. Under Section 27 of the New York Judiciary Law, a state court in the State of New York rendering a judgment on a Debt Security would be required to render such judgment in the foreign currency or currency unit in which such Debt Security is denominated, and such judgment would be converted into United States dollars at the exchange rate prevailing on the date of entry of the judgment.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3.</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With respect to shares of Common Stock to be offered via the Shelf Prospectus, when the shares of Common Stock have been duly executed, countersigned, registered and delivered either (a) in accordance with the applicable definitive purchase, underwriting or similar agreement approved by the Board or in accordance with the Resolutions upon payment of the consideration therefor (which may not be less than the par value of the Common Stock) provided for therein, or (b) upon conversion, exchange or exercise of any other Security in accordance with the terms thereof or the instrument governing such Security providing for such conversion, exchange or exercise as approved by the Board or in accordance with the Resolutions, for the consideration thereby approved (which may not be not be less than the par value of the Common Stock), the shares of Common Stock will be duly authorized, validly issued, fully paid and non-assessable.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With respect to shares of Preferred Stock, when certificates representing the shares of Preferred Stock have been duly executed, countersigned, registered and delivered either (a) in accordance with the applicable definitive purchase, underwriting or similar agreement approved by the Board or in accordance with the Resolutions upon payment of the consideration provided for therein, or (b) upon conversion, exchange or exercise of any other Security in accordance with the terms thereof or the instrument governing such Security providing for such conversion, exchange or exercise as approved by the Board or in accordance with the Resolutions, for the consideration thereby approved, the shares of Preferred Stock will be duly authorized, validly issued, fully paid and non-assessable.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5.</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Board has taken all necessary corporate action to approve the issuance of shares of Common Stock pursuant to the Plan and, when such shares have been issued and sold pursuant to the Plan in accordance with the Resolutions, the shares of Common Stock will be duly authorized, validly issued, fully paid and non-assessable.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6.</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Board has taken all necessary corporate action to approve the issuance of shares of Common Stock to the Trust and, when such shares have been issued and contributed to the Trust in accordance with the Resolutions, the shares of Common Stock will be duly authorized, validly issued, fully paid and non-assessable; and the 19,712,106 shares of Common Stock held by the Trust as of the date hereof have been duly authorized, validly issued, fully paid and non-assessable.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17"/>
        </w:rPr>
      </w:pPr>
      <w:r>
        <w:rPr>
          <w:rFonts w:ascii="Times New Roman" w:hAnsi="Times New Roman"/>
          <w:sz w:val="17"/>
        </w:rPr>
        <w:t xml:space="preserve">My opinion expressed above is limited to the laws of the State of New York, the General Corporation Law of the State of Delaware (including the applicable provisions of the Delaware Constitution and reported judicial decisions interpreting the Law) and the federal laws of the United States of America, and I express no opinion as to the laws of any other jurisdiction. </w:t>
      </w:r>
    </w:p>
    <w:p>
      <w:pPr>
        <w:pStyle w:val="TextBody"/>
        <w:spacing w:before="240" w:after="0"/>
        <w:jc w:val="left"/>
        <w:rPr>
          <w:rFonts w:ascii="Times New Roman" w:hAnsi="Times New Roman"/>
          <w:sz w:val="17"/>
        </w:rPr>
      </w:pPr>
      <w:r>
        <w:rPr>
          <w:rFonts w:ascii="Times New Roman" w:hAnsi="Times New Roman"/>
          <w:sz w:val="17"/>
        </w:rPr>
        <w:t xml:space="preserve">I hereby consent to the inclusion of this opinion letter as an exhibit to the Registration Statement and the reference to me under the caption Legal Opinions. In giving such consent, I do not thereby admit that I am in the category of persons whose consent is required under Section 7 of the Securities Act of 1933. </w:t>
      </w:r>
    </w:p>
    <w:p>
      <w:pPr>
        <w:pStyle w:val="TextBody"/>
        <w:spacing w:before="0" w:after="0"/>
        <w:jc w:val="left"/>
        <w:rPr/>
      </w:pPr>
      <w:r>
        <w:rPr/>
        <w: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04"/>
        <w:gridCol w:w="90"/>
        <w:gridCol w:w="3688"/>
      </w:tblGrid>
      <w:tr>
        <w:trPr/>
        <w:tc>
          <w:tcPr>
            <w:tcW w:w="30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8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360" w:hRule="atLeast"/>
        </w:trPr>
        <w:tc>
          <w:tcPr>
            <w:tcW w:w="304" w:type="dxa"/>
            <w:tcBorders/>
            <w:shd w:fill="auto" w:val="clear"/>
            <w:vAlign w:val="center"/>
          </w:tcPr>
          <w:p>
            <w:pPr>
              <w:pStyle w:val="TableContents"/>
              <w:spacing w:before="0" w:after="283"/>
              <w:rPr>
                <w:sz w:val="4"/>
                <w:szCs w:val="4"/>
              </w:rPr>
            </w:pPr>
            <w:r>
              <w:rPr>
                <w:sz w:val="4"/>
                <w:szCs w:val="4"/>
              </w:rPr>
            </w:r>
          </w:p>
        </w:tc>
        <w:tc>
          <w:tcPr>
            <w:tcW w:w="3778" w:type="dxa"/>
            <w:gridSpan w:val="2"/>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By:</w:t>
            </w:r>
          </w:p>
        </w:tc>
        <w:tc>
          <w:tcPr>
            <w:tcW w:w="90" w:type="dxa"/>
            <w:tcBorders/>
            <w:shd w:fill="auto" w:val="clear"/>
            <w:vAlign w:val="bottom"/>
          </w:tcPr>
          <w:p>
            <w:pPr>
              <w:pStyle w:val="TableContents"/>
              <w:spacing w:before="0" w:after="283"/>
              <w:rPr/>
            </w:pPr>
            <w:r>
              <w:rPr/>
              <w:t> </w:t>
            </w:r>
          </w:p>
        </w:tc>
        <w:tc>
          <w:tcPr>
            <w:tcW w:w="3688" w:type="dxa"/>
            <w:tcBorders/>
            <w:shd w:fill="auto" w:val="clear"/>
          </w:tcPr>
          <w:p>
            <w:pPr>
              <w:pStyle w:val="TableContents"/>
              <w:spacing w:before="0" w:after="283"/>
              <w:rPr/>
            </w:pPr>
            <w:r>
              <w:rPr/>
              <w:t>/s/ Anne T. Madden, Esq.</w:t>
            </w:r>
          </w:p>
        </w:tc>
      </w:tr>
      <w:tr>
        <w:trPr/>
        <w:tc>
          <w:tcPr>
            <w:tcW w:w="304"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88" w:type="dxa"/>
            <w:tcBorders/>
            <w:shd w:fill="auto" w:val="clear"/>
            <w:vAlign w:val="bottom"/>
          </w:tcPr>
          <w:p>
            <w:pPr>
              <w:pStyle w:val="TableContents"/>
              <w:pBdr>
                <w:top w:val="single" w:sz="2" w:space="1" w:color="000000"/>
              </w:pBdr>
              <w:spacing w:before="0" w:after="0"/>
              <w:rPr/>
            </w:pPr>
            <w:r>
              <w:rPr/>
              <w:t> </w:t>
            </w:r>
          </w:p>
        </w:tc>
      </w:tr>
      <w:tr>
        <w:trPr/>
        <w:tc>
          <w:tcPr>
            <w:tcW w:w="304"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88" w:type="dxa"/>
            <w:tcBorders/>
            <w:shd w:fill="auto" w:val="clear"/>
            <w:vAlign w:val="bottom"/>
          </w:tcPr>
          <w:p>
            <w:pPr>
              <w:pStyle w:val="TableContents"/>
              <w:spacing w:before="0" w:after="283"/>
              <w:rPr/>
            </w:pPr>
            <w:r>
              <w:rPr/>
              <w:t>Anne T. Madden, Esq.</w:t>
            </w:r>
          </w:p>
        </w:tc>
      </w:tr>
    </w:tbl>
    <w:p>
      <w:pPr>
        <w:pStyle w:val="TextBody"/>
        <w:spacing w:before="0" w:after="0"/>
        <w:jc w:val="right"/>
        <w:rPr>
          <w:rFonts w:ascii="Times New Roman" w:hAnsi="Times New Roman"/>
          <w:b/>
          <w:sz w:val="17"/>
        </w:rPr>
      </w:pPr>
      <w:r>
        <w:br w:type="page"/>
      </w:r>
      <w:bookmarkStart w:id="47" w:name="d655836dex231.htm"/>
      <w:bookmarkStart w:id="48" w:name="ksd655836dex231"/>
      <w:bookmarkEnd w:id="47"/>
      <w:bookmarkEnd w:id="48"/>
      <w:r>
        <w:rPr>
          <w:rFonts w:ascii="Times New Roman" w:hAnsi="Times New Roman"/>
          <w:b/>
          <w:sz w:val="17"/>
        </w:rPr>
        <w:t xml:space="preserve">Exhibit 23.1 </w:t>
      </w:r>
    </w:p>
    <w:p>
      <w:pPr>
        <w:pStyle w:val="TextBody"/>
        <w:spacing w:before="240" w:after="0"/>
        <w:jc w:val="center"/>
        <w:rPr>
          <w:rFonts w:ascii="Times New Roman" w:hAnsi="Times New Roman"/>
          <w:b/>
          <w:sz w:val="17"/>
        </w:rPr>
      </w:pPr>
      <w:r>
        <w:rPr>
          <w:rFonts w:ascii="Times New Roman" w:hAnsi="Times New Roman"/>
          <w:b/>
          <w:sz w:val="17"/>
        </w:rPr>
        <w:t xml:space="preserve">CONSENT OF INDEPENDENT REGISTERED PUBLIC ACCOUNTING FIRM </w:t>
      </w:r>
    </w:p>
    <w:p>
      <w:pPr>
        <w:pStyle w:val="TextBody"/>
        <w:spacing w:before="240" w:after="0"/>
        <w:jc w:val="left"/>
        <w:rPr>
          <w:rFonts w:ascii="Times New Roman" w:hAnsi="Times New Roman"/>
          <w:sz w:val="17"/>
        </w:rPr>
      </w:pPr>
      <w:r>
        <w:rPr>
          <w:rFonts w:ascii="Times New Roman" w:hAnsi="Times New Roman"/>
          <w:sz w:val="17"/>
        </w:rPr>
        <w:t xml:space="preserve">We consent to the incorporation by reference in this Registration Statement on Form S-3 of our report dated February 9, 2018, relating to the consolidated financial statements of Honeywell International Inc. and subsidiaries, and the effectiveness of Honeywell International Inc.s internal control over financial reporting, appearing in the Annual Report on Form 10-K of Honeywell International Inc. for the year ended December 31, 2017, and to the reference to us under the heading Experts in the Prospectus, which is part of this Registration Statement. </w:t>
      </w:r>
    </w:p>
    <w:p>
      <w:pPr>
        <w:pStyle w:val="TextBody"/>
        <w:spacing w:before="240" w:after="0"/>
        <w:jc w:val="left"/>
        <w:rPr>
          <w:rFonts w:ascii="Times New Roman" w:hAnsi="Times New Roman"/>
          <w:sz w:val="17"/>
        </w:rPr>
      </w:pPr>
      <w:r>
        <w:rPr>
          <w:rFonts w:ascii="Times New Roman" w:hAnsi="Times New Roman"/>
          <w:sz w:val="17"/>
        </w:rPr>
        <w:t xml:space="preserve">/s/ Deloitte &amp; Touche LLP </w:t>
      </w:r>
    </w:p>
    <w:p>
      <w:pPr>
        <w:pStyle w:val="TextBody"/>
        <w:spacing w:before="240" w:after="0"/>
        <w:jc w:val="left"/>
        <w:rPr>
          <w:rFonts w:ascii="Times New Roman" w:hAnsi="Times New Roman"/>
          <w:sz w:val="17"/>
        </w:rPr>
      </w:pPr>
      <w:r>
        <w:rPr>
          <w:rFonts w:ascii="Times New Roman" w:hAnsi="Times New Roman"/>
          <w:sz w:val="17"/>
        </w:rPr>
        <w:t xml:space="preserve">Parsippany, New Jersey </w:t>
      </w:r>
    </w:p>
    <w:p>
      <w:pPr>
        <w:pStyle w:val="TextBody"/>
        <w:spacing w:before="0" w:after="0"/>
        <w:jc w:val="left"/>
        <w:rPr>
          <w:rFonts w:ascii="Times New Roman" w:hAnsi="Times New Roman"/>
          <w:sz w:val="17"/>
        </w:rPr>
      </w:pPr>
      <w:r>
        <w:rPr>
          <w:rFonts w:ascii="Times New Roman" w:hAnsi="Times New Roman"/>
          <w:sz w:val="17"/>
        </w:rPr>
        <w:t xml:space="preserve">December 10, 2018 </w:t>
      </w:r>
      <w:r>
        <w:br w:type="page"/>
      </w:r>
    </w:p>
    <w:p>
      <w:pPr>
        <w:pStyle w:val="TextBody"/>
        <w:spacing w:before="0" w:after="0"/>
        <w:jc w:val="right"/>
        <w:rPr>
          <w:rFonts w:ascii="Times New Roman" w:hAnsi="Times New Roman"/>
          <w:b/>
          <w:sz w:val="17"/>
        </w:rPr>
      </w:pPr>
      <w:bookmarkStart w:id="49" w:name="d655836dex242.htm"/>
      <w:bookmarkStart w:id="50" w:name="ksd655836dex242"/>
      <w:bookmarkEnd w:id="49"/>
      <w:bookmarkEnd w:id="50"/>
      <w:r>
        <w:rPr>
          <w:rFonts w:ascii="Times New Roman" w:hAnsi="Times New Roman"/>
          <w:b/>
          <w:sz w:val="17"/>
        </w:rPr>
        <w:t xml:space="preserve">Exhibit 24.2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POWER OF ATTORNEY </w:t>
      </w:r>
    </w:p>
    <w:p>
      <w:pPr>
        <w:pStyle w:val="TextBody"/>
        <w:spacing w:before="240" w:after="0"/>
        <w:jc w:val="left"/>
        <w:rPr>
          <w:rFonts w:ascii="Times New Roman" w:hAnsi="Times New Roman"/>
          <w:sz w:val="17"/>
        </w:rPr>
      </w:pPr>
      <w:r>
        <w:rPr>
          <w:rFonts w:ascii="Times New Roman" w:hAnsi="Times New Roman"/>
          <w:sz w:val="17"/>
        </w:rPr>
        <w:t xml:space="preserve">The undersigned, as a director of Honeywell International Inc. (the Company), a Delaware corporation, hereby appoints Darius Adamczyk, Anne T. Madden, Jennifer H. Mak, Thomas A. Szlosek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2018, and to file the same together with all exhibits thereto, under the Securities Act of 1933, including any amendment or supplement thereto or to any registration statement heretofore filed by the Company for the registration of sales or resales of: </w:t>
      </w:r>
    </w:p>
    <w:p>
      <w:pPr>
        <w:pStyle w:val="TextBody"/>
        <w:spacing w:before="240" w:after="0"/>
        <w:jc w:val="left"/>
        <w:rPr>
          <w:rFonts w:ascii="Times New Roman" w:hAnsi="Times New Roman"/>
          <w:sz w:val="17"/>
        </w:rPr>
      </w:pPr>
      <w:r>
        <w:rPr>
          <w:rFonts w:ascii="Times New Roman" w:hAnsi="Times New Roman"/>
          <w:sz w:val="17"/>
        </w:rPr>
        <w:t xml:space="preserve">(i) shares of the Companys common stock, par value, $1.00 per share, including shares of common stock to be offered under the Dividend Reinvestment and Share Purchase Plan of the Company and any successor or new plan for such purposes; </w:t>
      </w:r>
    </w:p>
    <w:p>
      <w:pPr>
        <w:pStyle w:val="TextBody"/>
        <w:spacing w:before="240" w:after="0"/>
        <w:jc w:val="left"/>
        <w:rPr>
          <w:rFonts w:ascii="Times New Roman" w:hAnsi="Times New Roman"/>
          <w:sz w:val="17"/>
        </w:rPr>
      </w:pPr>
      <w:r>
        <w:rPr>
          <w:rFonts w:ascii="Times New Roman" w:hAnsi="Times New Roman"/>
          <w:sz w:val="17"/>
        </w:rPr>
        <w:t xml:space="preserve">(ii) shares of the Companys preferred stock, without par value; </w:t>
      </w:r>
    </w:p>
    <w:p>
      <w:pPr>
        <w:pStyle w:val="TextBody"/>
        <w:spacing w:before="240" w:after="0"/>
        <w:jc w:val="left"/>
        <w:rPr>
          <w:rFonts w:ascii="Times New Roman" w:hAnsi="Times New Roman"/>
          <w:sz w:val="17"/>
        </w:rPr>
      </w:pPr>
      <w:r>
        <w:rPr>
          <w:rFonts w:ascii="Times New Roman" w:hAnsi="Times New Roman"/>
          <w:sz w:val="17"/>
        </w:rPr>
        <w:t xml:space="preserve">(iii) debt securities of the Company, with such terms as may be from time to time specified in such registration statement or any amendment, post-effective amendment or supplement thereto; and </w:t>
      </w:r>
    </w:p>
    <w:p>
      <w:pPr>
        <w:pStyle w:val="TextBody"/>
        <w:spacing w:before="240" w:after="0"/>
        <w:jc w:val="left"/>
        <w:rPr>
          <w:rFonts w:ascii="Times New Roman" w:hAnsi="Times New Roman"/>
          <w:sz w:val="17"/>
        </w:rPr>
      </w:pPr>
      <w:r>
        <w:rPr>
          <w:rFonts w:ascii="Times New Roman" w:hAnsi="Times New Roman"/>
          <w:sz w:val="17"/>
        </w:rPr>
        <w:t xml:space="preserve">(iv) 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 </w:t>
      </w:r>
    </w:p>
    <w:p>
      <w:pPr>
        <w:pStyle w:val="TextBody"/>
        <w:spacing w:before="240" w:after="0"/>
        <w:jc w:val="left"/>
        <w:rPr>
          <w:rFonts w:ascii="Times New Roman" w:hAnsi="Times New Roman"/>
          <w:sz w:val="17"/>
        </w:rPr>
      </w:pPr>
      <w:r>
        <w:rPr>
          <w:rFonts w:ascii="Times New Roman" w:hAnsi="Times New Roman"/>
          <w:sz w:val="17"/>
        </w:rPr>
        <w:t xml:space="preserve">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 </w:t>
      </w:r>
    </w:p>
    <w:p>
      <w:pPr>
        <w:pStyle w:val="TextBody"/>
        <w:spacing w:before="240" w:after="0"/>
        <w:jc w:val="left"/>
        <w:rPr>
          <w:rFonts w:ascii="Times New Roman" w:hAnsi="Times New Roman"/>
          <w:sz w:val="17"/>
        </w:rPr>
      </w:pPr>
      <w:r>
        <w:rPr>
          <w:rFonts w:ascii="Times New Roman" w:hAnsi="Times New Roman"/>
          <w:sz w:val="17"/>
        </w:rPr>
        <w:t xml:space="preserve">I hereby revoke any or all prior appointments of attorneys-in-fact to the extent that they confer authority to sign the above-described documents.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Duncan B. Angove</w:t>
            </w:r>
          </w:p>
        </w:tc>
      </w:tr>
      <w:tr>
        <w:trPr/>
        <w:tc>
          <w:tcPr>
            <w:tcW w:w="4082" w:type="dxa"/>
            <w:tcBorders/>
            <w:shd w:fill="auto" w:val="clear"/>
          </w:tcPr>
          <w:p>
            <w:pPr>
              <w:pStyle w:val="TableContents"/>
              <w:spacing w:before="0" w:after="283"/>
              <w:rPr/>
            </w:pPr>
            <w:r>
              <w:rPr/>
              <w:t>Duncan B. Angove, Director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Dated: March 15, 2018</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POWER OF ATTORNEY </w:t>
      </w:r>
    </w:p>
    <w:p>
      <w:pPr>
        <w:pStyle w:val="TextBody"/>
        <w:spacing w:before="240" w:after="0"/>
        <w:jc w:val="left"/>
        <w:rPr>
          <w:rFonts w:ascii="Times New Roman" w:hAnsi="Times New Roman"/>
          <w:sz w:val="17"/>
        </w:rPr>
      </w:pPr>
      <w:r>
        <w:rPr>
          <w:rFonts w:ascii="Times New Roman" w:hAnsi="Times New Roman"/>
          <w:sz w:val="17"/>
        </w:rPr>
        <w:t xml:space="preserve">The undersigned, as a director of Honeywell International Inc. (the Company), a Delaware corporation, hereby appoints Darius Adamczyk, Anne T. Madden, Jennifer H. Mak, Thomas A. Szlosek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2018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 </w:t>
      </w:r>
    </w:p>
    <w:p>
      <w:pPr>
        <w:pStyle w:val="TextBody"/>
        <w:spacing w:before="240" w:after="0"/>
        <w:jc w:val="left"/>
        <w:rPr>
          <w:rFonts w:ascii="Times New Roman" w:hAnsi="Times New Roman"/>
          <w:sz w:val="17"/>
        </w:rPr>
      </w:pPr>
      <w:r>
        <w:rPr>
          <w:rFonts w:ascii="Times New Roman" w:hAnsi="Times New Roman"/>
          <w:sz w:val="17"/>
        </w:rPr>
        <w:t xml:space="preserve">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 </w:t>
      </w:r>
    </w:p>
    <w:p>
      <w:pPr>
        <w:pStyle w:val="TextBody"/>
        <w:spacing w:before="240" w:after="0"/>
        <w:jc w:val="left"/>
        <w:rPr>
          <w:rFonts w:ascii="Times New Roman" w:hAnsi="Times New Roman"/>
          <w:sz w:val="17"/>
        </w:rPr>
      </w:pPr>
      <w:r>
        <w:rPr>
          <w:rFonts w:ascii="Times New Roman" w:hAnsi="Times New Roman"/>
          <w:sz w:val="17"/>
        </w:rPr>
        <w:t xml:space="preserve">I hereby revoke any or all prior appointments of attorneys-in-fact to sign the above-described documents.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Duncan B. Angove</w:t>
            </w:r>
          </w:p>
        </w:tc>
      </w:tr>
      <w:tr>
        <w:trPr/>
        <w:tc>
          <w:tcPr>
            <w:tcW w:w="4082" w:type="dxa"/>
            <w:tcBorders/>
            <w:shd w:fill="auto" w:val="clear"/>
          </w:tcPr>
          <w:p>
            <w:pPr>
              <w:pStyle w:val="TableContents"/>
              <w:spacing w:before="0" w:after="283"/>
              <w:rPr/>
            </w:pPr>
            <w:r>
              <w:rPr/>
              <w:t>Duncan B. Angove, Director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Dated: March 15, 2018</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POWER OF ATTORNEY </w:t>
      </w:r>
    </w:p>
    <w:p>
      <w:pPr>
        <w:pStyle w:val="TextBody"/>
        <w:spacing w:before="240" w:after="0"/>
        <w:jc w:val="left"/>
        <w:rPr>
          <w:rFonts w:ascii="Times New Roman" w:hAnsi="Times New Roman"/>
          <w:sz w:val="17"/>
        </w:rPr>
      </w:pPr>
      <w:r>
        <w:rPr>
          <w:rFonts w:ascii="Times New Roman" w:hAnsi="Times New Roman"/>
          <w:sz w:val="17"/>
        </w:rPr>
        <w:t xml:space="preserve">The undersigned, as a director of Honeywell International Inc. (the Company), a Delaware corporation, hereby appoints Darius Adamczyk, Anne T. Madden, Jennifer H. Mak, Thomas A. Szlosek and John J. Tus, each with power to act without the other and with power of substitution and resubstitution, as my attorney-in-fact and agent for me and in my name, place and stead in any and all capacities, </w:t>
      </w:r>
    </w:p>
    <w:p>
      <w:pPr>
        <w:pStyle w:val="TextBody"/>
        <w:spacing w:before="240" w:after="0"/>
        <w:jc w:val="left"/>
        <w:rPr>
          <w:rFonts w:ascii="Times New Roman" w:hAnsi="Times New Roman"/>
          <w:sz w:val="17"/>
        </w:rPr>
      </w:pPr>
      <w:r>
        <w:rPr>
          <w:rFonts w:ascii="Times New Roman" w:hAnsi="Times New Roman"/>
          <w:sz w:val="17"/>
        </w:rPr>
        <w:t xml:space="preserve">(i) to sign the Companys Annual Report on Form 10-K under the Securities Exchange Act of 1934 for the year ended December 31, 2017, </w:t>
      </w:r>
    </w:p>
    <w:p>
      <w:pPr>
        <w:pStyle w:val="TextBody"/>
        <w:spacing w:before="240" w:after="0"/>
        <w:jc w:val="left"/>
        <w:rPr>
          <w:rFonts w:ascii="Times New Roman" w:hAnsi="Times New Roman"/>
          <w:sz w:val="17"/>
        </w:rPr>
      </w:pPr>
      <w:r>
        <w:rPr>
          <w:rFonts w:ascii="Times New Roman" w:hAnsi="Times New Roman"/>
          <w:sz w:val="17"/>
        </w:rPr>
        <w:t xml:space="preserve">(ii) to sign any amendment to the Annual Report referred to in (i) above, and </w:t>
      </w:r>
    </w:p>
    <w:p>
      <w:pPr>
        <w:pStyle w:val="TextBody"/>
        <w:spacing w:before="240" w:after="0"/>
        <w:jc w:val="left"/>
        <w:rPr>
          <w:rFonts w:ascii="Times New Roman" w:hAnsi="Times New Roman"/>
          <w:sz w:val="17"/>
        </w:rPr>
      </w:pPr>
      <w:r>
        <w:rPr>
          <w:rFonts w:ascii="Times New Roman" w:hAnsi="Times New Roman"/>
          <w:sz w:val="17"/>
        </w:rPr>
        <w:t xml:space="preserve">(iii) to file the documents described in (i) and (ii) above and all exhibits thereto and any and all other documents in connection therewith, </w:t>
      </w:r>
    </w:p>
    <w:p>
      <w:pPr>
        <w:pStyle w:val="TextBody"/>
        <w:spacing w:before="240" w:after="0"/>
        <w:jc w:val="left"/>
        <w:rPr>
          <w:rFonts w:ascii="Times New Roman" w:hAnsi="Times New Roman"/>
          <w:sz w:val="17"/>
        </w:rPr>
      </w:pPr>
      <w:r>
        <w:rPr>
          <w:rFonts w:ascii="Times New Roman" w:hAnsi="Times New Roman"/>
          <w:sz w:val="17"/>
        </w:rPr>
        <w:t xml:space="preserve">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Duncan B. Angove</w:t>
            </w:r>
          </w:p>
        </w:tc>
      </w:tr>
      <w:tr>
        <w:trPr/>
        <w:tc>
          <w:tcPr>
            <w:tcW w:w="4082" w:type="dxa"/>
            <w:tcBorders/>
            <w:shd w:fill="auto" w:val="clear"/>
          </w:tcPr>
          <w:p>
            <w:pPr>
              <w:pStyle w:val="TableContents"/>
              <w:spacing w:before="0" w:after="283"/>
              <w:rPr/>
            </w:pPr>
            <w:r>
              <w:rPr/>
              <w:t>Duncan B. Angove, Director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Dated: March 15, 2018</w:t>
            </w:r>
          </w:p>
        </w:tc>
      </w:tr>
    </w:tbl>
    <w:p>
      <w:pPr>
        <w:pStyle w:val="TextBody"/>
        <w:spacing w:before="0" w:after="0"/>
        <w:jc w:val="right"/>
        <w:rPr>
          <w:rFonts w:ascii="Times New Roman" w:hAnsi="Times New Roman"/>
          <w:b/>
          <w:sz w:val="17"/>
        </w:rPr>
      </w:pPr>
      <w:r>
        <w:br w:type="page"/>
      </w:r>
      <w:bookmarkStart w:id="51" w:name="d655836dex251.htm"/>
      <w:bookmarkStart w:id="52" w:name="ksd655836dex251"/>
      <w:bookmarkEnd w:id="51"/>
      <w:bookmarkEnd w:id="52"/>
      <w:r>
        <w:rPr>
          <w:rFonts w:ascii="Times New Roman" w:hAnsi="Times New Roman"/>
          <w:b/>
          <w:sz w:val="17"/>
        </w:rPr>
        <w:t xml:space="preserve">Exhibit 25.1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UNITED STATES </w:t>
      </w:r>
    </w:p>
    <w:p>
      <w:pPr>
        <w:pStyle w:val="TextBody"/>
        <w:spacing w:before="0" w:after="0"/>
        <w:jc w:val="center"/>
        <w:rPr>
          <w:rFonts w:ascii="Times New Roman" w:hAnsi="Times New Roman"/>
          <w:b/>
          <w:sz w:val="20"/>
        </w:rPr>
      </w:pPr>
      <w:r>
        <w:rPr>
          <w:rFonts w:ascii="Times New Roman" w:hAnsi="Times New Roman"/>
          <w:b/>
          <w:sz w:val="2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2" w:space="1" w:color="000000"/>
        </w:pBdr>
        <w:spacing w:lineRule="atLeast" w:line="141" w:before="0" w:after="40"/>
        <w:jc w:val="center"/>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FORM T-1 </w:t>
      </w:r>
    </w:p>
    <w:p>
      <w:pPr>
        <w:pStyle w:val="TextBody"/>
        <w:spacing w:before="120" w:after="0"/>
        <w:jc w:val="left"/>
        <w:rPr>
          <w:rFonts w:ascii="Times New Roman" w:hAnsi="Times New Roman"/>
          <w:sz w:val="17"/>
        </w:rPr>
      </w:pPr>
      <w:r>
        <w:rPr>
          <w:rFonts w:ascii="Times New Roman" w:hAnsi="Times New Roman"/>
          <w:sz w:val="17"/>
        </w:rPr>
        <w:t xml:space="preserve">STATEMENT OF ELIGIBILITY UNDER THE TRUST INDENTURE ACT OF 1939 OF A CORPORATION DESIGNATED TO ACT AS TRUSTEE </w:t>
      </w:r>
    </w:p>
    <w:p>
      <w:pPr>
        <w:pStyle w:val="TextBody"/>
        <w:spacing w:before="200" w:after="0"/>
        <w:jc w:val="left"/>
        <w:rPr>
          <w:rFonts w:ascii="Times New Roman" w:hAnsi="Times New Roman"/>
          <w:sz w:val="17"/>
        </w:rPr>
      </w:pPr>
      <w:r>
        <w:rPr>
          <w:rFonts w:ascii="Times New Roman" w:hAnsi="Times New Roman"/>
          <w:sz w:val="17"/>
        </w:rPr>
        <w:t xml:space="preserve">CHECK IF AN APPLICATION TO DETERMINE ELIGIBILITY OF A TRUSTEE PURSUANT TO SECTION 305(b)(2)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0"/>
        </w:rPr>
      </w:pPr>
      <w:r>
        <w:rPr>
          <w:rFonts w:ascii="Times New Roman" w:hAnsi="Times New Roman"/>
          <w:b/>
          <w:sz w:val="20"/>
        </w:rPr>
        <w:t xml:space="preserve">DEUTSCHE BANK TRUST COMPANY AMERICAS </w:t>
      </w:r>
    </w:p>
    <w:p>
      <w:pPr>
        <w:pStyle w:val="TextBody"/>
        <w:spacing w:before="0" w:after="0"/>
        <w:jc w:val="center"/>
        <w:rPr>
          <w:rFonts w:ascii="Times New Roman" w:hAnsi="Times New Roman"/>
          <w:b/>
          <w:sz w:val="20"/>
        </w:rPr>
      </w:pPr>
      <w:r>
        <w:rPr>
          <w:rFonts w:ascii="Times New Roman" w:hAnsi="Times New Roman"/>
          <w:b/>
          <w:sz w:val="20"/>
        </w:rPr>
        <w:t xml:space="preserve">(formerly BANKERS TRUST COMPANY) </w:t>
      </w:r>
    </w:p>
    <w:p>
      <w:pPr>
        <w:pStyle w:val="TextBody"/>
        <w:spacing w:before="0" w:after="0"/>
        <w:jc w:val="center"/>
        <w:rPr>
          <w:rFonts w:ascii="Times New Roman" w:hAnsi="Times New Roman"/>
          <w:sz w:val="13"/>
        </w:rPr>
      </w:pPr>
      <w:r>
        <w:rPr>
          <w:rFonts w:ascii="Times New Roman" w:hAnsi="Times New Roman"/>
          <w:sz w:val="13"/>
        </w:rPr>
        <w:t xml:space="preserve">(Exact name of trustee as specified in its charter)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838"/>
        <w:gridCol w:w="204"/>
        <w:gridCol w:w="3163"/>
      </w:tblGrid>
      <w:tr>
        <w:trPr/>
        <w:tc>
          <w:tcPr>
            <w:tcW w:w="683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163" w:type="dxa"/>
            <w:tcBorders/>
            <w:shd w:fill="auto" w:val="clear"/>
            <w:vAlign w:val="center"/>
          </w:tcPr>
          <w:p>
            <w:pPr>
              <w:pStyle w:val="TableContents"/>
              <w:spacing w:before="0" w:after="283"/>
              <w:rPr>
                <w:sz w:val="4"/>
                <w:szCs w:val="4"/>
              </w:rPr>
            </w:pPr>
            <w:r>
              <w:rPr>
                <w:sz w:val="4"/>
                <w:szCs w:val="4"/>
              </w:rPr>
            </w:r>
          </w:p>
        </w:tc>
      </w:tr>
      <w:tr>
        <w:trPr/>
        <w:tc>
          <w:tcPr>
            <w:tcW w:w="6838" w:type="dxa"/>
            <w:tcBorders/>
            <w:shd w:fill="auto" w:val="clear"/>
          </w:tcPr>
          <w:p>
            <w:pPr>
              <w:pStyle w:val="TableContents"/>
              <w:spacing w:before="0" w:after="283"/>
              <w:rPr/>
            </w:pPr>
            <w:r>
              <w:rPr/>
              <w:t>                  </w:t>
            </w:r>
            <w:r>
              <w:rPr>
                <w:b/>
              </w:rPr>
              <w:t>NEW YORK</w:t>
            </w:r>
          </w:p>
        </w:tc>
        <w:tc>
          <w:tcPr>
            <w:tcW w:w="204"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     </w:t>
            </w:r>
            <w:r>
              <w:rPr>
                <w:b/>
              </w:rPr>
              <w:t>13-4941247</w:t>
            </w:r>
          </w:p>
        </w:tc>
      </w:tr>
      <w:tr>
        <w:trPr/>
        <w:tc>
          <w:tcPr>
            <w:tcW w:w="6838" w:type="dxa"/>
            <w:tcBorders/>
            <w:shd w:fill="auto" w:val="clear"/>
          </w:tcPr>
          <w:p>
            <w:pPr>
              <w:pStyle w:val="TableContents"/>
              <w:spacing w:before="0" w:after="283"/>
              <w:rPr/>
            </w:pPr>
            <w:r>
              <w:rPr/>
              <w:t>(Jurisdiction of Incorporation or</w:t>
            </w:r>
          </w:p>
        </w:tc>
        <w:tc>
          <w:tcPr>
            <w:tcW w:w="204"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(I.R.S. Employer</w:t>
            </w:r>
          </w:p>
        </w:tc>
      </w:tr>
      <w:tr>
        <w:trPr/>
        <w:tc>
          <w:tcPr>
            <w:tcW w:w="6838" w:type="dxa"/>
            <w:tcBorders/>
            <w:shd w:fill="auto" w:val="clear"/>
          </w:tcPr>
          <w:p>
            <w:pPr>
              <w:pStyle w:val="TableContents"/>
              <w:spacing w:before="0" w:after="283"/>
              <w:rPr/>
            </w:pPr>
            <w:r>
              <w:rPr/>
              <w:t>organization if not a U.S. national bank)</w:t>
            </w:r>
          </w:p>
        </w:tc>
        <w:tc>
          <w:tcPr>
            <w:tcW w:w="204"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Identification no.)</w:t>
            </w:r>
          </w:p>
        </w:tc>
      </w:tr>
    </w:tbl>
    <w:tbl>
      <w:tblPr>
        <w:tblW w:w="4000" w:type="pct"/>
        <w:jc w:val="center"/>
        <w:tblInd w:w="0" w:type="dxa"/>
        <w:tblCellMar>
          <w:top w:w="0" w:type="dxa"/>
          <w:left w:w="0" w:type="dxa"/>
          <w:bottom w:w="0" w:type="dxa"/>
          <w:right w:w="0" w:type="dxa"/>
        </w:tblCellMar>
      </w:tblPr>
      <w:tblGrid>
        <w:gridCol w:w="5470"/>
        <w:gridCol w:w="163"/>
        <w:gridCol w:w="2531"/>
      </w:tblGrid>
      <w:tr>
        <w:trPr/>
        <w:tc>
          <w:tcPr>
            <w:tcW w:w="547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r>
      <w:tr>
        <w:trPr>
          <w:trHeight w:val="195" w:hRule="atLeast"/>
        </w:trPr>
        <w:tc>
          <w:tcPr>
            <w:tcW w:w="5470" w:type="dxa"/>
            <w:tcBorders/>
            <w:shd w:fill="auto" w:val="clear"/>
            <w:vAlign w:val="center"/>
          </w:tcPr>
          <w:p>
            <w:pPr>
              <w:pStyle w:val="TableContents"/>
              <w:spacing w:before="0" w:after="283"/>
              <w:rPr>
                <w:sz w:val="4"/>
                <w:szCs w:val="4"/>
              </w:rPr>
            </w:pPr>
            <w:r>
              <w:rPr>
                <w:sz w:val="4"/>
                <w:szCs w:val="4"/>
              </w:rPr>
            </w:r>
          </w:p>
        </w:tc>
        <w:tc>
          <w:tcPr>
            <w:tcW w:w="2694" w:type="dxa"/>
            <w:gridSpan w:val="2"/>
            <w:tcBorders/>
            <w:shd w:fill="auto" w:val="clear"/>
            <w:vAlign w:val="center"/>
          </w:tcPr>
          <w:p>
            <w:pPr>
              <w:pStyle w:val="TableContents"/>
              <w:spacing w:before="0" w:after="283"/>
              <w:rPr>
                <w:sz w:val="4"/>
                <w:szCs w:val="4"/>
              </w:rPr>
            </w:pPr>
            <w:r>
              <w:rPr>
                <w:sz w:val="4"/>
                <w:szCs w:val="4"/>
              </w:rPr>
            </w:r>
          </w:p>
        </w:tc>
      </w:tr>
      <w:tr>
        <w:trPr/>
        <w:tc>
          <w:tcPr>
            <w:tcW w:w="5470" w:type="dxa"/>
            <w:tcBorders/>
            <w:shd w:fill="auto" w:val="clear"/>
          </w:tcPr>
          <w:p>
            <w:pPr>
              <w:pStyle w:val="TableContents"/>
              <w:spacing w:before="0" w:after="283"/>
              <w:rPr>
                <w:b/>
              </w:rPr>
            </w:pPr>
            <w:r>
              <w:rPr>
                <w:b/>
              </w:rPr>
              <w:t>60 WALL STREET</w:t>
            </w:r>
          </w:p>
        </w:tc>
        <w:tc>
          <w:tcPr>
            <w:tcW w:w="163" w:type="dxa"/>
            <w:tcBorders/>
            <w:shd w:fill="auto" w:val="clear"/>
            <w:vAlign w:val="bottom"/>
          </w:tcPr>
          <w:p>
            <w:pPr>
              <w:pStyle w:val="TableContents"/>
              <w:spacing w:before="0" w:after="283"/>
              <w:rPr/>
            </w:pPr>
            <w:r>
              <w:rPr/>
              <w:t>  </w:t>
            </w:r>
          </w:p>
        </w:tc>
        <w:tc>
          <w:tcPr>
            <w:tcW w:w="2531" w:type="dxa"/>
            <w:tcBorders/>
            <w:shd w:fill="auto" w:val="clear"/>
          </w:tcPr>
          <w:p>
            <w:pPr>
              <w:pStyle w:val="TableContents"/>
              <w:spacing w:before="0" w:after="283"/>
              <w:rPr>
                <w:sz w:val="4"/>
                <w:szCs w:val="4"/>
              </w:rPr>
            </w:pPr>
            <w:r>
              <w:rPr>
                <w:sz w:val="4"/>
                <w:szCs w:val="4"/>
              </w:rPr>
            </w:r>
          </w:p>
        </w:tc>
      </w:tr>
      <w:tr>
        <w:trPr/>
        <w:tc>
          <w:tcPr>
            <w:tcW w:w="5470" w:type="dxa"/>
            <w:tcBorders/>
            <w:shd w:fill="auto" w:val="clear"/>
          </w:tcPr>
          <w:p>
            <w:pPr>
              <w:pStyle w:val="TableContents"/>
              <w:spacing w:before="0" w:after="283"/>
              <w:rPr>
                <w:b/>
              </w:rPr>
            </w:pPr>
            <w:r>
              <w:rPr>
                <w:b/>
              </w:rPr>
              <w:t>NEW YORK, NEW YORK</w:t>
            </w:r>
          </w:p>
        </w:tc>
        <w:tc>
          <w:tcPr>
            <w:tcW w:w="163" w:type="dxa"/>
            <w:tcBorders/>
            <w:shd w:fill="auto" w:val="clear"/>
            <w:vAlign w:val="bottom"/>
          </w:tcPr>
          <w:p>
            <w:pPr>
              <w:pStyle w:val="TableContents"/>
              <w:spacing w:before="0" w:after="283"/>
              <w:rPr/>
            </w:pPr>
            <w:r>
              <w:rPr/>
              <w:t>  </w:t>
            </w:r>
          </w:p>
        </w:tc>
        <w:tc>
          <w:tcPr>
            <w:tcW w:w="2531" w:type="dxa"/>
            <w:tcBorders/>
            <w:shd w:fill="auto" w:val="clear"/>
          </w:tcPr>
          <w:p>
            <w:pPr>
              <w:pStyle w:val="TableContents"/>
              <w:spacing w:before="0" w:after="283"/>
              <w:rPr/>
            </w:pPr>
            <w:r>
              <w:rPr/>
              <w:t>    </w:t>
            </w:r>
            <w:r>
              <w:rPr>
                <w:b/>
              </w:rPr>
              <w:t>10005</w:t>
            </w:r>
          </w:p>
        </w:tc>
      </w:tr>
      <w:tr>
        <w:trPr/>
        <w:tc>
          <w:tcPr>
            <w:tcW w:w="5470" w:type="dxa"/>
            <w:tcBorders/>
            <w:shd w:fill="auto" w:val="clear"/>
          </w:tcPr>
          <w:p>
            <w:pPr>
              <w:pStyle w:val="TableContents"/>
              <w:spacing w:before="0" w:after="283"/>
              <w:rPr/>
            </w:pPr>
            <w:r>
              <w:rPr/>
              <w:t>(Address of principal</w:t>
            </w:r>
          </w:p>
        </w:tc>
        <w:tc>
          <w:tcPr>
            <w:tcW w:w="163" w:type="dxa"/>
            <w:tcBorders/>
            <w:shd w:fill="auto" w:val="clear"/>
            <w:vAlign w:val="bottom"/>
          </w:tcPr>
          <w:p>
            <w:pPr>
              <w:pStyle w:val="TableContents"/>
              <w:spacing w:before="0" w:after="283"/>
              <w:rPr/>
            </w:pPr>
            <w:r>
              <w:rPr/>
              <w:t>  </w:t>
            </w:r>
          </w:p>
        </w:tc>
        <w:tc>
          <w:tcPr>
            <w:tcW w:w="2531" w:type="dxa"/>
            <w:tcBorders/>
            <w:shd w:fill="auto" w:val="clear"/>
          </w:tcPr>
          <w:p>
            <w:pPr>
              <w:pStyle w:val="TableContents"/>
              <w:spacing w:before="0" w:after="283"/>
              <w:rPr/>
            </w:pPr>
            <w:r>
              <w:rPr/>
              <w:t>(Zip Code)</w:t>
            </w:r>
          </w:p>
        </w:tc>
      </w:tr>
      <w:tr>
        <w:trPr/>
        <w:tc>
          <w:tcPr>
            <w:tcW w:w="5470" w:type="dxa"/>
            <w:tcBorders/>
            <w:shd w:fill="auto" w:val="clear"/>
          </w:tcPr>
          <w:p>
            <w:pPr>
              <w:pStyle w:val="TableContents"/>
              <w:spacing w:before="0" w:after="283"/>
              <w:rPr/>
            </w:pPr>
            <w:r>
              <w:rPr/>
              <w:t>executive offices)</w:t>
            </w:r>
          </w:p>
        </w:tc>
        <w:tc>
          <w:tcPr>
            <w:tcW w:w="163" w:type="dxa"/>
            <w:tcBorders/>
            <w:shd w:fill="auto" w:val="clear"/>
            <w:vAlign w:val="bottom"/>
          </w:tcPr>
          <w:p>
            <w:pPr>
              <w:pStyle w:val="TableContents"/>
              <w:spacing w:before="0" w:after="283"/>
              <w:rPr/>
            </w:pPr>
            <w:r>
              <w:rPr/>
              <w:t>  </w:t>
            </w:r>
          </w:p>
        </w:tc>
        <w:tc>
          <w:tcPr>
            <w:tcW w:w="2531" w:type="dxa"/>
            <w:tcBorders/>
            <w:shd w:fill="auto" w:val="clear"/>
          </w:tcPr>
          <w:p>
            <w:pPr>
              <w:pStyle w:val="TableContents"/>
              <w:spacing w:before="0" w:after="283"/>
              <w:rPr>
                <w:sz w:val="4"/>
                <w:szCs w:val="4"/>
              </w:rPr>
            </w:pPr>
            <w:r>
              <w:rPr>
                <w:sz w:val="4"/>
                <w:szCs w:val="4"/>
              </w:rPr>
            </w:r>
          </w:p>
        </w:tc>
      </w:tr>
    </w:tbl>
    <w:p>
      <w:pPr>
        <w:pStyle w:val="TextBody"/>
        <w:spacing w:before="40" w:after="0"/>
        <w:jc w:val="center"/>
        <w:rPr>
          <w:rFonts w:ascii="Times New Roman" w:hAnsi="Times New Roman"/>
          <w:b/>
          <w:sz w:val="15"/>
        </w:rPr>
      </w:pPr>
      <w:r>
        <w:rPr>
          <w:rFonts w:ascii="Times New Roman" w:hAnsi="Times New Roman"/>
          <w:b/>
          <w:sz w:val="15"/>
        </w:rPr>
        <w:t xml:space="preserve">Deutsche Bank Trust Company Americas </w:t>
      </w:r>
    </w:p>
    <w:p>
      <w:pPr>
        <w:pStyle w:val="TextBody"/>
        <w:spacing w:before="0" w:after="0"/>
        <w:jc w:val="center"/>
        <w:rPr>
          <w:rFonts w:ascii="Times New Roman" w:hAnsi="Times New Roman"/>
          <w:b/>
          <w:sz w:val="15"/>
        </w:rPr>
      </w:pPr>
      <w:r>
        <w:rPr>
          <w:rFonts w:ascii="Times New Roman" w:hAnsi="Times New Roman"/>
          <w:b/>
          <w:sz w:val="15"/>
        </w:rPr>
        <w:t xml:space="preserve">Attention: Catherine Wang </w:t>
      </w:r>
    </w:p>
    <w:p>
      <w:pPr>
        <w:pStyle w:val="TextBody"/>
        <w:spacing w:before="0" w:after="0"/>
        <w:jc w:val="center"/>
        <w:rPr>
          <w:rFonts w:ascii="Times New Roman" w:hAnsi="Times New Roman"/>
          <w:b/>
          <w:sz w:val="15"/>
        </w:rPr>
      </w:pPr>
      <w:r>
        <w:rPr>
          <w:rFonts w:ascii="Times New Roman" w:hAnsi="Times New Roman"/>
          <w:b/>
          <w:sz w:val="15"/>
        </w:rPr>
        <w:t xml:space="preserve">Legal Department </w:t>
      </w:r>
    </w:p>
    <w:p>
      <w:pPr>
        <w:pStyle w:val="TextBody"/>
        <w:spacing w:before="0" w:after="0"/>
        <w:jc w:val="center"/>
        <w:rPr>
          <w:rFonts w:ascii="Times New Roman" w:hAnsi="Times New Roman"/>
          <w:b/>
          <w:sz w:val="15"/>
        </w:rPr>
      </w:pPr>
      <w:r>
        <w:rPr>
          <w:rFonts w:ascii="Times New Roman" w:hAnsi="Times New Roman"/>
          <w:b/>
          <w:sz w:val="15"/>
        </w:rPr>
        <w:t xml:space="preserve">60 Wall Street, 36th Floor </w:t>
      </w:r>
    </w:p>
    <w:p>
      <w:pPr>
        <w:pStyle w:val="TextBody"/>
        <w:spacing w:before="0" w:after="0"/>
        <w:jc w:val="center"/>
        <w:rPr>
          <w:rFonts w:ascii="Times New Roman" w:hAnsi="Times New Roman"/>
          <w:b/>
          <w:sz w:val="17"/>
        </w:rPr>
      </w:pPr>
      <w:r>
        <w:rPr>
          <w:rFonts w:ascii="Times New Roman" w:hAnsi="Times New Roman"/>
          <w:b/>
          <w:sz w:val="17"/>
        </w:rPr>
        <w:t xml:space="preserve">New York, New York 10005 </w:t>
      </w:r>
    </w:p>
    <w:p>
      <w:pPr>
        <w:pStyle w:val="TextBody"/>
        <w:spacing w:before="0" w:after="0"/>
        <w:jc w:val="center"/>
        <w:rPr>
          <w:rFonts w:ascii="Times New Roman" w:hAnsi="Times New Roman"/>
          <w:b/>
          <w:sz w:val="17"/>
        </w:rPr>
      </w:pPr>
      <w:r>
        <w:rPr>
          <w:rFonts w:ascii="Times New Roman" w:hAnsi="Times New Roman"/>
          <w:b/>
          <w:sz w:val="17"/>
        </w:rPr>
        <w:t xml:space="preserve">(212) 250  7544 </w:t>
      </w:r>
    </w:p>
    <w:p>
      <w:pPr>
        <w:pStyle w:val="TextBody"/>
        <w:spacing w:before="0" w:after="0"/>
        <w:jc w:val="center"/>
        <w:rPr>
          <w:rFonts w:ascii="Times New Roman" w:hAnsi="Times New Roman"/>
          <w:sz w:val="13"/>
        </w:rPr>
      </w:pPr>
      <w:r>
        <w:rPr>
          <w:rFonts w:ascii="Times New Roman" w:hAnsi="Times New Roman"/>
          <w:sz w:val="13"/>
        </w:rPr>
        <w:t xml:space="preserve">(Name, address and telephone number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18"/>
        </w:rPr>
      </w:pPr>
      <w:r>
        <w:rPr>
          <w:rFonts w:ascii="Times New Roman" w:hAnsi="Times New Roman"/>
          <w:b/>
          <w:sz w:val="18"/>
        </w:rPr>
        <w:t xml:space="preserve">Honeywell International Inc. </w:t>
      </w:r>
    </w:p>
    <w:p>
      <w:pPr>
        <w:pStyle w:val="TextBody"/>
        <w:spacing w:before="0" w:after="0"/>
        <w:jc w:val="center"/>
        <w:rPr>
          <w:rFonts w:ascii="Times New Roman" w:hAnsi="Times New Roman"/>
          <w:sz w:val="18"/>
        </w:rPr>
      </w:pPr>
      <w:r>
        <w:rPr>
          <w:rFonts w:ascii="Times New Roman" w:hAnsi="Times New Roman"/>
          <w:sz w:val="18"/>
        </w:rPr>
        <w:t xml:space="preserve">(Exact name of obligor as specified in its charter) </w:t>
      </w:r>
    </w:p>
    <w:p>
      <w:pPr>
        <w:pStyle w:val="TextBody"/>
        <w:spacing w:before="0" w:after="0"/>
        <w:jc w:val="left"/>
        <w:rPr/>
      </w:pPr>
      <w:r>
        <w:rPr/>
        <w:t> </w:t>
      </w:r>
    </w:p>
    <w:tbl>
      <w:tblPr>
        <w:tblW w:w="4000" w:type="pct"/>
        <w:jc w:val="center"/>
        <w:tblInd w:w="0" w:type="dxa"/>
        <w:tblCellMar>
          <w:top w:w="0" w:type="dxa"/>
          <w:left w:w="0" w:type="dxa"/>
          <w:bottom w:w="0" w:type="dxa"/>
          <w:right w:w="0" w:type="dxa"/>
        </w:tblCellMar>
      </w:tblPr>
      <w:tblGrid>
        <w:gridCol w:w="5470"/>
        <w:gridCol w:w="162"/>
        <w:gridCol w:w="2532"/>
      </w:tblGrid>
      <w:tr>
        <w:trPr/>
        <w:tc>
          <w:tcPr>
            <w:tcW w:w="547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2532" w:type="dxa"/>
            <w:tcBorders/>
            <w:shd w:fill="auto" w:val="clear"/>
            <w:vAlign w:val="center"/>
          </w:tcPr>
          <w:p>
            <w:pPr>
              <w:pStyle w:val="TableContents"/>
              <w:spacing w:before="0" w:after="283"/>
              <w:rPr>
                <w:sz w:val="4"/>
                <w:szCs w:val="4"/>
              </w:rPr>
            </w:pPr>
            <w:r>
              <w:rPr>
                <w:sz w:val="4"/>
                <w:szCs w:val="4"/>
              </w:rPr>
            </w:r>
          </w:p>
        </w:tc>
      </w:tr>
      <w:tr>
        <w:trPr/>
        <w:tc>
          <w:tcPr>
            <w:tcW w:w="5470" w:type="dxa"/>
            <w:tcBorders/>
            <w:shd w:fill="auto" w:val="clear"/>
          </w:tcPr>
          <w:p>
            <w:pPr>
              <w:pStyle w:val="TableContents"/>
              <w:spacing w:before="0" w:after="283"/>
              <w:rPr/>
            </w:pPr>
            <w:r>
              <w:rPr/>
              <w:t>                    </w:t>
            </w:r>
            <w:r>
              <w:rPr>
                <w:b/>
              </w:rPr>
              <w:t>Delaware</w:t>
            </w:r>
          </w:p>
        </w:tc>
        <w:tc>
          <w:tcPr>
            <w:tcW w:w="162" w:type="dxa"/>
            <w:tcBorders/>
            <w:shd w:fill="auto" w:val="clear"/>
            <w:vAlign w:val="bottom"/>
          </w:tcPr>
          <w:p>
            <w:pPr>
              <w:pStyle w:val="TableContents"/>
              <w:spacing w:before="0" w:after="283"/>
              <w:rPr/>
            </w:pPr>
            <w:r>
              <w:rPr/>
              <w:t>  </w:t>
            </w:r>
          </w:p>
        </w:tc>
        <w:tc>
          <w:tcPr>
            <w:tcW w:w="2532" w:type="dxa"/>
            <w:tcBorders/>
            <w:shd w:fill="auto" w:val="clear"/>
          </w:tcPr>
          <w:p>
            <w:pPr>
              <w:pStyle w:val="TableContents"/>
              <w:spacing w:before="0" w:after="283"/>
              <w:rPr/>
            </w:pPr>
            <w:r>
              <w:rPr/>
              <w:t>      </w:t>
            </w:r>
            <w:r>
              <w:rPr>
                <w:b/>
              </w:rPr>
              <w:t>22-2640650</w:t>
            </w:r>
          </w:p>
        </w:tc>
      </w:tr>
      <w:tr>
        <w:trPr/>
        <w:tc>
          <w:tcPr>
            <w:tcW w:w="5470" w:type="dxa"/>
            <w:tcBorders/>
            <w:shd w:fill="auto" w:val="clear"/>
          </w:tcPr>
          <w:p>
            <w:pPr>
              <w:pStyle w:val="TableContents"/>
              <w:spacing w:before="0" w:after="283"/>
              <w:rPr/>
            </w:pPr>
            <w:r>
              <w:rPr/>
              <w:t>(State or other jurisdiction of</w:t>
            </w:r>
          </w:p>
        </w:tc>
        <w:tc>
          <w:tcPr>
            <w:tcW w:w="162" w:type="dxa"/>
            <w:tcBorders/>
            <w:shd w:fill="auto" w:val="clear"/>
            <w:vAlign w:val="bottom"/>
          </w:tcPr>
          <w:p>
            <w:pPr>
              <w:pStyle w:val="TableContents"/>
              <w:spacing w:before="0" w:after="283"/>
              <w:rPr/>
            </w:pPr>
            <w:r>
              <w:rPr/>
              <w:t>  </w:t>
            </w:r>
          </w:p>
        </w:tc>
        <w:tc>
          <w:tcPr>
            <w:tcW w:w="2532" w:type="dxa"/>
            <w:tcBorders/>
            <w:shd w:fill="auto" w:val="clear"/>
          </w:tcPr>
          <w:p>
            <w:pPr>
              <w:pStyle w:val="TableContents"/>
              <w:spacing w:before="0" w:after="283"/>
              <w:rPr/>
            </w:pPr>
            <w:r>
              <w:rPr/>
              <w:t>(I.R.S. Employer</w:t>
            </w:r>
          </w:p>
        </w:tc>
      </w:tr>
      <w:tr>
        <w:trPr/>
        <w:tc>
          <w:tcPr>
            <w:tcW w:w="5470" w:type="dxa"/>
            <w:tcBorders/>
            <w:shd w:fill="auto" w:val="clear"/>
          </w:tcPr>
          <w:p>
            <w:pPr>
              <w:pStyle w:val="TableContents"/>
              <w:spacing w:before="0" w:after="283"/>
              <w:rPr/>
            </w:pPr>
            <w:r>
              <w:rPr/>
              <w:t>incorporation or organization)</w:t>
            </w:r>
          </w:p>
        </w:tc>
        <w:tc>
          <w:tcPr>
            <w:tcW w:w="162" w:type="dxa"/>
            <w:tcBorders/>
            <w:shd w:fill="auto" w:val="clear"/>
            <w:vAlign w:val="bottom"/>
          </w:tcPr>
          <w:p>
            <w:pPr>
              <w:pStyle w:val="TableContents"/>
              <w:spacing w:before="0" w:after="283"/>
              <w:rPr/>
            </w:pPr>
            <w:r>
              <w:rPr/>
              <w:t>  </w:t>
            </w:r>
          </w:p>
        </w:tc>
        <w:tc>
          <w:tcPr>
            <w:tcW w:w="2532" w:type="dxa"/>
            <w:tcBorders/>
            <w:shd w:fill="auto" w:val="clear"/>
          </w:tcPr>
          <w:p>
            <w:pPr>
              <w:pStyle w:val="TableContents"/>
              <w:spacing w:before="0" w:after="283"/>
              <w:rPr/>
            </w:pPr>
            <w:r>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115 Tabor Road </w:t>
      </w:r>
    </w:p>
    <w:p>
      <w:pPr>
        <w:pStyle w:val="TextBody"/>
        <w:spacing w:before="0" w:after="0"/>
        <w:jc w:val="center"/>
        <w:rPr>
          <w:rFonts w:ascii="Times New Roman" w:hAnsi="Times New Roman"/>
          <w:b/>
          <w:sz w:val="17"/>
        </w:rPr>
      </w:pPr>
      <w:r>
        <w:rPr>
          <w:rFonts w:ascii="Times New Roman" w:hAnsi="Times New Roman"/>
          <w:b/>
          <w:sz w:val="17"/>
        </w:rPr>
        <w:t xml:space="preserve">Morris Plains, New Jersey 07950 </w:t>
      </w:r>
    </w:p>
    <w:p>
      <w:pPr>
        <w:pStyle w:val="TextBody"/>
        <w:spacing w:before="0" w:after="0"/>
        <w:jc w:val="center"/>
        <w:rPr>
          <w:rFonts w:ascii="Times New Roman" w:hAnsi="Times New Roman"/>
          <w:b/>
          <w:sz w:val="17"/>
        </w:rPr>
      </w:pPr>
      <w:r>
        <w:rPr>
          <w:rFonts w:ascii="Times New Roman" w:hAnsi="Times New Roman"/>
          <w:b/>
          <w:sz w:val="17"/>
        </w:rPr>
        <w:t xml:space="preserve">(973) 455-2000 </w:t>
      </w:r>
    </w:p>
    <w:p>
      <w:pPr>
        <w:pStyle w:val="TextBody"/>
        <w:spacing w:before="0" w:after="0"/>
        <w:jc w:val="center"/>
        <w:rPr>
          <w:rFonts w:ascii="Times New Roman" w:hAnsi="Times New Roman"/>
          <w:b/>
          <w:sz w:val="13"/>
        </w:rPr>
      </w:pPr>
      <w:r>
        <w:rPr>
          <w:rFonts w:ascii="Times New Roman" w:hAnsi="Times New Roman"/>
          <w:b/>
          <w:sz w:val="13"/>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2" w:space="1" w:color="000000"/>
        </w:pBdr>
        <w:spacing w:lineRule="atLeast" w:line="141" w:before="0" w:after="40"/>
        <w:jc w:val="center"/>
        <w:rPr/>
      </w:pPr>
      <w:r>
        <w:rPr/>
        <w:t> </w:t>
      </w:r>
    </w:p>
    <w:p>
      <w:pPr>
        <w:pStyle w:val="TextBody"/>
        <w:spacing w:before="0" w:after="0"/>
        <w:jc w:val="center"/>
        <w:rPr>
          <w:rFonts w:ascii="Times New Roman" w:hAnsi="Times New Roman"/>
          <w:b/>
          <w:sz w:val="17"/>
        </w:rPr>
      </w:pPr>
      <w:r>
        <w:rPr>
          <w:rFonts w:ascii="Times New Roman" w:hAnsi="Times New Roman"/>
          <w:b/>
          <w:sz w:val="17"/>
        </w:rPr>
        <w:t xml:space="preserve">Anne T. Madden, Esq. </w:t>
      </w:r>
    </w:p>
    <w:p>
      <w:pPr>
        <w:pStyle w:val="TextBody"/>
        <w:spacing w:before="0" w:after="0"/>
        <w:jc w:val="center"/>
        <w:rPr>
          <w:rFonts w:ascii="Times New Roman" w:hAnsi="Times New Roman"/>
          <w:b/>
          <w:sz w:val="17"/>
        </w:rPr>
      </w:pPr>
      <w:r>
        <w:rPr>
          <w:rFonts w:ascii="Times New Roman" w:hAnsi="Times New Roman"/>
          <w:b/>
          <w:sz w:val="17"/>
        </w:rPr>
        <w:t xml:space="preserve">Senior Vice President, </w:t>
      </w:r>
    </w:p>
    <w:p>
      <w:pPr>
        <w:pStyle w:val="TextBody"/>
        <w:spacing w:before="0" w:after="0"/>
        <w:jc w:val="center"/>
        <w:rPr>
          <w:rFonts w:ascii="Times New Roman" w:hAnsi="Times New Roman"/>
          <w:b/>
          <w:sz w:val="17"/>
        </w:rPr>
      </w:pPr>
      <w:r>
        <w:rPr>
          <w:rFonts w:ascii="Times New Roman" w:hAnsi="Times New Roman"/>
          <w:b/>
          <w:sz w:val="17"/>
        </w:rPr>
        <w:t xml:space="preserve">General Counsel and Corporate Secretary </w:t>
      </w:r>
    </w:p>
    <w:p>
      <w:pPr>
        <w:pStyle w:val="TextBody"/>
        <w:spacing w:before="0" w:after="0"/>
        <w:jc w:val="center"/>
        <w:rPr>
          <w:rFonts w:ascii="Times New Roman" w:hAnsi="Times New Roman"/>
          <w:b/>
          <w:sz w:val="17"/>
        </w:rPr>
      </w:pPr>
      <w:r>
        <w:rPr>
          <w:rFonts w:ascii="Times New Roman" w:hAnsi="Times New Roman"/>
          <w:b/>
          <w:sz w:val="17"/>
        </w:rPr>
        <w:t xml:space="preserve">Honeywell International Inc. </w:t>
      </w:r>
    </w:p>
    <w:p>
      <w:pPr>
        <w:pStyle w:val="TextBody"/>
        <w:spacing w:before="0" w:after="0"/>
        <w:jc w:val="center"/>
        <w:rPr>
          <w:rFonts w:ascii="Times New Roman" w:hAnsi="Times New Roman"/>
          <w:b/>
          <w:sz w:val="17"/>
        </w:rPr>
      </w:pPr>
      <w:r>
        <w:rPr>
          <w:rFonts w:ascii="Times New Roman" w:hAnsi="Times New Roman"/>
          <w:b/>
          <w:sz w:val="17"/>
        </w:rPr>
        <w:t xml:space="preserve">115 Tabor Road </w:t>
      </w:r>
    </w:p>
    <w:p>
      <w:pPr>
        <w:pStyle w:val="TextBody"/>
        <w:spacing w:before="0" w:after="0"/>
        <w:jc w:val="center"/>
        <w:rPr>
          <w:rFonts w:ascii="Times New Roman" w:hAnsi="Times New Roman"/>
          <w:b/>
          <w:sz w:val="17"/>
        </w:rPr>
      </w:pPr>
      <w:r>
        <w:rPr>
          <w:rFonts w:ascii="Times New Roman" w:hAnsi="Times New Roman"/>
          <w:b/>
          <w:sz w:val="17"/>
        </w:rPr>
        <w:t xml:space="preserve">Morris Plains, New Jersey 07950 </w:t>
      </w:r>
    </w:p>
    <w:p>
      <w:pPr>
        <w:pStyle w:val="TextBody"/>
        <w:spacing w:before="0" w:after="0"/>
        <w:jc w:val="center"/>
        <w:rPr>
          <w:rFonts w:ascii="Times New Roman" w:hAnsi="Times New Roman"/>
          <w:b/>
          <w:sz w:val="17"/>
        </w:rPr>
      </w:pPr>
      <w:r>
        <w:rPr>
          <w:rFonts w:ascii="Times New Roman" w:hAnsi="Times New Roman"/>
          <w:b/>
          <w:sz w:val="17"/>
        </w:rPr>
        <w:t xml:space="preserve">(973) 455-2000 </w:t>
      </w:r>
    </w:p>
    <w:p>
      <w:pPr>
        <w:pStyle w:val="TextBody"/>
        <w:spacing w:before="0" w:after="0"/>
        <w:jc w:val="center"/>
        <w:rPr>
          <w:rFonts w:ascii="Times New Roman" w:hAnsi="Times New Roman"/>
          <w:sz w:val="13"/>
        </w:rPr>
      </w:pPr>
      <w:r>
        <w:rPr>
          <w:rFonts w:ascii="Times New Roman" w:hAnsi="Times New Roman"/>
          <w:sz w:val="13"/>
        </w:rPr>
        <w:t xml:space="preserve">(Address and Zip Code of agent for service) </w:t>
      </w:r>
    </w:p>
    <w:p>
      <w:pPr>
        <w:pStyle w:val="TextBody"/>
        <w:spacing w:before="0" w:after="0"/>
        <w:jc w:val="center"/>
        <w:rPr>
          <w:rFonts w:ascii="Times New Roman" w:hAnsi="Times New Roman"/>
          <w:sz w:val="15"/>
        </w:rPr>
      </w:pPr>
      <w:r>
        <w:rPr>
          <w:rFonts w:ascii="Times New Roman" w:hAnsi="Times New Roman"/>
          <w:sz w:val="15"/>
        </w:rPr>
        <w:t xml:space="preserve">Debt Securities </w:t>
      </w:r>
    </w:p>
    <w:p>
      <w:pPr>
        <w:pStyle w:val="TextBody"/>
        <w:spacing w:before="720" w:after="0"/>
        <w:jc w:val="center"/>
        <w:rPr>
          <w:rFonts w:ascii="Times New Roman" w:hAnsi="Times New Roman"/>
          <w:sz w:val="18"/>
        </w:rPr>
      </w:pPr>
      <w:r>
        <w:rPr>
          <w:rFonts w:ascii="Times New Roman" w:hAnsi="Times New Roman"/>
          <w:sz w:val="18"/>
        </w:rPr>
        <w:t xml:space="preserve">(Title of the Indenture securities)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71"/>
        <w:gridCol w:w="103"/>
        <w:gridCol w:w="4758"/>
        <w:gridCol w:w="121"/>
        <w:gridCol w:w="4052"/>
      </w:tblGrid>
      <w:tr>
        <w:trPr/>
        <w:tc>
          <w:tcPr>
            <w:tcW w:w="117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75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05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1171" w:type="dxa"/>
            <w:tcBorders/>
            <w:shd w:fill="auto" w:val="clear"/>
            <w:vAlign w:val="center"/>
          </w:tcPr>
          <w:p>
            <w:pPr>
              <w:pStyle w:val="TableContents"/>
              <w:spacing w:before="0" w:after="283"/>
              <w:rPr>
                <w:sz w:val="4"/>
                <w:szCs w:val="4"/>
              </w:rPr>
            </w:pPr>
            <w:r>
              <w:rPr>
                <w:sz w:val="4"/>
                <w:szCs w:val="4"/>
              </w:rPr>
            </w:r>
          </w:p>
        </w:tc>
        <w:tc>
          <w:tcPr>
            <w:tcW w:w="9034" w:type="dxa"/>
            <w:gridSpan w:val="4"/>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b/>
              </w:rPr>
            </w:pPr>
            <w:r>
              <w:rPr>
                <w:b/>
              </w:rPr>
              <w:t>Item 1.</w:t>
            </w:r>
          </w:p>
        </w:tc>
        <w:tc>
          <w:tcPr>
            <w:tcW w:w="103" w:type="dxa"/>
            <w:tcBorders/>
            <w:shd w:fill="auto" w:val="clear"/>
            <w:vAlign w:val="bottom"/>
          </w:tcPr>
          <w:p>
            <w:pPr>
              <w:pStyle w:val="TableContents"/>
              <w:spacing w:before="0" w:after="283"/>
              <w:rPr/>
            </w:pPr>
            <w:r>
              <w:rPr/>
              <w:t> </w:t>
            </w:r>
          </w:p>
        </w:tc>
        <w:tc>
          <w:tcPr>
            <w:tcW w:w="8931" w:type="dxa"/>
            <w:gridSpan w:val="3"/>
            <w:tcBorders/>
            <w:shd w:fill="auto" w:val="clear"/>
          </w:tcPr>
          <w:p>
            <w:pPr>
              <w:pStyle w:val="TableContents"/>
              <w:spacing w:before="0" w:after="283"/>
              <w:rPr>
                <w:b/>
              </w:rPr>
            </w:pPr>
            <w:r>
              <w:rPr>
                <w:b/>
              </w:rPr>
              <w:t>General Information.</w:t>
            </w:r>
          </w:p>
        </w:tc>
      </w:tr>
      <w:tr>
        <w:trPr>
          <w:trHeight w:val="240" w:hRule="atLeast"/>
        </w:trPr>
        <w:tc>
          <w:tcPr>
            <w:tcW w:w="1171" w:type="dxa"/>
            <w:tcBorders/>
            <w:shd w:fill="auto" w:val="clear"/>
            <w:vAlign w:val="center"/>
          </w:tcPr>
          <w:p>
            <w:pPr>
              <w:pStyle w:val="TableContents"/>
              <w:spacing w:before="0" w:after="283"/>
              <w:rPr>
                <w:sz w:val="4"/>
                <w:szCs w:val="4"/>
              </w:rPr>
            </w:pPr>
            <w:r>
              <w:rPr>
                <w:sz w:val="4"/>
                <w:szCs w:val="4"/>
              </w:rPr>
            </w:r>
          </w:p>
        </w:tc>
        <w:tc>
          <w:tcPr>
            <w:tcW w:w="9034" w:type="dxa"/>
            <w:gridSpan w:val="4"/>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8931" w:type="dxa"/>
            <w:gridSpan w:val="3"/>
            <w:tcBorders/>
            <w:shd w:fill="auto" w:val="clear"/>
          </w:tcPr>
          <w:p>
            <w:pPr>
              <w:pStyle w:val="TableContents"/>
              <w:spacing w:before="0" w:after="283"/>
              <w:rPr/>
            </w:pPr>
            <w:r>
              <w:rPr/>
              <w:t>Furnish the following information as to the trustee.</w:t>
            </w:r>
          </w:p>
        </w:tc>
      </w:tr>
      <w:tr>
        <w:trPr>
          <w:trHeight w:val="240" w:hRule="atLeast"/>
        </w:trPr>
        <w:tc>
          <w:tcPr>
            <w:tcW w:w="1171" w:type="dxa"/>
            <w:tcBorders/>
            <w:shd w:fill="auto" w:val="clear"/>
            <w:vAlign w:val="center"/>
          </w:tcPr>
          <w:p>
            <w:pPr>
              <w:pStyle w:val="TableContents"/>
              <w:spacing w:before="0" w:after="283"/>
              <w:rPr>
                <w:sz w:val="4"/>
                <w:szCs w:val="4"/>
              </w:rPr>
            </w:pPr>
            <w:r>
              <w:rPr>
                <w:sz w:val="4"/>
                <w:szCs w:val="4"/>
              </w:rPr>
            </w:r>
          </w:p>
        </w:tc>
        <w:tc>
          <w:tcPr>
            <w:tcW w:w="9034" w:type="dxa"/>
            <w:gridSpan w:val="4"/>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8931" w:type="dxa"/>
            <w:gridSpan w:val="3"/>
            <w:tcBorders/>
            <w:shd w:fill="auto" w:val="clear"/>
          </w:tcPr>
          <w:p>
            <w:pPr>
              <w:pStyle w:val="TableContents"/>
              <w:spacing w:before="0" w:after="283"/>
              <w:rPr/>
            </w:pPr>
            <w:r>
              <w:rPr/>
              <w:t>(a)         Name and address of each examining or supervising authority to which it is subject.</w:t>
            </w:r>
          </w:p>
        </w:tc>
      </w:tr>
      <w:tr>
        <w:trPr>
          <w:trHeight w:val="240" w:hRule="atLeast"/>
        </w:trPr>
        <w:tc>
          <w:tcPr>
            <w:tcW w:w="1171" w:type="dxa"/>
            <w:tcBorders/>
            <w:shd w:fill="auto" w:val="clear"/>
            <w:vAlign w:val="center"/>
          </w:tcPr>
          <w:p>
            <w:pPr>
              <w:pStyle w:val="TableContents"/>
              <w:spacing w:before="0" w:after="283"/>
              <w:rPr>
                <w:sz w:val="4"/>
                <w:szCs w:val="4"/>
              </w:rPr>
            </w:pPr>
            <w:r>
              <w:rPr>
                <w:sz w:val="4"/>
                <w:szCs w:val="4"/>
              </w:rPr>
            </w:r>
          </w:p>
        </w:tc>
        <w:tc>
          <w:tcPr>
            <w:tcW w:w="4861" w:type="dxa"/>
            <w:gridSpan w:val="2"/>
            <w:tcBorders/>
            <w:shd w:fill="auto" w:val="clear"/>
            <w:vAlign w:val="center"/>
          </w:tcPr>
          <w:p>
            <w:pPr>
              <w:pStyle w:val="TableContents"/>
              <w:spacing w:before="0" w:after="283"/>
              <w:rPr>
                <w:sz w:val="4"/>
                <w:szCs w:val="4"/>
              </w:rPr>
            </w:pPr>
            <w:r>
              <w:rPr>
                <w:sz w:val="4"/>
                <w:szCs w:val="4"/>
              </w:rPr>
            </w:r>
          </w:p>
        </w:tc>
        <w:tc>
          <w:tcPr>
            <w:tcW w:w="4173" w:type="dxa"/>
            <w:gridSpan w:val="2"/>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4758" w:type="dxa"/>
            <w:tcBorders/>
            <w:shd w:fill="auto" w:val="clear"/>
            <w:vAlign w:val="bottom"/>
          </w:tcPr>
          <w:p>
            <w:pPr>
              <w:pStyle w:val="TableContents"/>
              <w:pBdr>
                <w:bottom w:val="single" w:sz="8" w:space="1" w:color="000000"/>
              </w:pBdr>
              <w:spacing w:before="0" w:after="0"/>
              <w:rPr>
                <w:rFonts w:ascii="Times New Roman" w:hAnsi="Times New Roman"/>
                <w:b/>
                <w:sz w:val="17"/>
              </w:rPr>
            </w:pPr>
            <w:r>
              <w:rPr>
                <w:rFonts w:ascii="Times New Roman" w:hAnsi="Times New Roman"/>
                <w:b/>
                <w:sz w:val="17"/>
              </w:rPr>
              <w:t>Name</w:t>
            </w:r>
          </w:p>
        </w:tc>
        <w:tc>
          <w:tcPr>
            <w:tcW w:w="121" w:type="dxa"/>
            <w:tcBorders/>
            <w:shd w:fill="auto" w:val="clear"/>
            <w:vAlign w:val="bottom"/>
          </w:tcPr>
          <w:p>
            <w:pPr>
              <w:pStyle w:val="TableContents"/>
              <w:spacing w:before="0" w:after="283"/>
              <w:rPr/>
            </w:pPr>
            <w:r>
              <w:rPr/>
              <w:t>  </w:t>
            </w:r>
          </w:p>
        </w:tc>
        <w:tc>
          <w:tcPr>
            <w:tcW w:w="4052" w:type="dxa"/>
            <w:tcBorders/>
            <w:shd w:fill="auto" w:val="clear"/>
            <w:vAlign w:val="bottom"/>
          </w:tcPr>
          <w:p>
            <w:pPr>
              <w:pStyle w:val="TableContents"/>
              <w:pBdr>
                <w:bottom w:val="single" w:sz="8" w:space="1" w:color="000000"/>
              </w:pBdr>
              <w:spacing w:before="0" w:after="0"/>
              <w:rPr>
                <w:rFonts w:ascii="Times New Roman" w:hAnsi="Times New Roman"/>
                <w:b/>
                <w:sz w:val="17"/>
              </w:rPr>
            </w:pPr>
            <w:r>
              <w:rPr>
                <w:rFonts w:ascii="Times New Roman" w:hAnsi="Times New Roman"/>
                <w:b/>
                <w:sz w:val="17"/>
              </w:rPr>
              <w:t>Address</w:t>
            </w:r>
          </w:p>
        </w:tc>
      </w:tr>
      <w:tr>
        <w:trPr>
          <w:trHeight w:val="120" w:hRule="atLeast"/>
        </w:trPr>
        <w:tc>
          <w:tcPr>
            <w:tcW w:w="1171" w:type="dxa"/>
            <w:tcBorders/>
            <w:shd w:fill="auto" w:val="clear"/>
            <w:vAlign w:val="center"/>
          </w:tcPr>
          <w:p>
            <w:pPr>
              <w:pStyle w:val="TableContents"/>
              <w:spacing w:before="0" w:after="283"/>
              <w:rPr>
                <w:sz w:val="4"/>
                <w:szCs w:val="4"/>
              </w:rPr>
            </w:pPr>
            <w:r>
              <w:rPr>
                <w:sz w:val="4"/>
                <w:szCs w:val="4"/>
              </w:rPr>
            </w:r>
          </w:p>
        </w:tc>
        <w:tc>
          <w:tcPr>
            <w:tcW w:w="4861" w:type="dxa"/>
            <w:gridSpan w:val="2"/>
            <w:tcBorders/>
            <w:shd w:fill="auto" w:val="clear"/>
            <w:vAlign w:val="center"/>
          </w:tcPr>
          <w:p>
            <w:pPr>
              <w:pStyle w:val="TableContents"/>
              <w:spacing w:before="0" w:after="283"/>
              <w:rPr>
                <w:sz w:val="4"/>
                <w:szCs w:val="4"/>
              </w:rPr>
            </w:pPr>
            <w:r>
              <w:rPr>
                <w:sz w:val="4"/>
                <w:szCs w:val="4"/>
              </w:rPr>
            </w:r>
          </w:p>
        </w:tc>
        <w:tc>
          <w:tcPr>
            <w:tcW w:w="4173" w:type="dxa"/>
            <w:gridSpan w:val="2"/>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758" w:type="dxa"/>
            <w:tcBorders/>
            <w:shd w:fill="auto" w:val="clear"/>
          </w:tcPr>
          <w:p>
            <w:pPr>
              <w:pStyle w:val="TableContents"/>
              <w:spacing w:before="0" w:after="283"/>
              <w:rPr/>
            </w:pPr>
            <w:r>
              <w:rPr/>
              <w:t>Federal Reserve Bank (2nd District)</w:t>
            </w:r>
          </w:p>
        </w:tc>
        <w:tc>
          <w:tcPr>
            <w:tcW w:w="121" w:type="dxa"/>
            <w:tcBorders/>
            <w:shd w:fill="auto" w:val="clear"/>
            <w:vAlign w:val="bottom"/>
          </w:tcPr>
          <w:p>
            <w:pPr>
              <w:pStyle w:val="TableContents"/>
              <w:spacing w:before="0" w:after="283"/>
              <w:rPr/>
            </w:pPr>
            <w:r>
              <w:rPr/>
              <w:t>  </w:t>
            </w:r>
          </w:p>
        </w:tc>
        <w:tc>
          <w:tcPr>
            <w:tcW w:w="4052" w:type="dxa"/>
            <w:tcBorders/>
            <w:shd w:fill="auto" w:val="clear"/>
          </w:tcPr>
          <w:p>
            <w:pPr>
              <w:pStyle w:val="TableContents"/>
              <w:spacing w:before="0" w:after="283"/>
              <w:rPr/>
            </w:pPr>
            <w:r>
              <w:rPr/>
              <w:t>New York, NY</w:t>
            </w:r>
          </w:p>
        </w:tc>
      </w:tr>
      <w:tr>
        <w:trPr/>
        <w:tc>
          <w:tcPr>
            <w:tcW w:w="1171"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758" w:type="dxa"/>
            <w:tcBorders/>
            <w:shd w:fill="auto" w:val="clear"/>
          </w:tcPr>
          <w:p>
            <w:pPr>
              <w:pStyle w:val="TableContents"/>
              <w:spacing w:before="0" w:after="283"/>
              <w:rPr/>
            </w:pPr>
            <w:r>
              <w:rPr/>
              <w:t>Federal Deposit Insurance Corporation</w:t>
            </w:r>
          </w:p>
        </w:tc>
        <w:tc>
          <w:tcPr>
            <w:tcW w:w="121" w:type="dxa"/>
            <w:tcBorders/>
            <w:shd w:fill="auto" w:val="clear"/>
            <w:vAlign w:val="bottom"/>
          </w:tcPr>
          <w:p>
            <w:pPr>
              <w:pStyle w:val="TableContents"/>
              <w:spacing w:before="0" w:after="283"/>
              <w:rPr/>
            </w:pPr>
            <w:r>
              <w:rPr/>
              <w:t>  </w:t>
            </w:r>
          </w:p>
        </w:tc>
        <w:tc>
          <w:tcPr>
            <w:tcW w:w="4052" w:type="dxa"/>
            <w:tcBorders/>
            <w:shd w:fill="auto" w:val="clear"/>
          </w:tcPr>
          <w:p>
            <w:pPr>
              <w:pStyle w:val="TableContents"/>
              <w:spacing w:before="0" w:after="283"/>
              <w:rPr/>
            </w:pPr>
            <w:r>
              <w:rPr/>
              <w:t>Washington, D.C.</w:t>
            </w:r>
          </w:p>
        </w:tc>
      </w:tr>
      <w:tr>
        <w:trPr/>
        <w:tc>
          <w:tcPr>
            <w:tcW w:w="1171"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758" w:type="dxa"/>
            <w:tcBorders/>
            <w:shd w:fill="auto" w:val="clear"/>
          </w:tcPr>
          <w:p>
            <w:pPr>
              <w:pStyle w:val="TableContents"/>
              <w:spacing w:before="0" w:after="283"/>
              <w:rPr/>
            </w:pPr>
            <w:r>
              <w:rPr/>
              <w:t>New York State Banking Department</w:t>
            </w:r>
          </w:p>
        </w:tc>
        <w:tc>
          <w:tcPr>
            <w:tcW w:w="121" w:type="dxa"/>
            <w:tcBorders/>
            <w:shd w:fill="auto" w:val="clear"/>
            <w:vAlign w:val="bottom"/>
          </w:tcPr>
          <w:p>
            <w:pPr>
              <w:pStyle w:val="TableContents"/>
              <w:spacing w:before="0" w:after="283"/>
              <w:rPr/>
            </w:pPr>
            <w:r>
              <w:rPr/>
              <w:t>  </w:t>
            </w:r>
          </w:p>
        </w:tc>
        <w:tc>
          <w:tcPr>
            <w:tcW w:w="4052" w:type="dxa"/>
            <w:tcBorders/>
            <w:shd w:fill="auto" w:val="clear"/>
          </w:tcPr>
          <w:p>
            <w:pPr>
              <w:pStyle w:val="TableContents"/>
              <w:spacing w:before="0" w:after="283"/>
              <w:rPr/>
            </w:pPr>
            <w:r>
              <w:rPr/>
              <w:t>Albany, NY</w:t>
            </w:r>
          </w:p>
        </w:tc>
      </w:tr>
      <w:tr>
        <w:trPr>
          <w:trHeight w:val="240" w:hRule="atLeast"/>
        </w:trPr>
        <w:tc>
          <w:tcPr>
            <w:tcW w:w="1171" w:type="dxa"/>
            <w:tcBorders/>
            <w:shd w:fill="auto" w:val="clear"/>
            <w:vAlign w:val="center"/>
          </w:tcPr>
          <w:p>
            <w:pPr>
              <w:pStyle w:val="TableContents"/>
              <w:spacing w:before="0" w:after="283"/>
              <w:rPr>
                <w:sz w:val="4"/>
                <w:szCs w:val="4"/>
              </w:rPr>
            </w:pPr>
            <w:r>
              <w:rPr>
                <w:sz w:val="4"/>
                <w:szCs w:val="4"/>
              </w:rPr>
            </w:r>
          </w:p>
        </w:tc>
        <w:tc>
          <w:tcPr>
            <w:tcW w:w="9034" w:type="dxa"/>
            <w:gridSpan w:val="4"/>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8931"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(b)         Whether it is authorized to exercise corporate trust powers.</w:t>
            </w:r>
          </w:p>
          <w:p>
            <w:pPr>
              <w:pStyle w:val="TableContents"/>
              <w:spacing w:before="0" w:after="20"/>
              <w:rPr/>
            </w:pPr>
            <w:r>
              <w:rPr/>
              <w:t>              </w:t>
            </w:r>
            <w:r>
              <w:rPr>
                <w:rFonts w:ascii="Times New Roman" w:hAnsi="Times New Roman"/>
                <w:sz w:val="17"/>
              </w:rPr>
              <w:t>Yes.</w:t>
            </w:r>
          </w:p>
        </w:tc>
      </w:tr>
      <w:tr>
        <w:trPr>
          <w:trHeight w:val="195" w:hRule="atLeast"/>
        </w:trPr>
        <w:tc>
          <w:tcPr>
            <w:tcW w:w="1171" w:type="dxa"/>
            <w:tcBorders/>
            <w:shd w:fill="auto" w:val="clear"/>
            <w:vAlign w:val="center"/>
          </w:tcPr>
          <w:p>
            <w:pPr>
              <w:pStyle w:val="TableContents"/>
              <w:spacing w:before="0" w:after="283"/>
              <w:rPr>
                <w:sz w:val="4"/>
                <w:szCs w:val="4"/>
              </w:rPr>
            </w:pPr>
            <w:r>
              <w:rPr>
                <w:sz w:val="4"/>
                <w:szCs w:val="4"/>
              </w:rPr>
            </w:r>
          </w:p>
        </w:tc>
        <w:tc>
          <w:tcPr>
            <w:tcW w:w="9034" w:type="dxa"/>
            <w:gridSpan w:val="4"/>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b/>
              </w:rPr>
            </w:pPr>
            <w:r>
              <w:rPr>
                <w:b/>
              </w:rPr>
              <w:t>Item 2.</w:t>
            </w:r>
          </w:p>
        </w:tc>
        <w:tc>
          <w:tcPr>
            <w:tcW w:w="103" w:type="dxa"/>
            <w:tcBorders/>
            <w:shd w:fill="auto" w:val="clear"/>
            <w:vAlign w:val="bottom"/>
          </w:tcPr>
          <w:p>
            <w:pPr>
              <w:pStyle w:val="TableContents"/>
              <w:spacing w:before="0" w:after="283"/>
              <w:rPr/>
            </w:pPr>
            <w:r>
              <w:rPr/>
              <w:t> </w:t>
            </w:r>
          </w:p>
        </w:tc>
        <w:tc>
          <w:tcPr>
            <w:tcW w:w="8931" w:type="dxa"/>
            <w:gridSpan w:val="3"/>
            <w:tcBorders/>
            <w:shd w:fill="auto" w:val="clear"/>
          </w:tcPr>
          <w:p>
            <w:pPr>
              <w:pStyle w:val="TableContents"/>
              <w:spacing w:before="0" w:after="283"/>
              <w:rPr>
                <w:b/>
              </w:rPr>
            </w:pPr>
            <w:r>
              <w:rPr>
                <w:b/>
              </w:rPr>
              <w:t>Affiliations with Obligor.</w:t>
            </w:r>
          </w:p>
        </w:tc>
      </w:tr>
      <w:tr>
        <w:trPr>
          <w:trHeight w:val="195" w:hRule="atLeast"/>
        </w:trPr>
        <w:tc>
          <w:tcPr>
            <w:tcW w:w="1171" w:type="dxa"/>
            <w:tcBorders/>
            <w:shd w:fill="auto" w:val="clear"/>
            <w:vAlign w:val="center"/>
          </w:tcPr>
          <w:p>
            <w:pPr>
              <w:pStyle w:val="TableContents"/>
              <w:spacing w:before="0" w:after="283"/>
              <w:rPr>
                <w:sz w:val="4"/>
                <w:szCs w:val="4"/>
              </w:rPr>
            </w:pPr>
            <w:r>
              <w:rPr>
                <w:sz w:val="4"/>
                <w:szCs w:val="4"/>
              </w:rPr>
            </w:r>
          </w:p>
        </w:tc>
        <w:tc>
          <w:tcPr>
            <w:tcW w:w="9034" w:type="dxa"/>
            <w:gridSpan w:val="4"/>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8931" w:type="dxa"/>
            <w:gridSpan w:val="3"/>
            <w:tcBorders/>
            <w:shd w:fill="auto" w:val="clear"/>
          </w:tcPr>
          <w:p>
            <w:pPr>
              <w:pStyle w:val="TableContents"/>
              <w:spacing w:before="0" w:after="283"/>
              <w:rPr/>
            </w:pPr>
            <w:r>
              <w:rPr/>
              <w:t>If the obligor is an affiliate of the Trustee, describe each such affiliation.</w:t>
            </w:r>
          </w:p>
        </w:tc>
      </w:tr>
      <w:tr>
        <w:trPr>
          <w:trHeight w:val="195" w:hRule="atLeast"/>
        </w:trPr>
        <w:tc>
          <w:tcPr>
            <w:tcW w:w="1171" w:type="dxa"/>
            <w:tcBorders/>
            <w:shd w:fill="auto" w:val="clear"/>
            <w:vAlign w:val="center"/>
          </w:tcPr>
          <w:p>
            <w:pPr>
              <w:pStyle w:val="TableContents"/>
              <w:spacing w:before="0" w:after="283"/>
              <w:rPr>
                <w:sz w:val="4"/>
                <w:szCs w:val="4"/>
              </w:rPr>
            </w:pPr>
            <w:r>
              <w:rPr>
                <w:sz w:val="4"/>
                <w:szCs w:val="4"/>
              </w:rPr>
            </w:r>
          </w:p>
        </w:tc>
        <w:tc>
          <w:tcPr>
            <w:tcW w:w="4861" w:type="dxa"/>
            <w:gridSpan w:val="2"/>
            <w:tcBorders/>
            <w:shd w:fill="auto" w:val="clear"/>
            <w:vAlign w:val="center"/>
          </w:tcPr>
          <w:p>
            <w:pPr>
              <w:pStyle w:val="TableContents"/>
              <w:spacing w:before="0" w:after="283"/>
              <w:rPr>
                <w:sz w:val="4"/>
                <w:szCs w:val="4"/>
              </w:rPr>
            </w:pPr>
            <w:r>
              <w:rPr>
                <w:sz w:val="4"/>
                <w:szCs w:val="4"/>
              </w:rPr>
            </w:r>
          </w:p>
        </w:tc>
        <w:tc>
          <w:tcPr>
            <w:tcW w:w="4173" w:type="dxa"/>
            <w:gridSpan w:val="2"/>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758" w:type="dxa"/>
            <w:tcBorders/>
            <w:shd w:fill="auto" w:val="clear"/>
          </w:tcPr>
          <w:p>
            <w:pPr>
              <w:pStyle w:val="TableContents"/>
              <w:spacing w:before="0" w:after="20"/>
              <w:rPr>
                <w:rFonts w:ascii="Times New Roman" w:hAnsi="Times New Roman"/>
                <w:sz w:val="17"/>
              </w:rPr>
            </w:pPr>
            <w:r>
              <w:rPr>
                <w:rFonts w:ascii="Times New Roman" w:hAnsi="Times New Roman"/>
                <w:sz w:val="17"/>
              </w:rPr>
              <w:t>None</w:t>
            </w:r>
          </w:p>
        </w:tc>
        <w:tc>
          <w:tcPr>
            <w:tcW w:w="121" w:type="dxa"/>
            <w:tcBorders/>
            <w:shd w:fill="auto" w:val="clear"/>
            <w:vAlign w:val="bottom"/>
          </w:tcPr>
          <w:p>
            <w:pPr>
              <w:pStyle w:val="TableContents"/>
              <w:spacing w:before="0" w:after="283"/>
              <w:rPr/>
            </w:pPr>
            <w:r>
              <w:rPr/>
              <w:t>  </w:t>
            </w:r>
          </w:p>
        </w:tc>
        <w:tc>
          <w:tcPr>
            <w:tcW w:w="4052" w:type="dxa"/>
            <w:tcBorders/>
            <w:shd w:fill="auto" w:val="clear"/>
          </w:tcPr>
          <w:p>
            <w:pPr>
              <w:pStyle w:val="TableContents"/>
              <w:spacing w:before="0" w:after="283"/>
              <w:rPr>
                <w:sz w:val="4"/>
                <w:szCs w:val="4"/>
              </w:rPr>
            </w:pPr>
            <w:r>
              <w:rPr>
                <w:sz w:val="4"/>
                <w:szCs w:val="4"/>
              </w:rPr>
            </w:r>
          </w:p>
        </w:tc>
      </w:tr>
      <w:tr>
        <w:trPr>
          <w:trHeight w:val="195" w:hRule="atLeast"/>
        </w:trPr>
        <w:tc>
          <w:tcPr>
            <w:tcW w:w="1171" w:type="dxa"/>
            <w:tcBorders/>
            <w:shd w:fill="auto" w:val="clear"/>
            <w:vAlign w:val="center"/>
          </w:tcPr>
          <w:p>
            <w:pPr>
              <w:pStyle w:val="TableContents"/>
              <w:spacing w:before="0" w:after="283"/>
              <w:rPr>
                <w:sz w:val="4"/>
                <w:szCs w:val="4"/>
              </w:rPr>
            </w:pPr>
            <w:r>
              <w:rPr>
                <w:sz w:val="4"/>
                <w:szCs w:val="4"/>
              </w:rPr>
            </w:r>
          </w:p>
        </w:tc>
        <w:tc>
          <w:tcPr>
            <w:tcW w:w="9034" w:type="dxa"/>
            <w:gridSpan w:val="4"/>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b/>
              </w:rPr>
            </w:pPr>
            <w:r>
              <w:rPr>
                <w:b/>
              </w:rPr>
              <w:t>Item 3. -15.</w:t>
            </w:r>
          </w:p>
        </w:tc>
        <w:tc>
          <w:tcPr>
            <w:tcW w:w="103" w:type="dxa"/>
            <w:tcBorders/>
            <w:shd w:fill="auto" w:val="clear"/>
            <w:vAlign w:val="bottom"/>
          </w:tcPr>
          <w:p>
            <w:pPr>
              <w:pStyle w:val="TableContents"/>
              <w:spacing w:before="0" w:after="283"/>
              <w:rPr/>
            </w:pPr>
            <w:r>
              <w:rPr/>
              <w:t> </w:t>
            </w:r>
          </w:p>
        </w:tc>
        <w:tc>
          <w:tcPr>
            <w:tcW w:w="8931" w:type="dxa"/>
            <w:gridSpan w:val="3"/>
            <w:tcBorders/>
            <w:shd w:fill="auto" w:val="clear"/>
          </w:tcPr>
          <w:p>
            <w:pPr>
              <w:pStyle w:val="TableContents"/>
              <w:spacing w:before="0" w:after="283"/>
              <w:rPr>
                <w:b/>
              </w:rPr>
            </w:pPr>
            <w:r>
              <w:rPr>
                <w:b/>
              </w:rPr>
              <w:t>Not Applicable</w:t>
            </w:r>
          </w:p>
        </w:tc>
      </w:tr>
      <w:tr>
        <w:trPr>
          <w:trHeight w:val="195" w:hRule="atLeast"/>
        </w:trPr>
        <w:tc>
          <w:tcPr>
            <w:tcW w:w="1171" w:type="dxa"/>
            <w:tcBorders/>
            <w:shd w:fill="auto" w:val="clear"/>
            <w:vAlign w:val="center"/>
          </w:tcPr>
          <w:p>
            <w:pPr>
              <w:pStyle w:val="TableContents"/>
              <w:spacing w:before="0" w:after="283"/>
              <w:rPr>
                <w:sz w:val="4"/>
                <w:szCs w:val="4"/>
              </w:rPr>
            </w:pPr>
            <w:r>
              <w:rPr>
                <w:sz w:val="4"/>
                <w:szCs w:val="4"/>
              </w:rPr>
            </w:r>
          </w:p>
        </w:tc>
        <w:tc>
          <w:tcPr>
            <w:tcW w:w="9034" w:type="dxa"/>
            <w:gridSpan w:val="4"/>
            <w:tcBorders/>
            <w:shd w:fill="auto" w:val="clear"/>
            <w:vAlign w:val="center"/>
          </w:tcPr>
          <w:p>
            <w:pPr>
              <w:pStyle w:val="TableContents"/>
              <w:spacing w:before="0" w:after="283"/>
              <w:rPr>
                <w:sz w:val="4"/>
                <w:szCs w:val="4"/>
              </w:rPr>
            </w:pPr>
            <w:r>
              <w:rPr>
                <w:sz w:val="4"/>
                <w:szCs w:val="4"/>
              </w:rPr>
            </w:r>
          </w:p>
        </w:tc>
      </w:tr>
      <w:tr>
        <w:trPr/>
        <w:tc>
          <w:tcPr>
            <w:tcW w:w="1171" w:type="dxa"/>
            <w:tcBorders/>
            <w:shd w:fill="auto" w:val="clear"/>
          </w:tcPr>
          <w:p>
            <w:pPr>
              <w:pStyle w:val="TableContents"/>
              <w:spacing w:before="0" w:after="283"/>
              <w:rPr>
                <w:b/>
              </w:rPr>
            </w:pPr>
            <w:r>
              <w:rPr>
                <w:b/>
              </w:rPr>
              <w:t>Item 16.</w:t>
            </w:r>
          </w:p>
        </w:tc>
        <w:tc>
          <w:tcPr>
            <w:tcW w:w="103" w:type="dxa"/>
            <w:tcBorders/>
            <w:shd w:fill="auto" w:val="clear"/>
            <w:vAlign w:val="bottom"/>
          </w:tcPr>
          <w:p>
            <w:pPr>
              <w:pStyle w:val="TableContents"/>
              <w:spacing w:before="0" w:after="283"/>
              <w:rPr/>
            </w:pPr>
            <w:r>
              <w:rPr/>
              <w:t> </w:t>
            </w:r>
          </w:p>
        </w:tc>
        <w:tc>
          <w:tcPr>
            <w:tcW w:w="8931" w:type="dxa"/>
            <w:gridSpan w:val="3"/>
            <w:tcBorders/>
            <w:shd w:fill="auto" w:val="clear"/>
          </w:tcPr>
          <w:p>
            <w:pPr>
              <w:pStyle w:val="TableContents"/>
              <w:spacing w:before="0" w:after="283"/>
              <w:rPr>
                <w:b/>
              </w:rPr>
            </w:pPr>
            <w:r>
              <w:rPr>
                <w:b/>
              </w:rPr>
              <w:t>List of Exhibits.</w:t>
            </w:r>
          </w:p>
        </w:tc>
      </w:tr>
    </w:tbl>
    <w:tbl>
      <w:tblPr>
        <w:tblW w:w="5000" w:type="pct"/>
        <w:jc w:val="center"/>
        <w:tblInd w:w="0" w:type="dxa"/>
        <w:tblCellMar>
          <w:top w:w="0" w:type="dxa"/>
          <w:left w:w="0" w:type="dxa"/>
          <w:bottom w:w="0" w:type="dxa"/>
          <w:right w:w="0" w:type="dxa"/>
        </w:tblCellMar>
      </w:tblPr>
      <w:tblGrid>
        <w:gridCol w:w="1174"/>
        <w:gridCol w:w="108"/>
        <w:gridCol w:w="1905"/>
        <w:gridCol w:w="120"/>
        <w:gridCol w:w="6898"/>
      </w:tblGrid>
      <w:tr>
        <w:trPr/>
        <w:tc>
          <w:tcPr>
            <w:tcW w:w="1174"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898"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1174" w:type="dxa"/>
            <w:tcBorders/>
            <w:shd w:fill="auto" w:val="clear"/>
            <w:vAlign w:val="center"/>
          </w:tcPr>
          <w:p>
            <w:pPr>
              <w:pStyle w:val="TableContents"/>
              <w:spacing w:before="0" w:after="283"/>
              <w:rPr>
                <w:sz w:val="4"/>
                <w:szCs w:val="4"/>
              </w:rPr>
            </w:pPr>
            <w:r>
              <w:rPr>
                <w:sz w:val="4"/>
                <w:szCs w:val="4"/>
              </w:rPr>
            </w:r>
          </w:p>
        </w:tc>
        <w:tc>
          <w:tcPr>
            <w:tcW w:w="2013" w:type="dxa"/>
            <w:gridSpan w:val="2"/>
            <w:tcBorders/>
            <w:shd w:fill="auto" w:val="clear"/>
            <w:vAlign w:val="center"/>
          </w:tcPr>
          <w:p>
            <w:pPr>
              <w:pStyle w:val="TableContents"/>
              <w:spacing w:before="0" w:after="283"/>
              <w:rPr>
                <w:sz w:val="4"/>
                <w:szCs w:val="4"/>
              </w:rPr>
            </w:pPr>
            <w:r>
              <w:rPr>
                <w:sz w:val="4"/>
                <w:szCs w:val="4"/>
              </w:rPr>
            </w:r>
          </w:p>
        </w:tc>
        <w:tc>
          <w:tcPr>
            <w:tcW w:w="7018" w:type="dxa"/>
            <w:gridSpan w:val="2"/>
            <w:tcBorders/>
            <w:shd w:fill="auto" w:val="clear"/>
            <w:vAlign w:val="center"/>
          </w:tcPr>
          <w:p>
            <w:pPr>
              <w:pStyle w:val="TableContents"/>
              <w:spacing w:before="0" w:after="283"/>
              <w:rPr>
                <w:sz w:val="4"/>
                <w:szCs w:val="4"/>
              </w:rPr>
            </w:pPr>
            <w:r>
              <w:rPr>
                <w:sz w:val="4"/>
                <w:szCs w:val="4"/>
              </w:rPr>
            </w:r>
          </w:p>
        </w:tc>
      </w:tr>
      <w:tr>
        <w:trPr/>
        <w:tc>
          <w:tcPr>
            <w:tcW w:w="1174"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1905" w:type="dxa"/>
            <w:tcBorders/>
            <w:shd w:fill="auto" w:val="clear"/>
          </w:tcPr>
          <w:p>
            <w:pPr>
              <w:pStyle w:val="TableContents"/>
              <w:spacing w:before="0" w:after="283"/>
              <w:rPr>
                <w:b/>
              </w:rPr>
            </w:pPr>
            <w:r>
              <w:rPr>
                <w:b/>
              </w:rPr>
              <w:t xml:space="preserve">Exhibit 1 - </w:t>
            </w:r>
          </w:p>
        </w:tc>
        <w:tc>
          <w:tcPr>
            <w:tcW w:w="120" w:type="dxa"/>
            <w:tcBorders/>
            <w:shd w:fill="auto" w:val="clear"/>
            <w:vAlign w:val="bottom"/>
          </w:tcPr>
          <w:p>
            <w:pPr>
              <w:pStyle w:val="TableContents"/>
              <w:spacing w:before="0" w:after="283"/>
              <w:rPr/>
            </w:pPr>
            <w:r>
              <w:rPr/>
              <w:t>  </w:t>
            </w:r>
          </w:p>
        </w:tc>
        <w:tc>
          <w:tcPr>
            <w:tcW w:w="6898" w:type="dxa"/>
            <w:tcBorders/>
            <w:shd w:fill="auto" w:val="clear"/>
          </w:tcPr>
          <w:p>
            <w:pPr>
              <w:pStyle w:val="TableContents"/>
              <w:spacing w:before="0" w:after="283"/>
              <w:rPr/>
            </w:pPr>
            <w:r>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 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tc>
      </w:tr>
      <w:tr>
        <w:trPr>
          <w:trHeight w:val="195" w:hRule="atLeast"/>
        </w:trPr>
        <w:tc>
          <w:tcPr>
            <w:tcW w:w="1174" w:type="dxa"/>
            <w:tcBorders/>
            <w:shd w:fill="auto" w:val="clear"/>
            <w:vAlign w:val="center"/>
          </w:tcPr>
          <w:p>
            <w:pPr>
              <w:pStyle w:val="TableContents"/>
              <w:spacing w:before="0" w:after="283"/>
              <w:rPr>
                <w:sz w:val="4"/>
                <w:szCs w:val="4"/>
              </w:rPr>
            </w:pPr>
            <w:r>
              <w:rPr>
                <w:sz w:val="4"/>
                <w:szCs w:val="4"/>
              </w:rPr>
            </w:r>
          </w:p>
        </w:tc>
        <w:tc>
          <w:tcPr>
            <w:tcW w:w="2013" w:type="dxa"/>
            <w:gridSpan w:val="2"/>
            <w:tcBorders/>
            <w:shd w:fill="auto" w:val="clear"/>
            <w:vAlign w:val="center"/>
          </w:tcPr>
          <w:p>
            <w:pPr>
              <w:pStyle w:val="TableContents"/>
              <w:spacing w:before="0" w:after="283"/>
              <w:rPr>
                <w:sz w:val="4"/>
                <w:szCs w:val="4"/>
              </w:rPr>
            </w:pPr>
            <w:r>
              <w:rPr>
                <w:sz w:val="4"/>
                <w:szCs w:val="4"/>
              </w:rPr>
            </w:r>
          </w:p>
        </w:tc>
        <w:tc>
          <w:tcPr>
            <w:tcW w:w="7018" w:type="dxa"/>
            <w:gridSpan w:val="2"/>
            <w:tcBorders/>
            <w:shd w:fill="auto" w:val="clear"/>
            <w:vAlign w:val="center"/>
          </w:tcPr>
          <w:p>
            <w:pPr>
              <w:pStyle w:val="TableContents"/>
              <w:spacing w:before="0" w:after="283"/>
              <w:rPr>
                <w:sz w:val="4"/>
                <w:szCs w:val="4"/>
              </w:rPr>
            </w:pPr>
            <w:r>
              <w:rPr>
                <w:sz w:val="4"/>
                <w:szCs w:val="4"/>
              </w:rPr>
            </w:r>
          </w:p>
        </w:tc>
      </w:tr>
      <w:tr>
        <w:trPr/>
        <w:tc>
          <w:tcPr>
            <w:tcW w:w="1174"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1905" w:type="dxa"/>
            <w:tcBorders/>
            <w:shd w:fill="auto" w:val="clear"/>
          </w:tcPr>
          <w:p>
            <w:pPr>
              <w:pStyle w:val="TableContents"/>
              <w:spacing w:before="0" w:after="283"/>
              <w:rPr>
                <w:b/>
              </w:rPr>
            </w:pPr>
            <w:r>
              <w:rPr>
                <w:b/>
              </w:rPr>
              <w:t>Exhibit 2 -</w:t>
            </w:r>
          </w:p>
        </w:tc>
        <w:tc>
          <w:tcPr>
            <w:tcW w:w="120" w:type="dxa"/>
            <w:tcBorders/>
            <w:shd w:fill="auto" w:val="clear"/>
            <w:vAlign w:val="bottom"/>
          </w:tcPr>
          <w:p>
            <w:pPr>
              <w:pStyle w:val="TableContents"/>
              <w:spacing w:before="0" w:after="283"/>
              <w:rPr/>
            </w:pPr>
            <w:r>
              <w:rPr/>
              <w:t>  </w:t>
            </w:r>
          </w:p>
        </w:tc>
        <w:tc>
          <w:tcPr>
            <w:tcW w:w="6898" w:type="dxa"/>
            <w:tcBorders/>
            <w:shd w:fill="auto" w:val="clear"/>
          </w:tcPr>
          <w:p>
            <w:pPr>
              <w:pStyle w:val="TableContents"/>
              <w:spacing w:before="0" w:after="283"/>
              <w:rPr/>
            </w:pPr>
            <w:r>
              <w:rPr/>
              <w:t>Certificate of Authority to commence business, incorporated herein by reference to Exhibit 2 filed with Form T-1 Statement, Registration No. 333-201810.</w:t>
            </w:r>
          </w:p>
        </w:tc>
      </w:tr>
      <w:tr>
        <w:trPr>
          <w:trHeight w:val="195" w:hRule="atLeast"/>
        </w:trPr>
        <w:tc>
          <w:tcPr>
            <w:tcW w:w="1174" w:type="dxa"/>
            <w:tcBorders/>
            <w:shd w:fill="auto" w:val="clear"/>
            <w:vAlign w:val="center"/>
          </w:tcPr>
          <w:p>
            <w:pPr>
              <w:pStyle w:val="TableContents"/>
              <w:spacing w:before="0" w:after="283"/>
              <w:rPr>
                <w:sz w:val="4"/>
                <w:szCs w:val="4"/>
              </w:rPr>
            </w:pPr>
            <w:r>
              <w:rPr>
                <w:sz w:val="4"/>
                <w:szCs w:val="4"/>
              </w:rPr>
            </w:r>
          </w:p>
        </w:tc>
        <w:tc>
          <w:tcPr>
            <w:tcW w:w="2013" w:type="dxa"/>
            <w:gridSpan w:val="2"/>
            <w:tcBorders/>
            <w:shd w:fill="auto" w:val="clear"/>
            <w:vAlign w:val="center"/>
          </w:tcPr>
          <w:p>
            <w:pPr>
              <w:pStyle w:val="TableContents"/>
              <w:spacing w:before="0" w:after="283"/>
              <w:rPr>
                <w:sz w:val="4"/>
                <w:szCs w:val="4"/>
              </w:rPr>
            </w:pPr>
            <w:r>
              <w:rPr>
                <w:sz w:val="4"/>
                <w:szCs w:val="4"/>
              </w:rPr>
            </w:r>
          </w:p>
        </w:tc>
        <w:tc>
          <w:tcPr>
            <w:tcW w:w="7018" w:type="dxa"/>
            <w:gridSpan w:val="2"/>
            <w:tcBorders/>
            <w:shd w:fill="auto" w:val="clear"/>
            <w:vAlign w:val="center"/>
          </w:tcPr>
          <w:p>
            <w:pPr>
              <w:pStyle w:val="TableContents"/>
              <w:spacing w:before="0" w:after="283"/>
              <w:rPr>
                <w:sz w:val="4"/>
                <w:szCs w:val="4"/>
              </w:rPr>
            </w:pPr>
            <w:r>
              <w:rPr>
                <w:sz w:val="4"/>
                <w:szCs w:val="4"/>
              </w:rPr>
            </w:r>
          </w:p>
        </w:tc>
      </w:tr>
      <w:tr>
        <w:trPr/>
        <w:tc>
          <w:tcPr>
            <w:tcW w:w="1174"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1905" w:type="dxa"/>
            <w:tcBorders/>
            <w:shd w:fill="auto" w:val="clear"/>
          </w:tcPr>
          <w:p>
            <w:pPr>
              <w:pStyle w:val="TableContents"/>
              <w:spacing w:before="0" w:after="283"/>
              <w:rPr>
                <w:b/>
              </w:rPr>
            </w:pPr>
            <w:r>
              <w:rPr>
                <w:b/>
              </w:rPr>
              <w:t>Exhibit 3 -</w:t>
            </w:r>
          </w:p>
        </w:tc>
        <w:tc>
          <w:tcPr>
            <w:tcW w:w="120" w:type="dxa"/>
            <w:tcBorders/>
            <w:shd w:fill="auto" w:val="clear"/>
            <w:vAlign w:val="bottom"/>
          </w:tcPr>
          <w:p>
            <w:pPr>
              <w:pStyle w:val="TableContents"/>
              <w:spacing w:before="0" w:after="283"/>
              <w:rPr/>
            </w:pPr>
            <w:r>
              <w:rPr/>
              <w:t>  </w:t>
            </w:r>
          </w:p>
        </w:tc>
        <w:tc>
          <w:tcPr>
            <w:tcW w:w="6898" w:type="dxa"/>
            <w:tcBorders/>
            <w:shd w:fill="auto" w:val="clear"/>
          </w:tcPr>
          <w:p>
            <w:pPr>
              <w:pStyle w:val="TableContents"/>
              <w:spacing w:before="0" w:after="283"/>
              <w:rPr/>
            </w:pPr>
            <w:r>
              <w:rPr/>
              <w:t>Authorization of the Trustee to exercise corporate trust powers, incorporated herein by reference to Exhibit 3 filed with Form T-1 Statement, Registration No. 333-201810.</w:t>
            </w:r>
          </w:p>
        </w:tc>
      </w:tr>
      <w:tr>
        <w:trPr>
          <w:trHeight w:val="195" w:hRule="atLeast"/>
        </w:trPr>
        <w:tc>
          <w:tcPr>
            <w:tcW w:w="1174" w:type="dxa"/>
            <w:tcBorders/>
            <w:shd w:fill="auto" w:val="clear"/>
            <w:vAlign w:val="center"/>
          </w:tcPr>
          <w:p>
            <w:pPr>
              <w:pStyle w:val="TableContents"/>
              <w:spacing w:before="0" w:after="283"/>
              <w:rPr>
                <w:sz w:val="4"/>
                <w:szCs w:val="4"/>
              </w:rPr>
            </w:pPr>
            <w:r>
              <w:rPr>
                <w:sz w:val="4"/>
                <w:szCs w:val="4"/>
              </w:rPr>
            </w:r>
          </w:p>
        </w:tc>
        <w:tc>
          <w:tcPr>
            <w:tcW w:w="2013" w:type="dxa"/>
            <w:gridSpan w:val="2"/>
            <w:tcBorders/>
            <w:shd w:fill="auto" w:val="clear"/>
            <w:vAlign w:val="center"/>
          </w:tcPr>
          <w:p>
            <w:pPr>
              <w:pStyle w:val="TableContents"/>
              <w:spacing w:before="0" w:after="283"/>
              <w:rPr>
                <w:sz w:val="4"/>
                <w:szCs w:val="4"/>
              </w:rPr>
            </w:pPr>
            <w:r>
              <w:rPr>
                <w:sz w:val="4"/>
                <w:szCs w:val="4"/>
              </w:rPr>
            </w:r>
          </w:p>
        </w:tc>
        <w:tc>
          <w:tcPr>
            <w:tcW w:w="7018" w:type="dxa"/>
            <w:gridSpan w:val="2"/>
            <w:tcBorders/>
            <w:shd w:fill="auto" w:val="clear"/>
            <w:vAlign w:val="center"/>
          </w:tcPr>
          <w:p>
            <w:pPr>
              <w:pStyle w:val="TableContents"/>
              <w:spacing w:before="0" w:after="283"/>
              <w:rPr>
                <w:sz w:val="4"/>
                <w:szCs w:val="4"/>
              </w:rPr>
            </w:pPr>
            <w:r>
              <w:rPr>
                <w:sz w:val="4"/>
                <w:szCs w:val="4"/>
              </w:rPr>
            </w:r>
          </w:p>
        </w:tc>
      </w:tr>
      <w:tr>
        <w:trPr/>
        <w:tc>
          <w:tcPr>
            <w:tcW w:w="1174"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1905" w:type="dxa"/>
            <w:tcBorders/>
            <w:shd w:fill="auto" w:val="clear"/>
          </w:tcPr>
          <w:p>
            <w:pPr>
              <w:pStyle w:val="TableContents"/>
              <w:spacing w:before="0" w:after="283"/>
              <w:rPr>
                <w:b/>
              </w:rPr>
            </w:pPr>
            <w:r>
              <w:rPr>
                <w:b/>
              </w:rPr>
              <w:t>Exhibit 4 -</w:t>
            </w:r>
          </w:p>
        </w:tc>
        <w:tc>
          <w:tcPr>
            <w:tcW w:w="120" w:type="dxa"/>
            <w:tcBorders/>
            <w:shd w:fill="auto" w:val="clear"/>
            <w:vAlign w:val="bottom"/>
          </w:tcPr>
          <w:p>
            <w:pPr>
              <w:pStyle w:val="TableContents"/>
              <w:spacing w:before="0" w:after="283"/>
              <w:rPr/>
            </w:pPr>
            <w:r>
              <w:rPr/>
              <w:t>  </w:t>
            </w:r>
          </w:p>
        </w:tc>
        <w:tc>
          <w:tcPr>
            <w:tcW w:w="6898" w:type="dxa"/>
            <w:tcBorders/>
            <w:shd w:fill="auto" w:val="clear"/>
          </w:tcPr>
          <w:p>
            <w:pPr>
              <w:pStyle w:val="TableContents"/>
              <w:spacing w:before="0" w:after="283"/>
              <w:rPr/>
            </w:pPr>
            <w:r>
              <w:rPr/>
              <w:t>Existing By-Laws of Deutsche Bank Trust Company Americas, dated July 24, 2014, incorporated herein by reference to Exhibit 4 filed with Form T-1 Statement, Registration No. 333-201810.</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354"/>
        <w:gridCol w:w="107"/>
        <w:gridCol w:w="1948"/>
        <w:gridCol w:w="122"/>
        <w:gridCol w:w="6674"/>
      </w:tblGrid>
      <w:tr>
        <w:trPr/>
        <w:tc>
          <w:tcPr>
            <w:tcW w:w="1354"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674" w:type="dxa"/>
            <w:tcBorders/>
            <w:shd w:fill="auto" w:val="clear"/>
            <w:vAlign w:val="center"/>
          </w:tcPr>
          <w:p>
            <w:pPr>
              <w:pStyle w:val="TableContents"/>
              <w:spacing w:before="0" w:after="283"/>
              <w:rPr>
                <w:sz w:val="4"/>
                <w:szCs w:val="4"/>
              </w:rPr>
            </w:pPr>
            <w:r>
              <w:rPr>
                <w:sz w:val="4"/>
                <w:szCs w:val="4"/>
              </w:rPr>
            </w:r>
          </w:p>
        </w:tc>
      </w:tr>
      <w:tr>
        <w:trPr/>
        <w:tc>
          <w:tcPr>
            <w:tcW w:w="1354"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48" w:type="dxa"/>
            <w:tcBorders/>
            <w:shd w:fill="auto" w:val="clear"/>
          </w:tcPr>
          <w:p>
            <w:pPr>
              <w:pStyle w:val="TableContents"/>
              <w:spacing w:before="0" w:after="283"/>
              <w:rPr>
                <w:b/>
              </w:rPr>
            </w:pPr>
            <w:r>
              <w:rPr>
                <w:b/>
              </w:rPr>
              <w:t>Exhibit 5 -</w:t>
            </w:r>
          </w:p>
        </w:tc>
        <w:tc>
          <w:tcPr>
            <w:tcW w:w="122" w:type="dxa"/>
            <w:tcBorders/>
            <w:shd w:fill="auto" w:val="clear"/>
            <w:vAlign w:val="bottom"/>
          </w:tcPr>
          <w:p>
            <w:pPr>
              <w:pStyle w:val="TableContents"/>
              <w:spacing w:before="0" w:after="283"/>
              <w:rPr/>
            </w:pPr>
            <w:r>
              <w:rPr/>
              <w:t>  </w:t>
            </w:r>
          </w:p>
        </w:tc>
        <w:tc>
          <w:tcPr>
            <w:tcW w:w="6674" w:type="dxa"/>
            <w:tcBorders/>
            <w:shd w:fill="auto" w:val="clear"/>
          </w:tcPr>
          <w:p>
            <w:pPr>
              <w:pStyle w:val="TableContents"/>
              <w:spacing w:before="0" w:after="283"/>
              <w:rPr/>
            </w:pPr>
            <w:r>
              <w:rPr/>
              <w:t>Not applicable.</w:t>
            </w:r>
          </w:p>
        </w:tc>
      </w:tr>
      <w:tr>
        <w:trPr>
          <w:trHeight w:val="195" w:hRule="atLeast"/>
        </w:trPr>
        <w:tc>
          <w:tcPr>
            <w:tcW w:w="1354" w:type="dxa"/>
            <w:tcBorders/>
            <w:shd w:fill="auto" w:val="clear"/>
            <w:vAlign w:val="center"/>
          </w:tcPr>
          <w:p>
            <w:pPr>
              <w:pStyle w:val="TableContents"/>
              <w:spacing w:before="0" w:after="283"/>
              <w:rPr>
                <w:sz w:val="4"/>
                <w:szCs w:val="4"/>
              </w:rPr>
            </w:pPr>
            <w:r>
              <w:rPr>
                <w:sz w:val="4"/>
                <w:szCs w:val="4"/>
              </w:rPr>
            </w:r>
          </w:p>
        </w:tc>
        <w:tc>
          <w:tcPr>
            <w:tcW w:w="2055" w:type="dxa"/>
            <w:gridSpan w:val="2"/>
            <w:tcBorders/>
            <w:shd w:fill="auto" w:val="clear"/>
            <w:vAlign w:val="center"/>
          </w:tcPr>
          <w:p>
            <w:pPr>
              <w:pStyle w:val="TableContents"/>
              <w:spacing w:before="0" w:after="283"/>
              <w:rPr>
                <w:sz w:val="4"/>
                <w:szCs w:val="4"/>
              </w:rPr>
            </w:pPr>
            <w:r>
              <w:rPr>
                <w:sz w:val="4"/>
                <w:szCs w:val="4"/>
              </w:rPr>
            </w:r>
          </w:p>
        </w:tc>
        <w:tc>
          <w:tcPr>
            <w:tcW w:w="6796" w:type="dxa"/>
            <w:gridSpan w:val="2"/>
            <w:tcBorders/>
            <w:shd w:fill="auto" w:val="clear"/>
            <w:vAlign w:val="center"/>
          </w:tcPr>
          <w:p>
            <w:pPr>
              <w:pStyle w:val="TableContents"/>
              <w:spacing w:before="0" w:after="283"/>
              <w:rPr>
                <w:sz w:val="4"/>
                <w:szCs w:val="4"/>
              </w:rPr>
            </w:pPr>
            <w:r>
              <w:rPr>
                <w:sz w:val="4"/>
                <w:szCs w:val="4"/>
              </w:rPr>
            </w:r>
          </w:p>
        </w:tc>
      </w:tr>
      <w:tr>
        <w:trPr/>
        <w:tc>
          <w:tcPr>
            <w:tcW w:w="1354" w:type="dxa"/>
            <w:tcBorders/>
            <w:shd w:fill="auto" w:val="clear"/>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948" w:type="dxa"/>
            <w:tcBorders/>
            <w:shd w:fill="auto" w:val="clear"/>
          </w:tcPr>
          <w:p>
            <w:pPr>
              <w:pStyle w:val="TableContents"/>
              <w:spacing w:before="0" w:after="283"/>
              <w:rPr>
                <w:b/>
              </w:rPr>
            </w:pPr>
            <w:r>
              <w:rPr>
                <w:b/>
              </w:rPr>
              <w:t>Exhibit 6 -</w:t>
            </w:r>
          </w:p>
        </w:tc>
        <w:tc>
          <w:tcPr>
            <w:tcW w:w="122" w:type="dxa"/>
            <w:tcBorders/>
            <w:shd w:fill="auto" w:val="clear"/>
            <w:vAlign w:val="bottom"/>
          </w:tcPr>
          <w:p>
            <w:pPr>
              <w:pStyle w:val="TableContents"/>
              <w:spacing w:before="0" w:after="283"/>
              <w:rPr/>
            </w:pPr>
            <w:r>
              <w:rPr/>
              <w:t>  </w:t>
            </w:r>
          </w:p>
        </w:tc>
        <w:tc>
          <w:tcPr>
            <w:tcW w:w="6674" w:type="dxa"/>
            <w:tcBorders/>
            <w:shd w:fill="auto" w:val="clear"/>
          </w:tcPr>
          <w:p>
            <w:pPr>
              <w:pStyle w:val="TableContents"/>
              <w:spacing w:before="0" w:after="283"/>
              <w:rPr/>
            </w:pPr>
            <w:r>
              <w:rPr/>
              <w:t>Consent of Bankers Trust Company required by Section 321(b) of the Act, incorporated herein by reference to Exhibit 6 filed with Form T-1 Statement, Registration No. 333-201810.</w:t>
            </w:r>
          </w:p>
        </w:tc>
      </w:tr>
      <w:tr>
        <w:trPr>
          <w:trHeight w:val="195" w:hRule="atLeast"/>
        </w:trPr>
        <w:tc>
          <w:tcPr>
            <w:tcW w:w="1354" w:type="dxa"/>
            <w:tcBorders/>
            <w:shd w:fill="auto" w:val="clear"/>
            <w:vAlign w:val="center"/>
          </w:tcPr>
          <w:p>
            <w:pPr>
              <w:pStyle w:val="TableContents"/>
              <w:spacing w:before="0" w:after="283"/>
              <w:rPr>
                <w:sz w:val="4"/>
                <w:szCs w:val="4"/>
              </w:rPr>
            </w:pPr>
            <w:r>
              <w:rPr>
                <w:sz w:val="4"/>
                <w:szCs w:val="4"/>
              </w:rPr>
            </w:r>
          </w:p>
        </w:tc>
        <w:tc>
          <w:tcPr>
            <w:tcW w:w="2055" w:type="dxa"/>
            <w:gridSpan w:val="2"/>
            <w:tcBorders/>
            <w:shd w:fill="auto" w:val="clear"/>
            <w:vAlign w:val="center"/>
          </w:tcPr>
          <w:p>
            <w:pPr>
              <w:pStyle w:val="TableContents"/>
              <w:spacing w:before="0" w:after="283"/>
              <w:rPr>
                <w:sz w:val="4"/>
                <w:szCs w:val="4"/>
              </w:rPr>
            </w:pPr>
            <w:r>
              <w:rPr>
                <w:sz w:val="4"/>
                <w:szCs w:val="4"/>
              </w:rPr>
            </w:r>
          </w:p>
        </w:tc>
        <w:tc>
          <w:tcPr>
            <w:tcW w:w="6796" w:type="dxa"/>
            <w:gridSpan w:val="2"/>
            <w:tcBorders/>
            <w:shd w:fill="auto" w:val="clear"/>
            <w:vAlign w:val="center"/>
          </w:tcPr>
          <w:p>
            <w:pPr>
              <w:pStyle w:val="TableContents"/>
              <w:spacing w:before="0" w:after="283"/>
              <w:rPr>
                <w:sz w:val="4"/>
                <w:szCs w:val="4"/>
              </w:rPr>
            </w:pPr>
            <w:r>
              <w:rPr>
                <w:sz w:val="4"/>
                <w:szCs w:val="4"/>
              </w:rPr>
            </w:r>
          </w:p>
        </w:tc>
      </w:tr>
      <w:tr>
        <w:trPr/>
        <w:tc>
          <w:tcPr>
            <w:tcW w:w="1354"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48" w:type="dxa"/>
            <w:tcBorders/>
            <w:shd w:fill="auto" w:val="clear"/>
          </w:tcPr>
          <w:p>
            <w:pPr>
              <w:pStyle w:val="TableContents"/>
              <w:spacing w:before="0" w:after="283"/>
              <w:rPr>
                <w:b/>
              </w:rPr>
            </w:pPr>
            <w:r>
              <w:rPr>
                <w:b/>
              </w:rPr>
              <w:t>Exhibit 7 -</w:t>
            </w:r>
          </w:p>
        </w:tc>
        <w:tc>
          <w:tcPr>
            <w:tcW w:w="122" w:type="dxa"/>
            <w:tcBorders/>
            <w:shd w:fill="auto" w:val="clear"/>
            <w:vAlign w:val="bottom"/>
          </w:tcPr>
          <w:p>
            <w:pPr>
              <w:pStyle w:val="TableContents"/>
              <w:spacing w:before="0" w:after="283"/>
              <w:rPr/>
            </w:pPr>
            <w:r>
              <w:rPr/>
              <w:t>  </w:t>
            </w:r>
          </w:p>
        </w:tc>
        <w:tc>
          <w:tcPr>
            <w:tcW w:w="6674" w:type="dxa"/>
            <w:tcBorders/>
            <w:shd w:fill="auto" w:val="clear"/>
          </w:tcPr>
          <w:p>
            <w:pPr>
              <w:pStyle w:val="TableContents"/>
              <w:spacing w:before="0" w:after="283"/>
              <w:rPr/>
            </w:pPr>
            <w:r>
              <w:rPr/>
              <w:t>A copy of the latest report of condition of the trustee published pursuant to law or the requirements of its supervising or examining authority.</w:t>
            </w:r>
          </w:p>
        </w:tc>
      </w:tr>
      <w:tr>
        <w:trPr>
          <w:trHeight w:val="195" w:hRule="atLeast"/>
        </w:trPr>
        <w:tc>
          <w:tcPr>
            <w:tcW w:w="1354" w:type="dxa"/>
            <w:tcBorders/>
            <w:shd w:fill="auto" w:val="clear"/>
            <w:vAlign w:val="center"/>
          </w:tcPr>
          <w:p>
            <w:pPr>
              <w:pStyle w:val="TableContents"/>
              <w:spacing w:before="0" w:after="283"/>
              <w:rPr>
                <w:sz w:val="4"/>
                <w:szCs w:val="4"/>
              </w:rPr>
            </w:pPr>
            <w:r>
              <w:rPr>
                <w:sz w:val="4"/>
                <w:szCs w:val="4"/>
              </w:rPr>
            </w:r>
          </w:p>
        </w:tc>
        <w:tc>
          <w:tcPr>
            <w:tcW w:w="2055" w:type="dxa"/>
            <w:gridSpan w:val="2"/>
            <w:tcBorders/>
            <w:shd w:fill="auto" w:val="clear"/>
            <w:vAlign w:val="center"/>
          </w:tcPr>
          <w:p>
            <w:pPr>
              <w:pStyle w:val="TableContents"/>
              <w:spacing w:before="0" w:after="283"/>
              <w:rPr>
                <w:sz w:val="4"/>
                <w:szCs w:val="4"/>
              </w:rPr>
            </w:pPr>
            <w:r>
              <w:rPr>
                <w:sz w:val="4"/>
                <w:szCs w:val="4"/>
              </w:rPr>
            </w:r>
          </w:p>
        </w:tc>
        <w:tc>
          <w:tcPr>
            <w:tcW w:w="6796" w:type="dxa"/>
            <w:gridSpan w:val="2"/>
            <w:tcBorders/>
            <w:shd w:fill="auto" w:val="clear"/>
            <w:vAlign w:val="center"/>
          </w:tcPr>
          <w:p>
            <w:pPr>
              <w:pStyle w:val="TableContents"/>
              <w:spacing w:before="0" w:after="283"/>
              <w:rPr>
                <w:sz w:val="4"/>
                <w:szCs w:val="4"/>
              </w:rPr>
            </w:pPr>
            <w:r>
              <w:rPr>
                <w:sz w:val="4"/>
                <w:szCs w:val="4"/>
              </w:rPr>
            </w:r>
          </w:p>
        </w:tc>
      </w:tr>
      <w:tr>
        <w:trPr/>
        <w:tc>
          <w:tcPr>
            <w:tcW w:w="1354"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48" w:type="dxa"/>
            <w:tcBorders/>
            <w:shd w:fill="auto" w:val="clear"/>
          </w:tcPr>
          <w:p>
            <w:pPr>
              <w:pStyle w:val="TableContents"/>
              <w:spacing w:before="0" w:after="283"/>
              <w:rPr>
                <w:b/>
              </w:rPr>
            </w:pPr>
            <w:r>
              <w:rPr>
                <w:b/>
              </w:rPr>
              <w:t>Exhibit 8 -</w:t>
            </w:r>
          </w:p>
        </w:tc>
        <w:tc>
          <w:tcPr>
            <w:tcW w:w="122" w:type="dxa"/>
            <w:tcBorders/>
            <w:shd w:fill="auto" w:val="clear"/>
            <w:vAlign w:val="bottom"/>
          </w:tcPr>
          <w:p>
            <w:pPr>
              <w:pStyle w:val="TableContents"/>
              <w:spacing w:before="0" w:after="283"/>
              <w:rPr/>
            </w:pPr>
            <w:r>
              <w:rPr/>
              <w:t>  </w:t>
            </w:r>
          </w:p>
        </w:tc>
        <w:tc>
          <w:tcPr>
            <w:tcW w:w="6674" w:type="dxa"/>
            <w:tcBorders/>
            <w:shd w:fill="auto" w:val="clear"/>
          </w:tcPr>
          <w:p>
            <w:pPr>
              <w:pStyle w:val="TableContents"/>
              <w:spacing w:before="0" w:after="283"/>
              <w:rPr/>
            </w:pPr>
            <w:r>
              <w:rPr/>
              <w:t>Not Applicable.</w:t>
            </w:r>
          </w:p>
        </w:tc>
      </w:tr>
      <w:tr>
        <w:trPr>
          <w:trHeight w:val="195" w:hRule="atLeast"/>
        </w:trPr>
        <w:tc>
          <w:tcPr>
            <w:tcW w:w="1354" w:type="dxa"/>
            <w:tcBorders/>
            <w:shd w:fill="auto" w:val="clear"/>
            <w:vAlign w:val="center"/>
          </w:tcPr>
          <w:p>
            <w:pPr>
              <w:pStyle w:val="TableContents"/>
              <w:spacing w:before="0" w:after="283"/>
              <w:rPr>
                <w:sz w:val="4"/>
                <w:szCs w:val="4"/>
              </w:rPr>
            </w:pPr>
            <w:r>
              <w:rPr>
                <w:sz w:val="4"/>
                <w:szCs w:val="4"/>
              </w:rPr>
            </w:r>
          </w:p>
        </w:tc>
        <w:tc>
          <w:tcPr>
            <w:tcW w:w="2055" w:type="dxa"/>
            <w:gridSpan w:val="2"/>
            <w:tcBorders/>
            <w:shd w:fill="auto" w:val="clear"/>
            <w:vAlign w:val="center"/>
          </w:tcPr>
          <w:p>
            <w:pPr>
              <w:pStyle w:val="TableContents"/>
              <w:spacing w:before="0" w:after="283"/>
              <w:rPr>
                <w:sz w:val="4"/>
                <w:szCs w:val="4"/>
              </w:rPr>
            </w:pPr>
            <w:r>
              <w:rPr>
                <w:sz w:val="4"/>
                <w:szCs w:val="4"/>
              </w:rPr>
            </w:r>
          </w:p>
        </w:tc>
        <w:tc>
          <w:tcPr>
            <w:tcW w:w="6796" w:type="dxa"/>
            <w:gridSpan w:val="2"/>
            <w:tcBorders/>
            <w:shd w:fill="auto" w:val="clear"/>
            <w:vAlign w:val="center"/>
          </w:tcPr>
          <w:p>
            <w:pPr>
              <w:pStyle w:val="TableContents"/>
              <w:spacing w:before="0" w:after="283"/>
              <w:rPr>
                <w:sz w:val="4"/>
                <w:szCs w:val="4"/>
              </w:rPr>
            </w:pPr>
            <w:r>
              <w:rPr>
                <w:sz w:val="4"/>
                <w:szCs w:val="4"/>
              </w:rPr>
            </w:r>
          </w:p>
        </w:tc>
      </w:tr>
      <w:tr>
        <w:trPr/>
        <w:tc>
          <w:tcPr>
            <w:tcW w:w="1354"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948" w:type="dxa"/>
            <w:tcBorders/>
            <w:shd w:fill="auto" w:val="clear"/>
          </w:tcPr>
          <w:p>
            <w:pPr>
              <w:pStyle w:val="TableContents"/>
              <w:spacing w:before="0" w:after="283"/>
              <w:rPr>
                <w:b/>
              </w:rPr>
            </w:pPr>
            <w:r>
              <w:rPr>
                <w:b/>
              </w:rPr>
              <w:t>Exhibit 9 -</w:t>
            </w:r>
          </w:p>
        </w:tc>
        <w:tc>
          <w:tcPr>
            <w:tcW w:w="122" w:type="dxa"/>
            <w:tcBorders/>
            <w:shd w:fill="auto" w:val="clear"/>
            <w:vAlign w:val="bottom"/>
          </w:tcPr>
          <w:p>
            <w:pPr>
              <w:pStyle w:val="TableContents"/>
              <w:spacing w:before="0" w:after="283"/>
              <w:rPr/>
            </w:pPr>
            <w:r>
              <w:rPr/>
              <w:t>  </w:t>
            </w:r>
          </w:p>
        </w:tc>
        <w:tc>
          <w:tcPr>
            <w:tcW w:w="6674" w:type="dxa"/>
            <w:tcBorders/>
            <w:shd w:fill="auto" w:val="clear"/>
          </w:tcPr>
          <w:p>
            <w:pPr>
              <w:pStyle w:val="TableContents"/>
              <w:spacing w:before="0" w:after="283"/>
              <w:rPr/>
            </w:pPr>
            <w:r>
              <w:rPr/>
              <w:t>Not Applicable.</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rPr>
      </w:pPr>
      <w:r>
        <w:rPr>
          <w:rFonts w:ascii="Times New Roman" w:hAnsi="Times New Roman"/>
          <w:b/>
          <w:sz w:val="17"/>
        </w:rPr>
        <w:t xml:space="preserve">SIGNATURE </w:t>
      </w:r>
    </w:p>
    <w:p>
      <w:pPr>
        <w:pStyle w:val="TextBody"/>
        <w:spacing w:before="600" w:after="0"/>
        <w:jc w:val="left"/>
        <w:rPr>
          <w:rFonts w:ascii="Times New Roman" w:hAnsi="Times New Roman"/>
          <w:sz w:val="17"/>
        </w:rPr>
      </w:pPr>
      <w:r>
        <w:rPr>
          <w:rFonts w:ascii="Times New Roman" w:hAnsi="Times New Roman"/>
          <w:sz w:val="17"/>
        </w:rPr>
        <w:t xml:space="preserve">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29 day of November,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23"/>
        <w:gridCol w:w="103"/>
        <w:gridCol w:w="1144"/>
        <w:gridCol w:w="134"/>
        <w:gridCol w:w="898"/>
        <w:gridCol w:w="103"/>
        <w:gridCol w:w="4139"/>
        <w:gridCol w:w="134"/>
        <w:gridCol w:w="27"/>
      </w:tblGrid>
      <w:tr>
        <w:trPr/>
        <w:tc>
          <w:tcPr>
            <w:tcW w:w="352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13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27" w:type="dxa"/>
            <w:tcBorders/>
            <w:shd w:fill="auto" w:val="clear"/>
            <w:vAlign w:val="center"/>
          </w:tcPr>
          <w:p>
            <w:pPr>
              <w:pStyle w:val="TableContents"/>
              <w:spacing w:before="0" w:after="283"/>
              <w:rPr>
                <w:sz w:val="4"/>
                <w:szCs w:val="4"/>
              </w:rPr>
            </w:pPr>
            <w:r>
              <w:rPr>
                <w:sz w:val="4"/>
                <w:szCs w:val="4"/>
              </w:rPr>
            </w:r>
          </w:p>
        </w:tc>
      </w:tr>
      <w:tr>
        <w:trPr/>
        <w:tc>
          <w:tcPr>
            <w:tcW w:w="352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6418" w:type="dxa"/>
            <w:gridSpan w:val="5"/>
            <w:tcBorders/>
            <w:shd w:fill="auto" w:val="clear"/>
            <w:vAlign w:val="bottom"/>
          </w:tcPr>
          <w:p>
            <w:pPr>
              <w:pStyle w:val="TableContents"/>
              <w:spacing w:before="0" w:after="283"/>
              <w:rPr/>
            </w:pPr>
            <w:r>
              <w:rPr/>
              <w:t>DEUTSCHE BANK TRUST COMPANY AMERICAS</w:t>
            </w:r>
          </w:p>
        </w:tc>
        <w:tc>
          <w:tcPr>
            <w:tcW w:w="134" w:type="dxa"/>
            <w:tcBorders/>
            <w:shd w:fill="auto" w:val="clear"/>
            <w:vAlign w:val="bottom"/>
          </w:tcPr>
          <w:p>
            <w:pPr>
              <w:pStyle w:val="TableContents"/>
              <w:spacing w:before="0" w:after="283"/>
              <w:rPr/>
            </w:pPr>
            <w:r>
              <w:rPr/>
              <w:t>  </w:t>
            </w:r>
          </w:p>
        </w:tc>
        <w:tc>
          <w:tcPr>
            <w:tcW w:w="27"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3523" w:type="dxa"/>
            <w:tcBorders/>
            <w:shd w:fill="auto" w:val="clear"/>
            <w:vAlign w:val="center"/>
          </w:tcPr>
          <w:p>
            <w:pPr>
              <w:pStyle w:val="TableContents"/>
              <w:spacing w:before="0" w:after="283"/>
              <w:rPr>
                <w:sz w:val="4"/>
                <w:szCs w:val="4"/>
              </w:rPr>
            </w:pPr>
            <w:r>
              <w:rPr>
                <w:sz w:val="4"/>
                <w:szCs w:val="4"/>
              </w:rPr>
            </w:r>
          </w:p>
        </w:tc>
        <w:tc>
          <w:tcPr>
            <w:tcW w:w="1247" w:type="dxa"/>
            <w:gridSpan w:val="2"/>
            <w:tcBorders/>
            <w:shd w:fill="auto" w:val="clear"/>
            <w:vAlign w:val="center"/>
          </w:tcPr>
          <w:p>
            <w:pPr>
              <w:pStyle w:val="TableContents"/>
              <w:spacing w:before="0" w:after="283"/>
              <w:rPr>
                <w:sz w:val="4"/>
                <w:szCs w:val="4"/>
              </w:rPr>
            </w:pPr>
            <w:r>
              <w:rPr>
                <w:sz w:val="4"/>
                <w:szCs w:val="4"/>
              </w:rPr>
            </w:r>
          </w:p>
        </w:tc>
        <w:tc>
          <w:tcPr>
            <w:tcW w:w="5274" w:type="dxa"/>
            <w:gridSpan w:val="4"/>
            <w:tcBorders/>
            <w:shd w:fill="auto" w:val="clear"/>
            <w:vAlign w:val="center"/>
          </w:tcPr>
          <w:p>
            <w:pPr>
              <w:pStyle w:val="TableContents"/>
              <w:spacing w:before="0" w:after="283"/>
              <w:rPr>
                <w:sz w:val="4"/>
                <w:szCs w:val="4"/>
              </w:rPr>
            </w:pPr>
            <w:r>
              <w:rPr>
                <w:sz w:val="4"/>
                <w:szCs w:val="4"/>
              </w:rPr>
            </w:r>
          </w:p>
        </w:tc>
        <w:tc>
          <w:tcPr>
            <w:tcW w:w="161" w:type="dxa"/>
            <w:gridSpan w:val="2"/>
            <w:tcBorders/>
            <w:shd w:fill="auto" w:val="clear"/>
            <w:vAlign w:val="center"/>
          </w:tcPr>
          <w:p>
            <w:pPr>
              <w:pStyle w:val="TableContents"/>
              <w:spacing w:before="0" w:after="283"/>
              <w:rPr>
                <w:sz w:val="4"/>
                <w:szCs w:val="4"/>
              </w:rPr>
            </w:pPr>
            <w:r>
              <w:rPr>
                <w:sz w:val="4"/>
                <w:szCs w:val="4"/>
              </w:rPr>
            </w:r>
          </w:p>
        </w:tc>
      </w:tr>
      <w:tr>
        <w:trPr/>
        <w:tc>
          <w:tcPr>
            <w:tcW w:w="352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pPr>
            <w:r>
              <w:rPr/>
              <w:t>  </w:t>
            </w:r>
          </w:p>
        </w:tc>
        <w:tc>
          <w:tcPr>
            <w:tcW w:w="5140" w:type="dxa"/>
            <w:gridSpan w:val="3"/>
            <w:tcBorders/>
            <w:shd w:fill="auto" w:val="clear"/>
            <w:vAlign w:val="bottom"/>
          </w:tcPr>
          <w:p>
            <w:pPr>
              <w:pStyle w:val="TableContents"/>
              <w:spacing w:before="0" w:after="283"/>
              <w:rPr/>
            </w:pPr>
            <w:r>
              <w:rPr>
                <w:u w:val="single"/>
              </w:rPr>
              <w:t>/s/ Carol Ng                                </w:t>
            </w:r>
            <w:r>
              <w:rPr/>
              <w:t>                     </w:t>
            </w:r>
          </w:p>
        </w:tc>
        <w:tc>
          <w:tcPr>
            <w:tcW w:w="134" w:type="dxa"/>
            <w:tcBorders/>
            <w:shd w:fill="auto" w:val="clear"/>
            <w:vAlign w:val="bottom"/>
          </w:tcPr>
          <w:p>
            <w:pPr>
              <w:pStyle w:val="TableContents"/>
              <w:spacing w:before="0" w:after="283"/>
              <w:rPr/>
            </w:pPr>
            <w:r>
              <w:rPr/>
              <w:t>  </w:t>
            </w:r>
          </w:p>
        </w:tc>
        <w:tc>
          <w:tcPr>
            <w:tcW w:w="27" w:type="dxa"/>
            <w:tcBorders/>
            <w:shd w:fill="auto" w:val="clear"/>
            <w:vAlign w:val="bottom"/>
          </w:tcPr>
          <w:p>
            <w:pPr>
              <w:pStyle w:val="TableContents"/>
              <w:spacing w:before="0" w:after="283"/>
              <w:rPr>
                <w:sz w:val="4"/>
                <w:szCs w:val="4"/>
              </w:rPr>
            </w:pPr>
            <w:r>
              <w:rPr>
                <w:sz w:val="4"/>
                <w:szCs w:val="4"/>
              </w:rPr>
            </w:r>
          </w:p>
        </w:tc>
      </w:tr>
      <w:tr>
        <w:trPr/>
        <w:tc>
          <w:tcPr>
            <w:tcW w:w="352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r>
              <w:rPr/>
              <w:t>By:</w:t>
            </w:r>
          </w:p>
        </w:tc>
        <w:tc>
          <w:tcPr>
            <w:tcW w:w="13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r>
              <w:rPr/>
              <w:t>Name:</w:t>
            </w:r>
          </w:p>
        </w:tc>
        <w:tc>
          <w:tcPr>
            <w:tcW w:w="103" w:type="dxa"/>
            <w:tcBorders/>
            <w:shd w:fill="auto" w:val="clear"/>
            <w:vAlign w:val="bottom"/>
          </w:tcPr>
          <w:p>
            <w:pPr>
              <w:pStyle w:val="TableContents"/>
              <w:spacing w:before="0" w:after="283"/>
              <w:rPr/>
            </w:pPr>
            <w:r>
              <w:rPr/>
              <w:t> </w:t>
            </w:r>
          </w:p>
        </w:tc>
        <w:tc>
          <w:tcPr>
            <w:tcW w:w="4139" w:type="dxa"/>
            <w:tcBorders/>
            <w:shd w:fill="auto" w:val="clear"/>
            <w:vAlign w:val="bottom"/>
          </w:tcPr>
          <w:p>
            <w:pPr>
              <w:pStyle w:val="TableContents"/>
              <w:spacing w:before="0" w:after="283"/>
              <w:rPr/>
            </w:pPr>
            <w:r>
              <w:rPr/>
              <w:t>Carol Ng                                                         </w:t>
            </w:r>
          </w:p>
        </w:tc>
        <w:tc>
          <w:tcPr>
            <w:tcW w:w="134" w:type="dxa"/>
            <w:tcBorders/>
            <w:shd w:fill="auto" w:val="clear"/>
            <w:vAlign w:val="bottom"/>
          </w:tcPr>
          <w:p>
            <w:pPr>
              <w:pStyle w:val="TableContents"/>
              <w:spacing w:before="0" w:after="283"/>
              <w:rPr/>
            </w:pPr>
            <w:r>
              <w:rPr/>
              <w:t>  </w:t>
            </w:r>
          </w:p>
        </w:tc>
        <w:tc>
          <w:tcPr>
            <w:tcW w:w="27" w:type="dxa"/>
            <w:tcBorders/>
            <w:shd w:fill="auto" w:val="clear"/>
            <w:vAlign w:val="bottom"/>
          </w:tcPr>
          <w:p>
            <w:pPr>
              <w:pStyle w:val="TableContents"/>
              <w:spacing w:before="0" w:after="283"/>
              <w:rPr>
                <w:sz w:val="4"/>
                <w:szCs w:val="4"/>
              </w:rPr>
            </w:pPr>
            <w:r>
              <w:rPr>
                <w:sz w:val="4"/>
                <w:szCs w:val="4"/>
              </w:rPr>
            </w:r>
          </w:p>
        </w:tc>
      </w:tr>
      <w:tr>
        <w:trPr/>
        <w:tc>
          <w:tcPr>
            <w:tcW w:w="3523" w:type="dxa"/>
            <w:tcBorders/>
            <w:shd w:fill="auto" w:val="clea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r>
              <w:rPr/>
              <w:t>Title:</w:t>
            </w:r>
          </w:p>
        </w:tc>
        <w:tc>
          <w:tcPr>
            <w:tcW w:w="103" w:type="dxa"/>
            <w:tcBorders/>
            <w:shd w:fill="auto" w:val="clear"/>
            <w:vAlign w:val="bottom"/>
          </w:tcPr>
          <w:p>
            <w:pPr>
              <w:pStyle w:val="TableContents"/>
              <w:spacing w:before="0" w:after="283"/>
              <w:rPr/>
            </w:pPr>
            <w:r>
              <w:rPr/>
              <w:t> </w:t>
            </w:r>
          </w:p>
        </w:tc>
        <w:tc>
          <w:tcPr>
            <w:tcW w:w="4139" w:type="dxa"/>
            <w:tcBorders/>
            <w:shd w:fill="auto" w:val="clear"/>
            <w:vAlign w:val="bottom"/>
          </w:tcPr>
          <w:p>
            <w:pPr>
              <w:pStyle w:val="TableContents"/>
              <w:spacing w:before="0" w:after="283"/>
              <w:rPr/>
            </w:pPr>
            <w:r>
              <w:rPr/>
              <w:t>Vice President</w:t>
            </w:r>
          </w:p>
        </w:tc>
        <w:tc>
          <w:tcPr>
            <w:tcW w:w="134" w:type="dxa"/>
            <w:tcBorders/>
            <w:shd w:fill="auto" w:val="clear"/>
            <w:vAlign w:val="bottom"/>
          </w:tcPr>
          <w:p>
            <w:pPr>
              <w:pStyle w:val="TableContents"/>
              <w:spacing w:before="0" w:after="283"/>
              <w:rPr/>
            </w:pPr>
            <w:r>
              <w:rPr/>
              <w:t>  </w:t>
            </w:r>
          </w:p>
        </w:tc>
        <w:tc>
          <w:tcPr>
            <w:tcW w:w="27"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842"/>
        <w:gridCol w:w="142"/>
        <w:gridCol w:w="5601"/>
        <w:gridCol w:w="142"/>
        <w:gridCol w:w="3478"/>
      </w:tblGrid>
      <w:tr>
        <w:trPr/>
        <w:tc>
          <w:tcPr>
            <w:tcW w:w="8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560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3478" w:type="dxa"/>
            <w:tcBorders/>
            <w:shd w:fill="auto" w:val="clear"/>
            <w:vAlign w:val="center"/>
          </w:tcPr>
          <w:p>
            <w:pPr>
              <w:pStyle w:val="TableContents"/>
              <w:spacing w:before="0" w:after="283"/>
              <w:rPr>
                <w:sz w:val="4"/>
                <w:szCs w:val="4"/>
              </w:rPr>
            </w:pPr>
            <w:r>
              <w:rPr>
                <w:sz w:val="4"/>
                <w:szCs w:val="4"/>
              </w:rPr>
            </w:r>
          </w:p>
        </w:tc>
      </w:tr>
      <w:tr>
        <w:trPr/>
        <w:tc>
          <w:tcPr>
            <w:tcW w:w="842"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5601" w:type="dxa"/>
            <w:tcBorders/>
            <w:shd w:fill="auto" w:val="clear"/>
            <w:vAlign w:val="bottom"/>
          </w:tcPr>
          <w:p>
            <w:pPr>
              <w:pStyle w:val="TableContents"/>
              <w:spacing w:before="0" w:after="283"/>
              <w:rPr/>
            </w:pPr>
            <w:r>
              <w:rPr/>
              <w:t>Board of Governors of the Federal Reserve System            </w:t>
            </w:r>
          </w:p>
        </w:tc>
        <w:tc>
          <w:tcPr>
            <w:tcW w:w="142"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t>OMB Number 7100-0036</w:t>
            </w:r>
          </w:p>
        </w:tc>
      </w:tr>
      <w:tr>
        <w:trPr/>
        <w:tc>
          <w:tcPr>
            <w:tcW w:w="842"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5601" w:type="dxa"/>
            <w:tcBorders/>
            <w:shd w:fill="auto" w:val="clear"/>
            <w:vAlign w:val="bottom"/>
          </w:tcPr>
          <w:p>
            <w:pPr>
              <w:pStyle w:val="TableContents"/>
              <w:spacing w:before="0" w:after="283"/>
              <w:rPr/>
            </w:pPr>
            <w:r>
              <w:rPr/>
              <w:t>Federal Deposit Insurance Corporation</w:t>
            </w:r>
          </w:p>
        </w:tc>
        <w:tc>
          <w:tcPr>
            <w:tcW w:w="142"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t>OMB Number 3064-0052</w:t>
            </w:r>
          </w:p>
        </w:tc>
      </w:tr>
      <w:tr>
        <w:trPr/>
        <w:tc>
          <w:tcPr>
            <w:tcW w:w="842"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5601" w:type="dxa"/>
            <w:tcBorders/>
            <w:shd w:fill="auto" w:val="clear"/>
            <w:vAlign w:val="bottom"/>
          </w:tcPr>
          <w:p>
            <w:pPr>
              <w:pStyle w:val="TableContents"/>
              <w:spacing w:before="0" w:after="283"/>
              <w:rPr/>
            </w:pPr>
            <w:r>
              <w:rPr/>
              <w:t>Office of the Comptroller of the Currency</w:t>
            </w:r>
          </w:p>
        </w:tc>
        <w:tc>
          <w:tcPr>
            <w:tcW w:w="142"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t>OMB Number 1557-0081</w:t>
            </w:r>
          </w:p>
        </w:tc>
      </w:tr>
      <w:tr>
        <w:trPr/>
        <w:tc>
          <w:tcPr>
            <w:tcW w:w="842"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560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t>Approval expires February 28, 2019</w:t>
            </w:r>
          </w:p>
        </w:tc>
      </w:tr>
      <w:tr>
        <w:trPr/>
        <w:tc>
          <w:tcPr>
            <w:tcW w:w="842" w:type="dxa"/>
            <w:tcBorders/>
            <w:shd w:fill="auto" w:val="clea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560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pPr>
            <w:r>
              <w:rPr/>
              <w:t>  </w:t>
            </w:r>
          </w:p>
        </w:tc>
        <w:tc>
          <w:tcPr>
            <w:tcW w:w="3478" w:type="dxa"/>
            <w:tcBorders/>
            <w:shd w:fill="auto" w:val="clear"/>
            <w:vAlign w:val="bottom"/>
          </w:tcPr>
          <w:p>
            <w:pPr>
              <w:pStyle w:val="TableContents"/>
              <w:spacing w:before="0" w:after="283"/>
              <w:rPr/>
            </w:pPr>
            <w:r>
              <w:rPr/>
              <w:t>Page 1 of 84</w:t>
            </w:r>
          </w:p>
        </w:tc>
      </w:tr>
    </w:tbl>
    <w:p>
      <w:pPr>
        <w:pStyle w:val="TextBody"/>
        <w:spacing w:before="240" w:after="0"/>
        <w:jc w:val="left"/>
        <w:rPr>
          <w:rFonts w:ascii="ARIAL" w:hAnsi="ARIAL"/>
          <w:b/>
          <w:sz w:val="17"/>
        </w:rPr>
      </w:pPr>
      <w:r>
        <w:rPr>
          <w:rFonts w:ascii="ARIAL" w:hAnsi="ARIAL"/>
          <w:b/>
          <w:sz w:val="17"/>
        </w:rPr>
        <w:t xml:space="preserve">Federal Financial Institutions Examination Council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557"/>
        <w:gridCol w:w="104"/>
        <w:gridCol w:w="8544"/>
      </w:tblGrid>
      <w:tr>
        <w:trPr/>
        <w:tc>
          <w:tcPr>
            <w:tcW w:w="155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557" w:type="dxa"/>
            <w:tcBorders>
              <w:top w:val="single" w:sz="2" w:space="0" w:color="000000"/>
              <w:bottom w:val="single" w:sz="2" w:space="0" w:color="000000"/>
            </w:tcBorders>
            <w:shd w:fill="auto" w:val="clear"/>
            <w:tcMar>
              <w:top w:w="28" w:type="dxa"/>
              <w:bottom w:w="28" w:type="dxa"/>
            </w:tcMar>
          </w:tcPr>
          <w:p>
            <w:pPr>
              <w:pStyle w:val="TableContents"/>
              <w:spacing w:before="0" w:after="0"/>
              <w:rPr/>
            </w:pPr>
            <w:r>
              <w:rPr/>
              <w:drawing>
                <wp:inline distT="0" distB="0" distL="0" distR="0">
                  <wp:extent cx="981075" cy="923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981075" cy="923925"/>
                          </a:xfrm>
                          <a:prstGeom prst="rect">
                            <a:avLst/>
                          </a:prstGeom>
                        </pic:spPr>
                      </pic:pic>
                    </a:graphicData>
                  </a:graphic>
                </wp:inline>
              </w:drawing>
            </w:r>
            <w:r>
              <w:rPr/>
              <w:t xml:space="preserve"> </w:t>
            </w:r>
          </w:p>
          <w:p>
            <w:pPr>
              <w:pStyle w:val="TableContents"/>
              <w:spacing w:before="0" w:after="20"/>
              <w:rPr/>
            </w:pPr>
            <w:r>
              <w:rPr/>
              <w:t> </w:t>
            </w:r>
          </w:p>
        </w:tc>
        <w:tc>
          <w:tcPr>
            <w:tcW w:w="104"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854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rPr/>
            </w:pPr>
            <w:r>
              <w:rPr/>
              <w:t>        </w:t>
            </w:r>
            <w:r>
              <w:rPr>
                <w:rFonts w:ascii="ARIAL" w:hAnsi="ARIAL"/>
                <w:b/>
                <w:sz w:val="25"/>
              </w:rPr>
              <w:t>Consolidated Reports of Condition and Income for</w:t>
            </w:r>
          </w:p>
          <w:p>
            <w:pPr>
              <w:pStyle w:val="TableContents"/>
              <w:spacing w:before="0" w:after="20"/>
              <w:rPr/>
            </w:pPr>
            <w:r>
              <w:rPr/>
              <w:t>        </w:t>
            </w:r>
            <w:r>
              <w:rPr>
                <w:rFonts w:ascii="ARIAL" w:hAnsi="ARIAL"/>
                <w:b/>
                <w:sz w:val="25"/>
              </w:rPr>
              <w:t>a Bank with Domestic Offices OnlyFFIEC 041</w:t>
            </w:r>
          </w:p>
        </w:tc>
      </w:tr>
    </w:tbl>
    <w:p>
      <w:pPr>
        <w:pStyle w:val="TextBody"/>
        <w:spacing w:before="0" w:after="0"/>
        <w:jc w:val="left"/>
        <w:rPr/>
      </w:pPr>
      <w:r>
        <w:rPr/>
        <w:t> </w:t>
      </w:r>
    </w:p>
    <w:tbl>
      <w:tblPr>
        <w:tblW w:w="5575" w:type="dxa"/>
        <w:jc w:val="left"/>
        <w:tblInd w:w="0" w:type="dxa"/>
        <w:tblCellMar>
          <w:top w:w="0" w:type="dxa"/>
          <w:left w:w="0" w:type="dxa"/>
          <w:bottom w:w="0" w:type="dxa"/>
          <w:right w:w="0" w:type="dxa"/>
        </w:tblCellMar>
      </w:tblPr>
      <w:tblGrid>
        <w:gridCol w:w="3890"/>
        <w:gridCol w:w="120"/>
        <w:gridCol w:w="1565"/>
      </w:tblGrid>
      <w:tr>
        <w:trPr/>
        <w:tc>
          <w:tcPr>
            <w:tcW w:w="3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3890" w:type="dxa"/>
            <w:tcBorders/>
            <w:shd w:fill="auto" w:val="clear"/>
          </w:tcPr>
          <w:p>
            <w:pPr>
              <w:pStyle w:val="TableContents"/>
              <w:spacing w:before="0" w:after="283"/>
              <w:rPr>
                <w:b/>
                <w:sz w:val="18"/>
              </w:rPr>
            </w:pPr>
            <w:r>
              <w:rPr>
                <w:b/>
                <w:sz w:val="18"/>
              </w:rPr>
              <w:t>Report at the close of business September 30, 2018</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1565" w:type="dxa"/>
            <w:tcBorders>
              <w:bottom w:val="single" w:sz="2" w:space="0" w:color="000000"/>
            </w:tcBorders>
            <w:shd w:fill="auto" w:val="clear"/>
            <w:tcMar>
              <w:bottom w:w="28" w:type="dxa"/>
            </w:tcMar>
            <w:vAlign w:val="bottom"/>
          </w:tcPr>
          <w:p>
            <w:pPr>
              <w:pStyle w:val="TableContents"/>
              <w:spacing w:before="0" w:after="283"/>
              <w:rPr/>
            </w:pPr>
            <w:r>
              <w:rPr/>
              <w:t>      </w:t>
            </w:r>
            <w:r>
              <w:rPr/>
              <w:t>20180930 </w:t>
            </w:r>
          </w:p>
        </w:tc>
      </w:tr>
      <w:tr>
        <w:trPr/>
        <w:tc>
          <w:tcPr>
            <w:tcW w:w="389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65" w:type="dxa"/>
            <w:tcBorders/>
            <w:shd w:fill="auto" w:val="clear"/>
            <w:vAlign w:val="bottom"/>
          </w:tcPr>
          <w:p>
            <w:pPr>
              <w:pStyle w:val="TableContents"/>
              <w:spacing w:before="0" w:after="283"/>
              <w:rPr/>
            </w:pPr>
            <w:r>
              <w:rPr/>
              <w:t>    </w:t>
            </w:r>
            <w:r>
              <w:rPr/>
              <w:t>(RCON 9999)</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569"/>
        <w:gridCol w:w="120"/>
        <w:gridCol w:w="1400"/>
        <w:gridCol w:w="120"/>
        <w:gridCol w:w="36"/>
        <w:gridCol w:w="120"/>
        <w:gridCol w:w="60"/>
        <w:gridCol w:w="60"/>
        <w:gridCol w:w="60"/>
        <w:gridCol w:w="120"/>
        <w:gridCol w:w="3200"/>
        <w:gridCol w:w="120"/>
        <w:gridCol w:w="2220"/>
      </w:tblGrid>
      <w:tr>
        <w:trPr/>
        <w:tc>
          <w:tcPr>
            <w:tcW w:w="256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r>
      <w:tr>
        <w:trPr/>
        <w:tc>
          <w:tcPr>
            <w:tcW w:w="4245" w:type="dxa"/>
            <w:gridSpan w:val="5"/>
            <w:tcBorders/>
            <w:shd w:fill="auto" w:val="clear"/>
          </w:tcPr>
          <w:p>
            <w:pPr>
              <w:pStyle w:val="TableContents"/>
              <w:spacing w:before="0" w:after="0"/>
              <w:jc w:val="both"/>
              <w:rPr>
                <w:rFonts w:ascii="ARIAL" w:hAnsi="ARIAL"/>
                <w:sz w:val="14"/>
              </w:rPr>
            </w:pPr>
            <w:r>
              <w:rPr>
                <w:rFonts w:ascii="ARIAL" w:hAnsi="ARIAL"/>
                <w:sz w:val="14"/>
              </w:rPr>
              <w:t>This report is required by law: 12 U.S.C. § 324 (State member banks); 12 U.S.C. §1817 (State nonmember banks); 12 U.S.C. §161 (National banks); and 12 U.S.C. §1464 (Savings associations).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540" w:type="dxa"/>
            <w:gridSpan w:val="3"/>
            <w:tcBorders/>
            <w:shd w:fill="auto" w:val="clear"/>
          </w:tcPr>
          <w:p>
            <w:pPr>
              <w:pStyle w:val="TableContents"/>
              <w:spacing w:before="0" w:after="0"/>
              <w:jc w:val="both"/>
              <w:rPr>
                <w:rFonts w:ascii="ARIAL" w:hAnsi="ARIAL"/>
                <w:sz w:val="14"/>
              </w:rPr>
            </w:pPr>
            <w:r>
              <w:rPr>
                <w:rFonts w:ascii="ARIAL" w:hAnsi="ARIAL"/>
                <w:sz w:val="14"/>
              </w:rPr>
              <w:t>Unless the context indicates otherwise, the term bank in this report form refers to both banks and savings associations.</w:t>
            </w:r>
          </w:p>
        </w:tc>
      </w:tr>
      <w:tr>
        <w:trPr/>
        <w:tc>
          <w:tcPr>
            <w:tcW w:w="4245" w:type="dxa"/>
            <w:gridSpan w:val="5"/>
            <w:tcBorders>
              <w:bottom w:val="single" w:sz="2" w:space="0" w:color="000000"/>
            </w:tcBorders>
            <w:shd w:fill="auto" w:val="clear"/>
            <w:tcMar>
              <w:bottom w:w="28" w:type="dxa"/>
            </w:tcMar>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5540" w:type="dxa"/>
            <w:gridSpan w:val="3"/>
            <w:tcBorders>
              <w:bottom w:val="single" w:sz="2" w:space="0" w:color="000000"/>
            </w:tcBorders>
            <w:shd w:fill="auto" w:val="clear"/>
            <w:tcMar>
              <w:bottom w:w="28" w:type="dxa"/>
            </w:tcMar>
            <w:vAlign w:val="bottom"/>
          </w:tcPr>
          <w:p>
            <w:pPr>
              <w:pStyle w:val="TableContents"/>
              <w:spacing w:before="0" w:after="0"/>
              <w:jc w:val="both"/>
              <w:rPr>
                <w:rFonts w:ascii="ARIAL" w:hAnsi="ARIAL"/>
                <w:sz w:val="14"/>
              </w:rPr>
            </w:pPr>
            <w:r>
              <w:rPr>
                <w:rFonts w:ascii="ARIAL" w:hAnsi="ARIAL"/>
                <w:sz w:val="14"/>
              </w:rPr>
              <w:t>This report form is to be filed by banks with domestic offices only and total consolidated assets of less than $100 billion, except those banks that file the FFIEC 051.</w:t>
            </w:r>
          </w:p>
          <w:p>
            <w:pPr>
              <w:pStyle w:val="TableContents"/>
              <w:spacing w:before="0" w:after="20"/>
              <w:jc w:val="left"/>
              <w:rPr/>
            </w:pPr>
            <w:r>
              <w:rPr/>
              <w:t> </w:t>
            </w:r>
          </w:p>
        </w:tc>
      </w:tr>
      <w:tr>
        <w:trPr/>
        <w:tc>
          <w:tcPr>
            <w:tcW w:w="4245" w:type="dxa"/>
            <w:gridSpan w:val="5"/>
            <w:tcBorders/>
            <w:shd w:fill="auto" w:val="clear"/>
          </w:tcPr>
          <w:p>
            <w:pPr>
              <w:pStyle w:val="TableContents"/>
              <w:spacing w:before="0" w:after="0"/>
              <w:rPr/>
            </w:pPr>
            <w:r>
              <w:rPr/>
              <w:t> </w:t>
            </w:r>
          </w:p>
          <w:p>
            <w:pPr>
              <w:pStyle w:val="TableContents"/>
              <w:spacing w:before="0" w:after="0"/>
              <w:jc w:val="both"/>
              <w:rPr>
                <w:rFonts w:ascii="ARIAL" w:hAnsi="ARIAL"/>
                <w:sz w:val="14"/>
              </w:rPr>
            </w:pPr>
            <w:r>
              <w:rPr>
                <w:rFonts w:ascii="ARIAL" w:hAnsi="ARIAL"/>
                <w:sz w:val="14"/>
              </w:rPr>
              <w:t>NOTE: Each banks board of directors and senior management are responsible for establishing and maintaining an effective system of internal control, including controls over the Reports of Condition and Income. The Reports of Condition and Income are to be prepared in accordance with federal regulatory authority instructions. The Reports of Condition and Income must be signed by the Chief Financial Officer (CFO) of the reporting bank (or by the individual performing an equivalent function) and attested to by not less than two directors (trustees) for state nonmember banks and three directors for state member banks, national banks, and savings associations.</w:t>
            </w:r>
          </w:p>
          <w:p>
            <w:pPr>
              <w:pStyle w:val="TableContents"/>
              <w:spacing w:before="0" w:after="0"/>
              <w:jc w:val="left"/>
              <w:rPr/>
            </w:pPr>
            <w:r>
              <w:rPr/>
              <w:t> </w:t>
            </w:r>
          </w:p>
          <w:p>
            <w:pPr>
              <w:pStyle w:val="TableContents"/>
              <w:spacing w:before="0" w:after="20"/>
              <w:jc w:val="both"/>
              <w:rPr>
                <w:rFonts w:ascii="ARIAL" w:hAnsi="ARIAL"/>
                <w:sz w:val="14"/>
              </w:rPr>
            </w:pPr>
            <w:r>
              <w:rPr>
                <w:rFonts w:ascii="ARIAL" w:hAnsi="ARIAL"/>
                <w:sz w:val="14"/>
              </w:rPr>
              <w:t>I, the undersigned CFO (or equivalent) of the named bank, attest that the Reports of Condition and Income (including the supporting</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540" w:type="dxa"/>
            <w:gridSpan w:val="3"/>
            <w:tcBorders/>
            <w:shd w:fill="auto" w:val="clear"/>
          </w:tcPr>
          <w:p>
            <w:pPr>
              <w:pStyle w:val="TableContents"/>
              <w:spacing w:before="0" w:after="0"/>
              <w:rPr/>
            </w:pPr>
            <w:r>
              <w:rPr/>
              <w:t> </w:t>
            </w:r>
          </w:p>
          <w:p>
            <w:pPr>
              <w:pStyle w:val="TableContents"/>
              <w:spacing w:before="0" w:after="0"/>
              <w:jc w:val="both"/>
              <w:rPr>
                <w:rFonts w:ascii="ARIAL" w:hAnsi="ARIAL"/>
                <w:sz w:val="14"/>
              </w:rPr>
            </w:pPr>
            <w:r>
              <w:rPr>
                <w:rFonts w:ascii="ARIAL" w:hAnsi="ARIAL"/>
                <w:sz w:val="14"/>
              </w:rPr>
              <w:t>schedules) for this report date have been prepared in conformance with the instructions issued by the appropriate Federal regulatory authority and are true and correct to the best of my knowledge and belief.</w:t>
            </w:r>
          </w:p>
          <w:p>
            <w:pPr>
              <w:pStyle w:val="TableContents"/>
              <w:spacing w:before="0" w:after="0"/>
              <w:jc w:val="left"/>
              <w:rPr/>
            </w:pPr>
            <w:r>
              <w:rPr/>
              <w:t> </w:t>
            </w:r>
          </w:p>
          <w:p>
            <w:pPr>
              <w:pStyle w:val="TableContents"/>
              <w:spacing w:before="0" w:after="0"/>
              <w:jc w:val="both"/>
              <w:rPr>
                <w:rFonts w:ascii="ARIAL" w:hAnsi="ARIAL"/>
                <w:sz w:val="14"/>
              </w:rPr>
            </w:pPr>
            <w:r>
              <w:rPr>
                <w:rFonts w:ascii="ARIAL" w:hAnsi="ARIAL"/>
                <w:sz w:val="14"/>
              </w:rPr>
              <w:t>We, the undersigned directors (trustees), attest to the correctness of the Reports of Condition and Income (including the supporting schedules) for this report date and declare that the Reports of Condition and Income have been examined by us and to the best of our knowledge and belief have been prepared in conformance with the instructions issued by the appropriate Federal regulatory authority and are true and correct.</w:t>
            </w:r>
          </w:p>
          <w:p>
            <w:pPr>
              <w:pStyle w:val="TableContents"/>
              <w:spacing w:before="0" w:after="20"/>
              <w:jc w:val="left"/>
              <w:rPr/>
            </w:pPr>
            <w:r>
              <w:rPr/>
              <w:t> </w:t>
            </w:r>
          </w:p>
        </w:tc>
      </w:tr>
      <w:tr>
        <w:trPr/>
        <w:tc>
          <w:tcPr>
            <w:tcW w:w="4245" w:type="dxa"/>
            <w:gridSpan w:val="5"/>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top w:val="single" w:sz="2" w:space="0" w:color="000000"/>
            </w:tcBorders>
            <w:shd w:fill="auto" w:val="clear"/>
            <w:tcMar>
              <w:top w:w="28" w:type="dxa"/>
            </w:tcMar>
            <w:vAlign w:val="bottom"/>
          </w:tcPr>
          <w:p>
            <w:pPr>
              <w:pStyle w:val="TableContents"/>
              <w:spacing w:before="0" w:after="283"/>
              <w:rPr/>
            </w:pPr>
            <w:r>
              <w:rPr/>
              <w:t>  </w:t>
            </w:r>
          </w:p>
        </w:tc>
        <w:tc>
          <w:tcPr>
            <w:tcW w:w="5540" w:type="dxa"/>
            <w:gridSpan w:val="3"/>
            <w:tcBorders>
              <w:top w:val="single" w:sz="2" w:space="0" w:color="000000"/>
            </w:tcBorders>
            <w:shd w:fill="auto" w:val="clear"/>
            <w:tcMar>
              <w:top w:w="28" w:type="dxa"/>
            </w:tcMar>
            <w:vAlign w:val="bottom"/>
          </w:tcPr>
          <w:p>
            <w:pPr>
              <w:pStyle w:val="TableContents"/>
              <w:spacing w:before="0" w:after="0"/>
              <w:rPr>
                <w:rFonts w:ascii="ARIAL" w:hAnsi="ARIAL"/>
                <w:sz w:val="13"/>
              </w:rPr>
            </w:pPr>
            <w:r>
              <w:rPr>
                <w:rFonts w:ascii="ARIAL" w:hAnsi="ARIAL"/>
                <w:sz w:val="13"/>
              </w:rPr>
              <w:t>Director (Trustee)</w:t>
            </w:r>
          </w:p>
          <w:p>
            <w:pPr>
              <w:pStyle w:val="TableContents"/>
              <w:spacing w:before="0" w:after="20"/>
              <w:rPr/>
            </w:pPr>
            <w:r>
              <w:rPr/>
              <w:t> </w:t>
            </w:r>
          </w:p>
        </w:tc>
      </w:tr>
      <w:tr>
        <w:trPr/>
        <w:tc>
          <w:tcPr>
            <w:tcW w:w="4245" w:type="dxa"/>
            <w:gridSpan w:val="5"/>
            <w:tcBorders>
              <w:top w:val="single" w:sz="2" w:space="0" w:color="000000"/>
            </w:tcBorders>
            <w:shd w:fill="auto" w:val="clear"/>
            <w:tcMar>
              <w:top w:w="28" w:type="dxa"/>
            </w:tcMar>
          </w:tcPr>
          <w:p>
            <w:pPr>
              <w:pStyle w:val="TableContents"/>
              <w:spacing w:before="0" w:after="283"/>
              <w:rPr>
                <w:sz w:val="13"/>
              </w:rPr>
            </w:pPr>
            <w:r>
              <w:rPr>
                <w:sz w:val="13"/>
              </w:rPr>
              <w:t>Signature of Chief Financial Officer (or Equivalent)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top w:val="single" w:sz="2" w:space="0" w:color="000000"/>
            </w:tcBorders>
            <w:shd w:fill="auto" w:val="clear"/>
            <w:tcMar>
              <w:top w:w="28" w:type="dxa"/>
            </w:tcMar>
            <w:vAlign w:val="bottom"/>
          </w:tcPr>
          <w:p>
            <w:pPr>
              <w:pStyle w:val="TableContents"/>
              <w:spacing w:before="0" w:after="283"/>
              <w:rPr/>
            </w:pPr>
            <w:r>
              <w:rPr/>
              <w:t>  </w:t>
            </w:r>
          </w:p>
        </w:tc>
        <w:tc>
          <w:tcPr>
            <w:tcW w:w="5540" w:type="dxa"/>
            <w:gridSpan w:val="3"/>
            <w:tcBorders>
              <w:top w:val="single" w:sz="2" w:space="0" w:color="000000"/>
            </w:tcBorders>
            <w:shd w:fill="auto" w:val="clear"/>
            <w:tcMar>
              <w:top w:w="28" w:type="dxa"/>
            </w:tcMar>
            <w:vAlign w:val="bottom"/>
          </w:tcPr>
          <w:p>
            <w:pPr>
              <w:pStyle w:val="TableContents"/>
              <w:spacing w:before="0" w:after="283"/>
              <w:rPr>
                <w:sz w:val="13"/>
              </w:rPr>
            </w:pPr>
            <w:r>
              <w:rPr>
                <w:sz w:val="13"/>
              </w:rPr>
              <w:t>Director (Trustee)</w:t>
            </w:r>
          </w:p>
        </w:tc>
      </w:tr>
      <w:tr>
        <w:trPr/>
        <w:tc>
          <w:tcPr>
            <w:tcW w:w="4245" w:type="dxa"/>
            <w:gridSpan w:val="5"/>
            <w:tcBorders/>
            <w:shd w:fill="auto" w:val="clear"/>
          </w:tcPr>
          <w:p>
            <w:pPr>
              <w:pStyle w:val="TableContents"/>
              <w:spacing w:before="0" w:after="0"/>
              <w:rPr/>
            </w:pPr>
            <w:r>
              <w:rPr/>
              <w:t> </w:t>
            </w:r>
          </w:p>
          <w:p>
            <w:pPr>
              <w:pStyle w:val="TableContents"/>
              <w:spacing w:before="0" w:after="20"/>
              <w:rPr>
                <w:rFonts w:ascii="ARIAL" w:hAnsi="ARIAL"/>
                <w:b/>
                <w:sz w:val="13"/>
              </w:rPr>
            </w:pPr>
            <w:r>
              <w:rPr>
                <w:rFonts w:ascii="ARIAL" w:hAnsi="ARIAL"/>
                <w:b/>
                <w:sz w:val="13"/>
              </w:rPr>
              <w:t>10/30/2018</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540" w:type="dxa"/>
            <w:gridSpan w:val="3"/>
            <w:tcBorders/>
            <w:shd w:fill="auto" w:val="clear"/>
            <w:vAlign w:val="bottom"/>
          </w:tcPr>
          <w:p>
            <w:pPr>
              <w:pStyle w:val="TableContents"/>
              <w:spacing w:before="0" w:after="283"/>
              <w:rPr>
                <w:sz w:val="4"/>
                <w:szCs w:val="4"/>
              </w:rPr>
            </w:pPr>
            <w:r>
              <w:rPr>
                <w:sz w:val="4"/>
                <w:szCs w:val="4"/>
              </w:rPr>
            </w:r>
          </w:p>
        </w:tc>
      </w:tr>
      <w:tr>
        <w:trPr/>
        <w:tc>
          <w:tcPr>
            <w:tcW w:w="4245" w:type="dxa"/>
            <w:gridSpan w:val="5"/>
            <w:tcBorders>
              <w:top w:val="single" w:sz="2" w:space="0" w:color="000000"/>
              <w:bottom w:val="single" w:sz="2" w:space="0" w:color="000000"/>
            </w:tcBorders>
            <w:shd w:fill="auto" w:val="clear"/>
            <w:tcMar>
              <w:top w:w="28" w:type="dxa"/>
              <w:bottom w:w="28" w:type="dxa"/>
            </w:tcMar>
          </w:tcPr>
          <w:p>
            <w:pPr>
              <w:pStyle w:val="TableContents"/>
              <w:spacing w:before="0" w:after="0"/>
              <w:rPr>
                <w:rFonts w:ascii="ARIAL" w:hAnsi="ARIAL"/>
                <w:sz w:val="13"/>
              </w:rPr>
            </w:pPr>
            <w:r>
              <w:rPr>
                <w:rFonts w:ascii="ARIAL" w:hAnsi="ARIAL"/>
                <w:sz w:val="13"/>
              </w:rPr>
              <w:t>Date of Signature</w:t>
            </w:r>
          </w:p>
          <w:p>
            <w:pPr>
              <w:pStyle w:val="TableContents"/>
              <w:spacing w:before="0" w:after="20"/>
              <w:rPr/>
            </w:pPr>
            <w:r>
              <w:rPr/>
              <w:t>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540"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0"/>
              <w:rPr>
                <w:rFonts w:ascii="ARIAL" w:hAnsi="ARIAL"/>
                <w:sz w:val="13"/>
              </w:rPr>
            </w:pPr>
            <w:r>
              <w:rPr>
                <w:rFonts w:ascii="ARIAL" w:hAnsi="ARIAL"/>
                <w:sz w:val="13"/>
              </w:rPr>
              <w:t>Director (Trustee)</w:t>
            </w:r>
          </w:p>
          <w:p>
            <w:pPr>
              <w:pStyle w:val="TableContents"/>
              <w:spacing w:before="0" w:after="20"/>
              <w:rPr/>
            </w:pPr>
            <w:r>
              <w:rPr/>
              <w:t> </w:t>
            </w:r>
          </w:p>
        </w:tc>
      </w:tr>
      <w:tr>
        <w:trPr/>
        <w:tc>
          <w:tcPr>
            <w:tcW w:w="4245" w:type="dxa"/>
            <w:gridSpan w:val="5"/>
            <w:tcBorders/>
            <w:shd w:fill="auto" w:val="clear"/>
          </w:tcPr>
          <w:p>
            <w:pPr>
              <w:pStyle w:val="TableContents"/>
              <w:spacing w:before="0" w:after="0"/>
              <w:rPr/>
            </w:pPr>
            <w:r>
              <w:rPr/>
              <w:t> </w:t>
            </w:r>
          </w:p>
          <w:p>
            <w:pPr>
              <w:pStyle w:val="TableContents"/>
              <w:spacing w:before="0" w:after="20"/>
              <w:rPr>
                <w:rFonts w:ascii="ARIAL" w:hAnsi="ARIAL"/>
                <w:b/>
                <w:sz w:val="14"/>
              </w:rPr>
            </w:pPr>
            <w:r>
              <w:rPr>
                <w:rFonts w:ascii="ARIAL" w:hAnsi="ARIAL"/>
                <w:b/>
                <w:sz w:val="14"/>
              </w:rPr>
              <w:t>Submission of Reports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540" w:type="dxa"/>
            <w:gridSpan w:val="3"/>
            <w:tcBorders/>
            <w:shd w:fill="auto" w:val="clear"/>
            <w:vAlign w:val="bottom"/>
          </w:tcPr>
          <w:p>
            <w:pPr>
              <w:pStyle w:val="TableContents"/>
              <w:spacing w:before="0" w:after="283"/>
              <w:rPr>
                <w:sz w:val="4"/>
                <w:szCs w:val="4"/>
              </w:rPr>
            </w:pPr>
            <w:r>
              <w:rPr>
                <w:sz w:val="4"/>
                <w:szCs w:val="4"/>
              </w:rPr>
            </w:r>
          </w:p>
        </w:tc>
      </w:tr>
      <w:tr>
        <w:trPr/>
        <w:tc>
          <w:tcPr>
            <w:tcW w:w="4245" w:type="dxa"/>
            <w:gridSpan w:val="5"/>
            <w:tcBorders/>
            <w:shd w:fill="auto" w:val="clear"/>
          </w:tcPr>
          <w:p>
            <w:pPr>
              <w:pStyle w:val="TableContents"/>
              <w:spacing w:before="0" w:after="0"/>
              <w:rPr/>
            </w:pPr>
            <w:r>
              <w:rPr/>
              <w:t> </w:t>
            </w:r>
          </w:p>
          <w:p>
            <w:pPr>
              <w:pStyle w:val="TableContents"/>
              <w:spacing w:before="0" w:after="0"/>
              <w:jc w:val="both"/>
              <w:rPr>
                <w:rFonts w:ascii="ARIAL" w:hAnsi="ARIAL"/>
                <w:sz w:val="14"/>
              </w:rPr>
            </w:pPr>
            <w:r>
              <w:rPr>
                <w:rFonts w:ascii="ARIAL" w:hAnsi="ARIAL"/>
                <w:sz w:val="14"/>
              </w:rPr>
              <w:t>Each bank must file its Reports of Condition and Income (Call Report) data by either:</w:t>
            </w:r>
          </w:p>
          <w:p>
            <w:pPr>
              <w:pStyle w:val="TableContents"/>
              <w:spacing w:before="0" w:after="0"/>
              <w:jc w:val="left"/>
              <w:rPr/>
            </w:pPr>
            <w:r>
              <w:rPr/>
              <w:t> </w:t>
            </w:r>
          </w:p>
          <w:p>
            <w:pPr>
              <w:pStyle w:val="TableContents"/>
              <w:spacing w:before="0" w:after="0"/>
              <w:jc w:val="both"/>
              <w:rPr>
                <w:rFonts w:ascii="ARIAL" w:hAnsi="ARIAL"/>
                <w:sz w:val="13"/>
              </w:rPr>
            </w:pPr>
            <w:r>
              <w:rPr>
                <w:rFonts w:ascii="ARIAL" w:hAnsi="ARIAL"/>
                <w:sz w:val="13"/>
              </w:rPr>
              <w:t>(a)  Using computer software to prepare its Call Report and then submitting the report data directly to the FFIECs Central Data Repository (CDR), an Internet-based system for data collection (https://cdr.ffiec.gov/cdr/), or</w:t>
            </w:r>
          </w:p>
          <w:p>
            <w:pPr>
              <w:pStyle w:val="TableContents"/>
              <w:spacing w:before="0" w:after="20"/>
              <w:jc w:val="both"/>
              <w:rPr>
                <w:rFonts w:ascii="ARIAL" w:hAnsi="ARIAL"/>
                <w:sz w:val="13"/>
              </w:rPr>
            </w:pPr>
            <w:r>
              <w:rPr>
                <w:rFonts w:ascii="ARIAL" w:hAnsi="ARIAL"/>
                <w:sz w:val="13"/>
              </w:rPr>
              <w:t>(b)  Completing its Call Report in paper form and arranging with a software vendor or another party to convert the data into the electronic format that can be processed by the CDR. The software vendor or other party then must electronically submit the banks data file to the CDR.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540" w:type="dxa"/>
            <w:gridSpan w:val="3"/>
            <w:tcBorders/>
            <w:shd w:fill="auto" w:val="clear"/>
            <w:vAlign w:val="bottom"/>
          </w:tcPr>
          <w:p>
            <w:pPr>
              <w:pStyle w:val="TableContents"/>
              <w:spacing w:before="0" w:after="0"/>
              <w:rPr/>
            </w:pPr>
            <w:r>
              <w:rPr/>
              <w:t> </w:t>
            </w:r>
          </w:p>
          <w:p>
            <w:pPr>
              <w:pStyle w:val="TableContents"/>
              <w:spacing w:before="0" w:after="0"/>
              <w:jc w:val="both"/>
              <w:rPr>
                <w:rFonts w:ascii="ARIAL" w:hAnsi="ARIAL"/>
                <w:sz w:val="14"/>
              </w:rPr>
            </w:pPr>
            <w:r>
              <w:rPr>
                <w:rFonts w:ascii="ARIAL" w:hAnsi="ARIAL"/>
                <w:sz w:val="14"/>
              </w:rPr>
              <w:t>To fulfill the signature and attestation requirement for the Reports of Condition and Income for this report date, attach your banks completed signature page (or a photocopy or a computer generated version of this page) to the hard-copy record of the data file submitted to the CDR that your bank must place in its files.</w:t>
            </w:r>
          </w:p>
          <w:p>
            <w:pPr>
              <w:pStyle w:val="TableContents"/>
              <w:spacing w:before="0" w:after="0"/>
              <w:jc w:val="left"/>
              <w:rPr/>
            </w:pPr>
            <w:r>
              <w:rPr/>
              <w:t> </w:t>
            </w:r>
          </w:p>
          <w:p>
            <w:pPr>
              <w:pStyle w:val="TableContents"/>
              <w:spacing w:before="0" w:after="0"/>
              <w:jc w:val="both"/>
              <w:rPr>
                <w:rFonts w:ascii="ARIAL" w:hAnsi="ARIAL"/>
                <w:sz w:val="14"/>
              </w:rPr>
            </w:pPr>
            <w:r>
              <w:rPr>
                <w:rFonts w:ascii="ARIAL" w:hAnsi="ARIAL"/>
                <w:sz w:val="14"/>
              </w:rPr>
              <w:t xml:space="preserve">The appearance of your banks hard-copy record of the submitted data file need not match exactly the appearance of the FFIECs sample report forms, but should show at least the caption of each Call Report item and the reported amount. </w:t>
            </w:r>
          </w:p>
          <w:p>
            <w:pPr>
              <w:pStyle w:val="TableContents"/>
              <w:spacing w:before="0" w:after="0"/>
              <w:jc w:val="left"/>
              <w:rPr/>
            </w:pPr>
            <w:r>
              <w:rPr/>
              <w:t> </w:t>
            </w:r>
          </w:p>
          <w:p>
            <w:pPr>
              <w:pStyle w:val="TableContents"/>
              <w:pBdr>
                <w:bottom w:val="single" w:sz="2" w:space="1" w:color="000000"/>
              </w:pBdr>
              <w:spacing w:before="0" w:after="0"/>
              <w:rPr>
                <w:rFonts w:ascii="ARIAL" w:hAnsi="ARIAL"/>
                <w:b/>
                <w:sz w:val="14"/>
              </w:rPr>
            </w:pPr>
            <w:r>
              <w:rPr>
                <w:rFonts w:ascii="ARIAL" w:hAnsi="ARIAL"/>
                <w:b/>
                <w:sz w:val="14"/>
              </w:rPr>
              <w:t>DEUTSCHE BANK TRUST COMPANY AMERICAS</w:t>
            </w:r>
          </w:p>
          <w:p>
            <w:pPr>
              <w:pStyle w:val="TableContents"/>
              <w:spacing w:before="0" w:after="20"/>
              <w:rPr>
                <w:rFonts w:ascii="ARIAL" w:hAnsi="ARIAL"/>
                <w:sz w:val="13"/>
              </w:rPr>
            </w:pPr>
            <w:r>
              <w:rPr>
                <w:rFonts w:ascii="ARIAL" w:hAnsi="ARIAL"/>
                <w:sz w:val="13"/>
              </w:rPr>
              <w:t>Legal Title of Bank (RSSD 9017)</w:t>
            </w:r>
          </w:p>
        </w:tc>
      </w:tr>
      <w:tr>
        <w:trPr/>
        <w:tc>
          <w:tcPr>
            <w:tcW w:w="4245" w:type="dxa"/>
            <w:gridSpan w:val="5"/>
            <w:tcBorders/>
            <w:shd w:fill="auto" w:val="clear"/>
          </w:tcPr>
          <w:p>
            <w:pPr>
              <w:pStyle w:val="TableContents"/>
              <w:spacing w:before="0" w:after="0"/>
              <w:jc w:val="both"/>
              <w:rPr>
                <w:rFonts w:ascii="ARIAL" w:hAnsi="ARIAL"/>
                <w:sz w:val="14"/>
              </w:rPr>
            </w:pPr>
            <w:r>
              <w:rPr>
                <w:rFonts w:ascii="ARIAL" w:hAnsi="ARIAL"/>
                <w:sz w:val="14"/>
              </w:rPr>
              <w:t>For technical assistance with submissions to the CDR, please contact the CDR Help Desk by telephone at (888) CDR-3111, by fax at (703) 774-3946, or by e-mail at CDR.Help@ffiec.gov.</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540" w:type="dxa"/>
            <w:gridSpan w:val="3"/>
            <w:tcBorders/>
            <w:shd w:fill="auto" w:val="clear"/>
            <w:vAlign w:val="bottom"/>
          </w:tcPr>
          <w:p>
            <w:pPr>
              <w:pStyle w:val="TableContents"/>
              <w:pBdr>
                <w:bottom w:val="single" w:sz="2" w:space="1" w:color="000000"/>
              </w:pBdr>
              <w:spacing w:before="0" w:after="0"/>
              <w:rPr>
                <w:rFonts w:ascii="ARIAL" w:hAnsi="ARIAL"/>
                <w:b/>
                <w:sz w:val="14"/>
              </w:rPr>
            </w:pPr>
            <w:r>
              <w:rPr>
                <w:rFonts w:ascii="ARIAL" w:hAnsi="ARIAL"/>
                <w:b/>
                <w:sz w:val="14"/>
              </w:rPr>
              <w:t>New York</w:t>
            </w:r>
          </w:p>
          <w:p>
            <w:pPr>
              <w:pStyle w:val="TableContents"/>
              <w:spacing w:before="0" w:after="20"/>
              <w:rPr>
                <w:rFonts w:ascii="ARIAL" w:hAnsi="ARIAL"/>
                <w:sz w:val="14"/>
              </w:rPr>
            </w:pPr>
            <w:r>
              <w:rPr>
                <w:rFonts w:ascii="ARIAL" w:hAnsi="ARIAL"/>
                <w:sz w:val="14"/>
              </w:rPr>
              <w:t>City (RSSD 9130)</w:t>
            </w:r>
          </w:p>
        </w:tc>
      </w:tr>
      <w:tr>
        <w:trPr/>
        <w:tc>
          <w:tcPr>
            <w:tcW w:w="256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220" w:type="dxa"/>
            <w:tcBorders/>
            <w:shd w:fill="auto" w:val="clear"/>
            <w:vAlign w:val="bottom"/>
          </w:tcPr>
          <w:p>
            <w:pPr>
              <w:pStyle w:val="TableContents"/>
              <w:spacing w:before="0" w:after="283"/>
              <w:rPr>
                <w:sz w:val="4"/>
                <w:szCs w:val="4"/>
              </w:rPr>
            </w:pPr>
            <w:r>
              <w:rPr>
                <w:sz w:val="4"/>
                <w:szCs w:val="4"/>
              </w:rPr>
            </w:r>
          </w:p>
        </w:tc>
      </w:tr>
      <w:tr>
        <w:trPr/>
        <w:tc>
          <w:tcPr>
            <w:tcW w:w="2569" w:type="dxa"/>
            <w:tcBorders/>
            <w:shd w:fill="auto" w:val="clear"/>
          </w:tcPr>
          <w:p>
            <w:pPr>
              <w:pStyle w:val="TableContents"/>
              <w:spacing w:before="0" w:after="283"/>
              <w:rPr/>
            </w:pPr>
            <w:r>
              <w:rPr/>
              <w:t>FDIC Certificate Number  </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40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        </w:t>
            </w:r>
            <w:r>
              <w:rPr>
                <w:b/>
              </w:rPr>
              <w:t>623</w:t>
            </w:r>
            <w:r>
              <w:rPr/>
              <w:t>           </w:t>
            </w:r>
          </w:p>
        </w:tc>
        <w:tc>
          <w:tcPr>
            <w:tcW w:w="120" w:type="dxa"/>
            <w:tcBorders/>
            <w:shd w:fill="auto" w:val="clear"/>
            <w:vAlign w:val="bottom"/>
          </w:tcPr>
          <w:p>
            <w:pPr>
              <w:pStyle w:val="TableContents"/>
              <w:spacing w:before="0" w:after="283"/>
              <w:rPr/>
            </w:pPr>
            <w:r>
              <w:rPr/>
              <w:t>  </w:t>
            </w:r>
          </w:p>
        </w:tc>
        <w:tc>
          <w:tcPr>
            <w:tcW w:w="3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pBdr>
                <w:bottom w:val="single" w:sz="2" w:space="1" w:color="000000"/>
              </w:pBdr>
              <w:spacing w:before="0" w:after="0"/>
              <w:rPr>
                <w:rFonts w:ascii="ARIAL" w:hAnsi="ARIAL"/>
                <w:sz w:val="14"/>
              </w:rPr>
            </w:pPr>
            <w:r>
              <w:rPr>
                <w:rFonts w:ascii="ARIAL" w:hAnsi="ARIAL"/>
                <w:b/>
                <w:sz w:val="14"/>
              </w:rPr>
              <w:t>NY</w:t>
            </w:r>
            <w:r>
              <w:rPr>
                <w:rFonts w:ascii="ARIAL" w:hAnsi="ARIAL"/>
                <w:sz w:val="14"/>
              </w:rPr>
              <w:t>                                                 </w:t>
            </w:r>
          </w:p>
        </w:tc>
        <w:tc>
          <w:tcPr>
            <w:tcW w:w="120" w:type="dxa"/>
            <w:tcBorders/>
            <w:shd w:fill="auto" w:val="clear"/>
            <w:vAlign w:val="bottom"/>
          </w:tcPr>
          <w:p>
            <w:pPr>
              <w:pStyle w:val="TableContents"/>
              <w:spacing w:before="0" w:after="283"/>
              <w:rPr/>
            </w:pPr>
            <w:r>
              <w:rPr/>
              <w:t>  </w:t>
            </w:r>
          </w:p>
        </w:tc>
        <w:tc>
          <w:tcPr>
            <w:tcW w:w="2220" w:type="dxa"/>
            <w:tcBorders>
              <w:bottom w:val="single" w:sz="2" w:space="0" w:color="000000"/>
            </w:tcBorders>
            <w:shd w:fill="auto" w:val="clear"/>
            <w:tcMar>
              <w:bottom w:w="28" w:type="dxa"/>
            </w:tcMar>
            <w:vAlign w:val="bottom"/>
          </w:tcPr>
          <w:p>
            <w:pPr>
              <w:pStyle w:val="TableContents"/>
              <w:spacing w:before="0" w:after="20"/>
              <w:rPr>
                <w:rFonts w:ascii="ARIAL" w:hAnsi="ARIAL"/>
                <w:b/>
                <w:sz w:val="14"/>
              </w:rPr>
            </w:pPr>
            <w:r>
              <w:rPr>
                <w:rFonts w:ascii="ARIAL" w:hAnsi="ARIAL"/>
                <w:b/>
                <w:sz w:val="14"/>
              </w:rPr>
              <w:t>10005</w:t>
            </w:r>
          </w:p>
        </w:tc>
      </w:tr>
      <w:tr>
        <w:trPr/>
        <w:tc>
          <w:tcPr>
            <w:tcW w:w="256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jc w:val="center"/>
              <w:rPr>
                <w:sz w:val="14"/>
              </w:rPr>
            </w:pPr>
            <w:r>
              <w:rPr>
                <w:sz w:val="14"/>
              </w:rPr>
              <w:t>(RSSD 9050)</w:t>
            </w:r>
          </w:p>
        </w:tc>
        <w:tc>
          <w:tcPr>
            <w:tcW w:w="120" w:type="dxa"/>
            <w:tcBorders/>
            <w:shd w:fill="auto" w:val="clear"/>
            <w:vAlign w:val="bottom"/>
          </w:tcPr>
          <w:p>
            <w:pPr>
              <w:pStyle w:val="TableContents"/>
              <w:spacing w:before="0" w:after="283"/>
              <w:rPr/>
            </w:pPr>
            <w:r>
              <w:rPr/>
              <w:t>  </w:t>
            </w:r>
          </w:p>
        </w:tc>
        <w:tc>
          <w:tcPr>
            <w:tcW w:w="3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pPr>
            <w:r>
              <w:rPr/>
              <w:t>State Abbreviation (RSSD 9200)</w:t>
            </w:r>
          </w:p>
        </w:tc>
        <w:tc>
          <w:tcPr>
            <w:tcW w:w="120" w:type="dxa"/>
            <w:tcBorders/>
            <w:shd w:fill="auto" w:val="clear"/>
            <w:vAlign w:val="bottom"/>
          </w:tcPr>
          <w:p>
            <w:pPr>
              <w:pStyle w:val="TableContents"/>
              <w:spacing w:before="0" w:after="283"/>
              <w:rPr/>
            </w:pPr>
            <w:r>
              <w:rPr/>
              <w:t>  </w:t>
            </w:r>
          </w:p>
        </w:tc>
        <w:tc>
          <w:tcPr>
            <w:tcW w:w="2220" w:type="dxa"/>
            <w:tcBorders/>
            <w:shd w:fill="auto" w:val="clear"/>
            <w:vAlign w:val="bottom"/>
          </w:tcPr>
          <w:p>
            <w:pPr>
              <w:pStyle w:val="TableContents"/>
              <w:spacing w:before="0" w:after="283"/>
              <w:rPr/>
            </w:pPr>
            <w:r>
              <w:rPr/>
              <w:t>Zip Code (RSSD 9220)</w:t>
            </w:r>
          </w:p>
        </w:tc>
      </w:tr>
      <w:tr>
        <w:trPr/>
        <w:tc>
          <w:tcPr>
            <w:tcW w:w="256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Legal Entity Identifier (LEI)</w:t>
            </w:r>
          </w:p>
        </w:tc>
        <w:tc>
          <w:tcPr>
            <w:tcW w:w="120" w:type="dxa"/>
            <w:tcBorders/>
            <w:shd w:fill="auto" w:val="clear"/>
            <w:vAlign w:val="bottom"/>
          </w:tcPr>
          <w:p>
            <w:pPr>
              <w:pStyle w:val="TableContents"/>
              <w:spacing w:before="0" w:after="283"/>
              <w:rPr/>
            </w:pPr>
            <w:r>
              <w:rPr/>
              <w:t>  </w:t>
            </w:r>
          </w:p>
        </w:tc>
        <w:tc>
          <w:tcPr>
            <w:tcW w:w="2220" w:type="dxa"/>
            <w:tcBorders/>
            <w:shd w:fill="auto" w:val="clear"/>
            <w:vAlign w:val="bottom"/>
          </w:tcPr>
          <w:p>
            <w:pPr>
              <w:pStyle w:val="TableContents"/>
              <w:spacing w:before="0" w:after="283"/>
              <w:rPr>
                <w:sz w:val="4"/>
                <w:szCs w:val="4"/>
              </w:rPr>
            </w:pPr>
            <w:r>
              <w:rPr>
                <w:sz w:val="4"/>
                <w:szCs w:val="4"/>
              </w:rPr>
            </w:r>
          </w:p>
        </w:tc>
      </w:tr>
      <w:tr>
        <w:trPr/>
        <w:tc>
          <w:tcPr>
            <w:tcW w:w="256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20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b/>
              </w:rPr>
            </w:pPr>
            <w:r>
              <w:rPr>
                <w:b/>
              </w:rPr>
              <w:t>8EWQ2UQKS07AKK8ANH81</w:t>
            </w:r>
          </w:p>
        </w:tc>
        <w:tc>
          <w:tcPr>
            <w:tcW w:w="12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220"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256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540" w:type="dxa"/>
            <w:gridSpan w:val="3"/>
            <w:tcBorders/>
            <w:shd w:fill="auto" w:val="clear"/>
            <w:vAlign w:val="bottom"/>
          </w:tcPr>
          <w:p>
            <w:pPr>
              <w:pStyle w:val="TableContents"/>
              <w:spacing w:before="0" w:after="283"/>
              <w:rPr/>
            </w:pPr>
            <w:r>
              <w:rPr/>
              <w:t>(Report only if your institution already has an LEI.) (RCON 9224)</w:t>
            </w:r>
          </w:p>
        </w:tc>
      </w:tr>
    </w:tbl>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both"/>
        <w:rPr>
          <w:rFonts w:ascii="ARIAL" w:hAnsi="ARIAL"/>
          <w:sz w:val="10"/>
        </w:rPr>
      </w:pPr>
      <w:r>
        <w:rPr>
          <w:rFonts w:ascii="ARIAL" w:hAnsi="ARIAL"/>
          <w:sz w:val="10"/>
        </w:rPr>
        <w:t xml:space="preserve">The estimated average burden associated with this information collection is 55.35 hours per respondent and is expected to vary by institution, depending on individual circumstances. Burden estimates include the time for reviewing instructions, gathering and maintaining data in the required form, and completing the information collection, but exclude the time for compiling and maintaining business records in the normal course of a respondents activities. A Federal agency may not conduct or sponsor, and an organization (or a person) is not required to respond to a collection of information, unless it displays a currently valid OMB control number. Comments concerning the accuracy of this burden estimate and suggestions for reducing this burden should be directed to the Office of Information and Regulatory Affairs, Office of Management and Budget, Washington, DC 20503, and to one of the following: Secretary, Board of Governors of the Federal Reserve System, 20th and C Streets, NW, Washington, DC 20551; Legislative and Regulatory Analysis Division, Office of the Comptroller of the Currency, Washington, DC 20219; Assistant Executive Secretary, Federal Deposit Insurance Corporation, Washington, DC 20429. </w:t>
      </w:r>
    </w:p>
    <w:p>
      <w:pPr>
        <w:pStyle w:val="TextBody"/>
        <w:spacing w:before="0" w:after="0"/>
        <w:jc w:val="left"/>
        <w:rPr/>
      </w:pPr>
      <w:r>
        <w:rPr/>
        <w:t> </w:t>
      </w:r>
    </w:p>
    <w:p>
      <w:pPr>
        <w:pStyle w:val="TextBody"/>
        <w:spacing w:before="0" w:after="0"/>
        <w:jc w:val="right"/>
        <w:rPr>
          <w:rFonts w:ascii="Times New Roman" w:hAnsi="Times New Roman"/>
          <w:sz w:val="13"/>
        </w:rPr>
      </w:pPr>
      <w:r>
        <w:rPr>
          <w:rFonts w:ascii="Times New Roman" w:hAnsi="Times New Roman"/>
          <w:sz w:val="13"/>
        </w:rPr>
        <w:t xml:space="preserve">09/2018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286"/>
        <w:gridCol w:w="102"/>
        <w:gridCol w:w="817"/>
      </w:tblGrid>
      <w:tr>
        <w:trPr/>
        <w:tc>
          <w:tcPr>
            <w:tcW w:w="928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r>
      <w:tr>
        <w:trPr/>
        <w:tc>
          <w:tcPr>
            <w:tcW w:w="928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817" w:type="dxa"/>
            <w:tcBorders/>
            <w:shd w:fill="auto" w:val="clear"/>
          </w:tcPr>
          <w:p>
            <w:pPr>
              <w:pStyle w:val="TableContents"/>
              <w:spacing w:before="0" w:after="0"/>
              <w:rPr>
                <w:rFonts w:ascii="ARIAL" w:hAnsi="ARIAL"/>
                <w:sz w:val="12"/>
              </w:rPr>
            </w:pPr>
            <w:r>
              <w:rPr>
                <w:rFonts w:ascii="ARIAL" w:hAnsi="ARIAL"/>
                <w:sz w:val="12"/>
              </w:rPr>
              <w:t>FFIEC 041</w:t>
            </w:r>
          </w:p>
          <w:p>
            <w:pPr>
              <w:pStyle w:val="TableContents"/>
              <w:spacing w:before="0" w:after="0"/>
              <w:rPr>
                <w:rFonts w:ascii="ARIAL" w:hAnsi="ARIAL"/>
                <w:sz w:val="12"/>
              </w:rPr>
            </w:pPr>
            <w:r>
              <w:rPr>
                <w:rFonts w:ascii="ARIAL" w:hAnsi="ARIAL"/>
                <w:sz w:val="12"/>
              </w:rPr>
              <w:t>Page 16 of 84</w:t>
            </w:r>
          </w:p>
          <w:p>
            <w:pPr>
              <w:pStyle w:val="TableContents"/>
              <w:spacing w:before="0" w:after="20"/>
              <w:rPr>
                <w:rFonts w:ascii="ARIAL" w:hAnsi="ARIAL"/>
                <w:sz w:val="12"/>
              </w:rPr>
            </w:pPr>
            <w:r>
              <w:rPr>
                <w:rFonts w:ascii="ARIAL" w:hAnsi="ARIAL"/>
                <w:sz w:val="12"/>
              </w:rPr>
              <w:t>RC-1</w:t>
            </w:r>
          </w:p>
        </w:tc>
      </w:tr>
    </w:tbl>
    <w:p>
      <w:pPr>
        <w:pStyle w:val="TextBody"/>
        <w:spacing w:before="0" w:after="0"/>
        <w:jc w:val="left"/>
        <w:rPr>
          <w:rFonts w:ascii="ARIAL" w:hAnsi="ARIAL"/>
          <w:b/>
          <w:sz w:val="22"/>
        </w:rPr>
      </w:pPr>
      <w:r>
        <w:rPr>
          <w:rFonts w:ascii="ARIAL" w:hAnsi="ARIAL"/>
          <w:b/>
          <w:sz w:val="22"/>
        </w:rPr>
        <w:t xml:space="preserve">Consolidated Report of Condition for Insured Banks </w:t>
      </w:r>
    </w:p>
    <w:p>
      <w:pPr>
        <w:pStyle w:val="TextBody"/>
        <w:spacing w:before="0" w:after="0"/>
        <w:jc w:val="left"/>
        <w:rPr>
          <w:rFonts w:ascii="ARIAL" w:hAnsi="ARIAL"/>
          <w:b/>
          <w:sz w:val="22"/>
        </w:rPr>
      </w:pPr>
      <w:r>
        <w:rPr>
          <w:rFonts w:ascii="ARIAL" w:hAnsi="ARIAL"/>
          <w:b/>
          <w:sz w:val="22"/>
        </w:rPr>
        <w:t xml:space="preserve">and Savings Associations for September 30, 2018 </w:t>
      </w:r>
    </w:p>
    <w:p>
      <w:pPr>
        <w:pStyle w:val="TextBody"/>
        <w:spacing w:before="200" w:after="0"/>
        <w:jc w:val="left"/>
        <w:rPr>
          <w:rFonts w:ascii="ARIAL" w:hAnsi="ARIAL"/>
          <w:sz w:val="14"/>
        </w:rPr>
      </w:pPr>
      <w:r>
        <w:rPr>
          <w:rFonts w:ascii="ARIAL" w:hAnsi="ARIAL"/>
          <w:sz w:val="14"/>
        </w:rPr>
        <w:t xml:space="preserve">All schedules are to be reported in thousands of dollars. Unless otherwise indicated, report the amount outstanding as of the last business day of the quarter. </w:t>
      </w:r>
    </w:p>
    <w:p>
      <w:pPr>
        <w:pStyle w:val="TextBody"/>
        <w:spacing w:before="120" w:after="0"/>
        <w:jc w:val="left"/>
        <w:rPr>
          <w:rFonts w:ascii="ARIAL" w:hAnsi="ARIAL"/>
          <w:b/>
          <w:sz w:val="22"/>
        </w:rPr>
      </w:pPr>
      <w:r>
        <w:rPr>
          <w:rFonts w:ascii="ARIAL" w:hAnsi="ARIAL"/>
          <w:b/>
          <w:sz w:val="22"/>
        </w:rPr>
        <w:t xml:space="preserve">Schedule RCBalance Sheet </w:t>
      </w:r>
    </w:p>
    <w:p>
      <w:pPr>
        <w:pStyle w:val="TextBody"/>
        <w:spacing w:before="0" w:after="0"/>
        <w:jc w:val="left"/>
        <w:rPr/>
      </w:pPr>
      <w:r>
        <w:rPr/>
        <w:t> </w:t>
      </w:r>
    </w:p>
    <w:tbl>
      <w:tblPr>
        <w:tblW w:w="4800" w:type="pct"/>
        <w:jc w:val="left"/>
        <w:tblInd w:w="0" w:type="dxa"/>
        <w:tblCellMar>
          <w:top w:w="0" w:type="dxa"/>
          <w:left w:w="0" w:type="dxa"/>
          <w:bottom w:w="0" w:type="dxa"/>
          <w:right w:w="0" w:type="dxa"/>
        </w:tblCellMar>
      </w:tblPr>
      <w:tblGrid>
        <w:gridCol w:w="273"/>
        <w:gridCol w:w="70"/>
        <w:gridCol w:w="316"/>
        <w:gridCol w:w="70"/>
        <w:gridCol w:w="2239"/>
        <w:gridCol w:w="70"/>
        <w:gridCol w:w="387"/>
        <w:gridCol w:w="127"/>
        <w:gridCol w:w="60"/>
        <w:gridCol w:w="2243"/>
        <w:gridCol w:w="60"/>
        <w:gridCol w:w="70"/>
        <w:gridCol w:w="416"/>
        <w:gridCol w:w="70"/>
        <w:gridCol w:w="60"/>
        <w:gridCol w:w="2312"/>
        <w:gridCol w:w="60"/>
        <w:gridCol w:w="127"/>
        <w:gridCol w:w="766"/>
      </w:tblGrid>
      <w:tr>
        <w:trPr/>
        <w:tc>
          <w:tcPr>
            <w:tcW w:w="27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bottom w:val="single" w:sz="2" w:space="0" w:color="000000"/>
            </w:tcBorders>
            <w:shd w:fill="auto" w:val="clear"/>
            <w:tcMar>
              <w:bottom w:w="28" w:type="dxa"/>
            </w:tcMar>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before="0" w:after="283"/>
              <w:rPr/>
            </w:pPr>
            <w:r>
              <w:rPr/>
              <w:t> </w:t>
            </w:r>
          </w:p>
        </w:tc>
        <w:tc>
          <w:tcPr>
            <w:tcW w:w="316" w:type="dxa"/>
            <w:tcBorders>
              <w:bottom w:val="single" w:sz="2" w:space="0" w:color="000000"/>
            </w:tcBorders>
            <w:shd w:fill="auto" w:val="clear"/>
            <w:tcMar>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28" w:type="dxa"/>
            </w:tcMar>
            <w:vAlign w:val="bottom"/>
          </w:tcPr>
          <w:p>
            <w:pPr>
              <w:pStyle w:val="TableContents"/>
              <w:spacing w:before="0" w:after="283"/>
              <w:rPr/>
            </w:pPr>
            <w:r>
              <w:rPr/>
              <w:t> </w:t>
            </w:r>
          </w:p>
        </w:tc>
        <w:tc>
          <w:tcPr>
            <w:tcW w:w="5126" w:type="dxa"/>
            <w:gridSpan w:val="6"/>
            <w:tcBorders>
              <w:bottom w:val="single" w:sz="2" w:space="0" w:color="000000"/>
            </w:tcBorders>
            <w:shd w:fill="auto" w:val="clear"/>
            <w:tcMar>
              <w:bottom w:w="28" w:type="dxa"/>
            </w:tcMar>
            <w:vAlign w:val="bottom"/>
          </w:tcPr>
          <w:p>
            <w:pPr>
              <w:pStyle w:val="TableContents"/>
              <w:spacing w:before="0" w:after="283"/>
              <w:jc w:val="right"/>
              <w:rPr>
                <w:sz w:val="15"/>
              </w:rPr>
            </w:pPr>
            <w:r>
              <w:rPr>
                <w:sz w:val="15"/>
              </w:rPr>
              <w:t>Dollar Amounts in Thousands</w:t>
            </w:r>
          </w:p>
        </w:tc>
        <w:tc>
          <w:tcPr>
            <w:tcW w:w="60" w:type="dxa"/>
            <w:tcBorders>
              <w:bottom w:val="single" w:sz="2" w:space="0" w:color="000000"/>
            </w:tcBorders>
            <w:shd w:fill="auto" w:val="clear"/>
            <w:tcMar>
              <w:bottom w:w="28" w:type="dxa"/>
            </w:tcM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RCON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center"/>
              <w:rPr/>
            </w:pPr>
            <w:r>
              <w:rPr/>
              <w:t>Amount</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968" w:type="dxa"/>
            <w:gridSpan w:val="5"/>
            <w:tcBorders/>
            <w:shd w:fill="auto" w:val="clear"/>
          </w:tcPr>
          <w:p>
            <w:pPr>
              <w:pStyle w:val="TableContents"/>
              <w:spacing w:before="0" w:after="0"/>
              <w:rPr/>
            </w:pPr>
            <w:r>
              <w:rPr/>
              <w:t> </w:t>
            </w:r>
          </w:p>
          <w:p>
            <w:pPr>
              <w:pStyle w:val="TableContents"/>
              <w:spacing w:before="0" w:after="20"/>
              <w:rPr>
                <w:rFonts w:ascii="ARIAL" w:hAnsi="ARIAL"/>
                <w:b/>
                <w:sz w:val="14"/>
              </w:rPr>
            </w:pPr>
            <w:r>
              <w:rPr>
                <w:rFonts w:ascii="ARIAL" w:hAnsi="ARIAL"/>
                <w:b/>
                <w:sz w:val="14"/>
              </w:rPr>
              <w:t>Assets</w:t>
            </w:r>
          </w:p>
        </w:tc>
        <w:tc>
          <w:tcPr>
            <w:tcW w:w="7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283"/>
              <w:rPr/>
            </w:pPr>
            <w:r>
              <w:rPr/>
              <w:t>  </w:t>
            </w:r>
            <w:r>
              <w:rPr/>
              <w:t>1.  </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rFonts w:ascii="ARIAL" w:hAnsi="ARIAL"/>
                <w:sz w:val="14"/>
              </w:rPr>
            </w:pPr>
            <w:r>
              <w:rPr>
                <w:rFonts w:ascii="ARIAL" w:hAnsi="ARIAL"/>
                <w:sz w:val="14"/>
              </w:rPr>
              <w:t>Cash and balances due from depository institutions (from Schedule RC-A):</w:t>
            </w:r>
          </w:p>
          <w:p>
            <w:pPr>
              <w:pStyle w:val="TableContents"/>
              <w:spacing w:before="0" w:after="20"/>
              <w:rPr/>
            </w:pPr>
            <w:r>
              <w:rPr/>
              <w:t> </w:t>
            </w:r>
          </w:p>
        </w:tc>
        <w:tc>
          <w:tcPr>
            <w:tcW w:w="60" w:type="dxa"/>
            <w:tcBorders/>
            <w:shd w:fill="auto" w:val="clear"/>
            <w:vAlign w:val="bottom"/>
          </w:tcPr>
          <w:p>
            <w:pPr>
              <w:pStyle w:val="TableContents"/>
              <w:spacing w:before="0" w:after="0"/>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a.  </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Noninterest-bearing balances and currency and coin    </w:t>
            </w:r>
            <w:r>
              <w:rPr>
                <w:rFonts w:ascii="ARIAL" w:hAnsi="ARIAL"/>
                <w:sz w:val="8"/>
              </w:rPr>
              <w:t xml:space="preserve">(1) </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0081</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35,000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1.a.</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b.</w:t>
            </w:r>
          </w:p>
        </w:tc>
        <w:tc>
          <w:tcPr>
            <w:tcW w:w="70"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 xml:space="preserve">Interest-bearing balances     </w:t>
            </w:r>
            <w:r>
              <w:rPr>
                <w:rFonts w:ascii="ARIAL" w:hAnsi="ARIAL"/>
                <w:sz w:val="8"/>
              </w:rPr>
              <w:t xml:space="preserve">(2) </w:t>
            </w:r>
          </w:p>
        </w:tc>
        <w:tc>
          <w:tcPr>
            <w:tcW w:w="7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0071</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19,173,000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1.b.</w:t>
            </w:r>
          </w:p>
        </w:tc>
      </w:tr>
      <w:tr>
        <w:trPr/>
        <w:tc>
          <w:tcPr>
            <w:tcW w:w="273" w:type="dxa"/>
            <w:tcBorders/>
            <w:shd w:fill="auto" w:val="clear"/>
          </w:tcPr>
          <w:p>
            <w:pPr>
              <w:pStyle w:val="TableContents"/>
              <w:spacing w:before="0" w:after="0"/>
              <w:rPr/>
            </w:pPr>
            <w:r>
              <w:rPr/>
              <w:t> </w:t>
            </w:r>
          </w:p>
          <w:p>
            <w:pPr>
              <w:pStyle w:val="TableContents"/>
              <w:spacing w:before="0" w:after="20"/>
              <w:rPr/>
            </w:pPr>
            <w:r>
              <w:rPr/>
              <w:t>  </w:t>
            </w:r>
            <w:r>
              <w:rPr>
                <w:rFonts w:ascii="ARIAL" w:hAnsi="ARIAL"/>
                <w:sz w:val="14"/>
              </w:rPr>
              <w:t>2.</w:t>
            </w:r>
          </w:p>
        </w:tc>
        <w:tc>
          <w:tcPr>
            <w:tcW w:w="70" w:type="dxa"/>
            <w:tcBorders/>
            <w:shd w:fill="auto" w:val="clear"/>
            <w:vAlign w:val="bottom"/>
          </w:tcPr>
          <w:p>
            <w:pPr>
              <w:pStyle w:val="TableContents"/>
              <w:spacing w:before="0" w:after="283"/>
              <w:rPr/>
            </w:pPr>
            <w:r>
              <w:rPr/>
              <w:t> </w:t>
            </w:r>
          </w:p>
        </w:tc>
        <w:tc>
          <w:tcPr>
            <w:tcW w:w="2625" w:type="dxa"/>
            <w:gridSpan w:val="3"/>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Securities:</w:t>
            </w:r>
          </w:p>
        </w:tc>
        <w:tc>
          <w:tcPr>
            <w:tcW w:w="7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a.</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Held-to-maturity securities (from Schedule RC-B, column A)</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1754</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2.a.</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b.</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Available-for-sale securities (from Schedule RC-B, column D)</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1773</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2.b.</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c.</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0"/>
              <w:rPr/>
            </w:pPr>
            <w:r>
              <w:rPr/>
              <w:t> </w:t>
            </w:r>
          </w:p>
          <w:p>
            <w:pPr>
              <w:pStyle w:val="TableContents"/>
              <w:spacing w:before="0" w:after="20"/>
              <w:rPr>
                <w:rFonts w:ascii="ARIAL" w:hAnsi="ARIAL"/>
                <w:b/>
                <w:sz w:val="14"/>
              </w:rPr>
            </w:pPr>
            <w:r>
              <w:rPr>
                <w:rFonts w:ascii="ARIAL" w:hAnsi="ARIAL"/>
                <w:b/>
                <w:sz w:val="14"/>
              </w:rPr>
              <w:t>Equity securities with readily determinable fair values not held for trading    </w:t>
            </w:r>
            <w:r>
              <w:rPr>
                <w:rFonts w:ascii="ARIAL" w:hAnsi="ARIAL"/>
                <w:b/>
                <w:sz w:val="8"/>
              </w:rPr>
              <w:t xml:space="preserve">(3) </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JA22</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5,000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2.c.</w:t>
            </w:r>
          </w:p>
        </w:tc>
      </w:tr>
      <w:tr>
        <w:trPr/>
        <w:tc>
          <w:tcPr>
            <w:tcW w:w="273" w:type="dxa"/>
            <w:tcBorders/>
            <w:shd w:fill="auto" w:val="clear"/>
          </w:tcPr>
          <w:p>
            <w:pPr>
              <w:pStyle w:val="TableContents"/>
              <w:spacing w:before="0" w:after="0"/>
              <w:rPr/>
            </w:pPr>
            <w:r>
              <w:rPr/>
              <w:t> </w:t>
            </w:r>
          </w:p>
          <w:p>
            <w:pPr>
              <w:pStyle w:val="TableContents"/>
              <w:spacing w:before="0" w:after="20"/>
              <w:rPr/>
            </w:pPr>
            <w:r>
              <w:rPr/>
              <w:t>  </w:t>
            </w:r>
            <w:r>
              <w:rPr>
                <w:rFonts w:ascii="ARIAL" w:hAnsi="ARIAL"/>
                <w:sz w:val="14"/>
              </w:rPr>
              <w:t>3.</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Federal funds sold and securities purchased under agreements to resell:</w:t>
            </w:r>
          </w:p>
        </w:tc>
        <w:tc>
          <w:tcPr>
            <w:tcW w:w="60" w:type="dxa"/>
            <w:tcBorders/>
            <w:shd w:fill="auto" w:val="clear"/>
            <w:vAlign w:val="bottom"/>
          </w:tcPr>
          <w:p>
            <w:pPr>
              <w:pStyle w:val="TableContents"/>
              <w:spacing w:before="0" w:after="0"/>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a.</w:t>
            </w:r>
          </w:p>
        </w:tc>
        <w:tc>
          <w:tcPr>
            <w:tcW w:w="70"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Federal funds sold</w:t>
            </w:r>
          </w:p>
        </w:tc>
        <w:tc>
          <w:tcPr>
            <w:tcW w:w="7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B987</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3.a.</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b.</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Securities purchased under agreements to resell    </w:t>
            </w:r>
            <w:r>
              <w:rPr>
                <w:rFonts w:ascii="ARIAL" w:hAnsi="ARIAL"/>
                <w:sz w:val="8"/>
              </w:rPr>
              <w:t>(4)</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B989</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11,009,000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3.b.</w:t>
            </w:r>
          </w:p>
        </w:tc>
      </w:tr>
      <w:tr>
        <w:trPr/>
        <w:tc>
          <w:tcPr>
            <w:tcW w:w="273" w:type="dxa"/>
            <w:tcBorders/>
            <w:shd w:fill="auto" w:val="clear"/>
          </w:tcPr>
          <w:p>
            <w:pPr>
              <w:pStyle w:val="TableContents"/>
              <w:spacing w:before="0" w:after="0"/>
              <w:rPr/>
            </w:pPr>
            <w:r>
              <w:rPr/>
              <w:t> </w:t>
            </w:r>
          </w:p>
          <w:p>
            <w:pPr>
              <w:pStyle w:val="TableContents"/>
              <w:spacing w:before="0" w:after="0"/>
              <w:rPr/>
            </w:pPr>
            <w:r>
              <w:rPr/>
              <w:t> </w:t>
            </w:r>
          </w:p>
          <w:p>
            <w:pPr>
              <w:pStyle w:val="TableContents"/>
              <w:spacing w:before="0" w:after="20"/>
              <w:rPr/>
            </w:pPr>
            <w:r>
              <w:rPr/>
              <w:t>  </w:t>
            </w:r>
            <w:r>
              <w:rPr>
                <w:rFonts w:ascii="ARIAL" w:hAnsi="ARIAL"/>
                <w:sz w:val="14"/>
              </w:rPr>
              <w:t>4.</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20"/>
              <w:rPr>
                <w:rFonts w:ascii="ARIAL" w:hAnsi="ARIAL"/>
                <w:sz w:val="14"/>
              </w:rPr>
            </w:pPr>
            <w:r>
              <w:rPr>
                <w:rFonts w:ascii="ARIAL" w:hAnsi="ARIAL"/>
                <w:sz w:val="14"/>
              </w:rPr>
              <w:t>Loans and lease financing receivables (from Schedule RC-C):</w:t>
            </w:r>
          </w:p>
        </w:tc>
        <w:tc>
          <w:tcPr>
            <w:tcW w:w="60" w:type="dxa"/>
            <w:tcBorders/>
            <w:shd w:fill="auto" w:val="clear"/>
            <w:vAlign w:val="bottom"/>
          </w:tcPr>
          <w:p>
            <w:pPr>
              <w:pStyle w:val="TableContents"/>
              <w:spacing w:before="0" w:after="0"/>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a.</w:t>
            </w:r>
          </w:p>
        </w:tc>
        <w:tc>
          <w:tcPr>
            <w:tcW w:w="70"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Loans and leases held for sale</w:t>
            </w:r>
          </w:p>
        </w:tc>
        <w:tc>
          <w:tcPr>
            <w:tcW w:w="7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5369</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4.a.</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b.</w:t>
            </w:r>
          </w:p>
        </w:tc>
        <w:tc>
          <w:tcPr>
            <w:tcW w:w="70"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Loans and leases held for investment</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87"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pPr>
            <w:r>
              <w:rPr/>
              <w:t> </w:t>
            </w:r>
            <w:r>
              <w:rPr>
                <w:sz w:val="12"/>
              </w:rPr>
              <w:t>B528 </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24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                    </w:t>
            </w:r>
            <w:r>
              <w:rPr/>
              <w:t>9,153,000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4.b.</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c.</w:t>
            </w:r>
          </w:p>
        </w:tc>
        <w:tc>
          <w:tcPr>
            <w:tcW w:w="70"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LESS: Allowance for loan and lease losses</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87"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3123</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24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6,000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4.c.</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d.</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Loans and leases held for investment, net of allowance (item 4.b minus 4.c)</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B529</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9,147,000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4.d.</w:t>
            </w:r>
          </w:p>
        </w:tc>
      </w:tr>
      <w:tr>
        <w:trPr/>
        <w:tc>
          <w:tcPr>
            <w:tcW w:w="273" w:type="dxa"/>
            <w:tcBorders/>
            <w:shd w:fill="auto" w:val="clear"/>
          </w:tcPr>
          <w:p>
            <w:pPr>
              <w:pStyle w:val="TableContents"/>
              <w:spacing w:before="0" w:after="0"/>
              <w:rPr/>
            </w:pPr>
            <w:r>
              <w:rPr/>
              <w:t> </w:t>
            </w:r>
          </w:p>
          <w:p>
            <w:pPr>
              <w:pStyle w:val="TableContents"/>
              <w:spacing w:before="0" w:after="20"/>
              <w:rPr/>
            </w:pPr>
            <w:r>
              <w:rPr/>
              <w:t>  </w:t>
            </w:r>
            <w:r>
              <w:rPr>
                <w:rFonts w:ascii="ARIAL" w:hAnsi="ARIAL"/>
                <w:sz w:val="14"/>
              </w:rPr>
              <w:t>5.</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Trading assets (from Schedule RC-D)</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3545</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5.</w:t>
            </w:r>
          </w:p>
        </w:tc>
      </w:tr>
      <w:tr>
        <w:trPr/>
        <w:tc>
          <w:tcPr>
            <w:tcW w:w="273" w:type="dxa"/>
            <w:tcBorders/>
            <w:shd w:fill="auto" w:val="clear"/>
          </w:tcPr>
          <w:p>
            <w:pPr>
              <w:pStyle w:val="TableContents"/>
              <w:spacing w:before="0" w:after="0"/>
              <w:rPr/>
            </w:pPr>
            <w:r>
              <w:rPr/>
              <w:t> </w:t>
            </w:r>
          </w:p>
          <w:p>
            <w:pPr>
              <w:pStyle w:val="TableContents"/>
              <w:spacing w:before="0" w:after="20"/>
              <w:rPr/>
            </w:pPr>
            <w:r>
              <w:rPr/>
              <w:t>  </w:t>
            </w:r>
            <w:r>
              <w:rPr>
                <w:rFonts w:ascii="ARIAL" w:hAnsi="ARIAL"/>
                <w:sz w:val="14"/>
              </w:rPr>
              <w:t>6.</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Premises and fixed assets (including capitalized leases)</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2145</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21,000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6.</w:t>
            </w:r>
          </w:p>
        </w:tc>
      </w:tr>
      <w:tr>
        <w:trPr/>
        <w:tc>
          <w:tcPr>
            <w:tcW w:w="273" w:type="dxa"/>
            <w:tcBorders/>
            <w:shd w:fill="auto" w:val="clear"/>
          </w:tcPr>
          <w:p>
            <w:pPr>
              <w:pStyle w:val="TableContents"/>
              <w:spacing w:before="0" w:after="0"/>
              <w:rPr/>
            </w:pPr>
            <w:r>
              <w:rPr/>
              <w:t> </w:t>
            </w:r>
          </w:p>
          <w:p>
            <w:pPr>
              <w:pStyle w:val="TableContents"/>
              <w:spacing w:before="0" w:after="20"/>
              <w:rPr/>
            </w:pPr>
            <w:r>
              <w:rPr/>
              <w:t>  </w:t>
            </w:r>
            <w:r>
              <w:rPr>
                <w:rFonts w:ascii="ARIAL" w:hAnsi="ARIAL"/>
                <w:sz w:val="14"/>
              </w:rPr>
              <w:t>7.</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Other real estate owned (from Schedule RC-M)</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2150</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1,000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7.</w:t>
            </w:r>
          </w:p>
        </w:tc>
      </w:tr>
      <w:tr>
        <w:trPr/>
        <w:tc>
          <w:tcPr>
            <w:tcW w:w="273" w:type="dxa"/>
            <w:tcBorders/>
            <w:shd w:fill="auto" w:val="clear"/>
          </w:tcPr>
          <w:p>
            <w:pPr>
              <w:pStyle w:val="TableContents"/>
              <w:spacing w:before="0" w:after="0"/>
              <w:rPr/>
            </w:pPr>
            <w:r>
              <w:rPr/>
              <w:t> </w:t>
            </w:r>
          </w:p>
          <w:p>
            <w:pPr>
              <w:pStyle w:val="TableContents"/>
              <w:spacing w:before="0" w:after="20"/>
              <w:rPr/>
            </w:pPr>
            <w:r>
              <w:rPr/>
              <w:t>  </w:t>
            </w:r>
            <w:r>
              <w:rPr>
                <w:rFonts w:ascii="ARIAL" w:hAnsi="ARIAL"/>
                <w:sz w:val="14"/>
              </w:rPr>
              <w:t>8.</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Investments in unconsolidated subsidiaries and associated companies</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2130</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8.</w:t>
            </w:r>
          </w:p>
        </w:tc>
      </w:tr>
      <w:tr>
        <w:trPr/>
        <w:tc>
          <w:tcPr>
            <w:tcW w:w="273" w:type="dxa"/>
            <w:tcBorders/>
            <w:shd w:fill="auto" w:val="clear"/>
          </w:tcPr>
          <w:p>
            <w:pPr>
              <w:pStyle w:val="TableContents"/>
              <w:spacing w:before="0" w:after="0"/>
              <w:rPr/>
            </w:pPr>
            <w:r>
              <w:rPr/>
              <w:t> </w:t>
            </w:r>
          </w:p>
          <w:p>
            <w:pPr>
              <w:pStyle w:val="TableContents"/>
              <w:spacing w:before="0" w:after="20"/>
              <w:rPr/>
            </w:pPr>
            <w:r>
              <w:rPr/>
              <w:t>  </w:t>
            </w:r>
            <w:r>
              <w:rPr>
                <w:rFonts w:ascii="ARIAL" w:hAnsi="ARIAL"/>
                <w:sz w:val="14"/>
              </w:rPr>
              <w:t>9.</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Direct and indirect investments in real estate ventures</w:t>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3656</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9.</w:t>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10.</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b/>
                <w:sz w:val="14"/>
              </w:rPr>
            </w:pPr>
            <w:r>
              <w:rPr>
                <w:rFonts w:ascii="ARIAL" w:hAnsi="ARIAL"/>
                <w:b/>
                <w:sz w:val="14"/>
              </w:rPr>
              <w:t>Intangible assets (from Schedule RC-M)</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2143</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21,000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10.</w:t>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11.</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283"/>
              <w:rPr/>
            </w:pPr>
            <w:r>
              <w:rPr/>
              <w:t>Other assets (from Schedule RC-F)</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2160</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1,518,000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11.</w:t>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12.</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283"/>
              <w:rPr/>
            </w:pPr>
            <w:r>
              <w:rPr/>
              <w:t>Total assets (sum of items 1 through 11)</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2170</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                    </w:t>
            </w:r>
            <w:r>
              <w:rPr>
                <w:b/>
              </w:rPr>
              <w:t>40,930,000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12.</w:t>
            </w:r>
          </w:p>
        </w:tc>
      </w:tr>
      <w:tr>
        <w:trPr/>
        <w:tc>
          <w:tcPr>
            <w:tcW w:w="2968" w:type="dxa"/>
            <w:gridSpan w:val="5"/>
            <w:tcBorders/>
            <w:shd w:fill="auto" w:val="clear"/>
          </w:tcPr>
          <w:p>
            <w:pPr>
              <w:pStyle w:val="TableContents"/>
              <w:spacing w:before="0" w:after="0"/>
              <w:rPr/>
            </w:pPr>
            <w:r>
              <w:rPr/>
              <w:t> </w:t>
            </w:r>
          </w:p>
          <w:p>
            <w:pPr>
              <w:pStyle w:val="TableContents"/>
              <w:spacing w:before="0" w:after="20"/>
              <w:rPr>
                <w:rFonts w:ascii="ARIAL" w:hAnsi="ARIAL"/>
                <w:b/>
                <w:sz w:val="14"/>
              </w:rPr>
            </w:pPr>
            <w:r>
              <w:rPr>
                <w:rFonts w:ascii="ARIAL" w:hAnsi="ARIAL"/>
                <w:b/>
                <w:sz w:val="14"/>
              </w:rPr>
              <w:t>Liabilities</w:t>
            </w:r>
          </w:p>
        </w:tc>
        <w:tc>
          <w:tcPr>
            <w:tcW w:w="7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13.</w:t>
            </w:r>
          </w:p>
        </w:tc>
        <w:tc>
          <w:tcPr>
            <w:tcW w:w="70" w:type="dxa"/>
            <w:tcBorders/>
            <w:shd w:fill="auto" w:val="clear"/>
            <w:vAlign w:val="bottom"/>
          </w:tcPr>
          <w:p>
            <w:pPr>
              <w:pStyle w:val="TableContents"/>
              <w:spacing w:before="0" w:after="283"/>
              <w:rPr/>
            </w:pPr>
            <w:r>
              <w:rPr/>
              <w:t> </w:t>
            </w:r>
          </w:p>
        </w:tc>
        <w:tc>
          <w:tcPr>
            <w:tcW w:w="2625" w:type="dxa"/>
            <w:gridSpan w:val="3"/>
            <w:tcBorders/>
            <w:shd w:fill="auto" w:val="clear"/>
            <w:vAlign w:val="bottom"/>
          </w:tcPr>
          <w:p>
            <w:pPr>
              <w:pStyle w:val="TableContents"/>
              <w:spacing w:before="0" w:after="283"/>
              <w:rPr/>
            </w:pPr>
            <w:r>
              <w:rPr/>
              <w:t>Deposits:</w:t>
            </w:r>
          </w:p>
        </w:tc>
        <w:tc>
          <w:tcPr>
            <w:tcW w:w="7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a.</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283"/>
              <w:rPr/>
            </w:pPr>
            <w:r>
              <w:rPr/>
              <w:t>In domestic offices (sum of totals of columns A and C from Schedule RC-E)</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2200</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27,249,000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13.a.</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(1)   Noninterest-bearing    </w:t>
            </w:r>
            <w:r>
              <w:rPr>
                <w:rFonts w:ascii="ARIAL" w:hAnsi="ARIAL"/>
                <w:sz w:val="8"/>
              </w:rPr>
              <w:t>(5)</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87"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6631</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24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17,400,000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13.a.(1)</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(2)   Interest-bearing</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87"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6636</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24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9,849,000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13.a.(2)</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0"/>
              <w:rPr>
                <w:rFonts w:ascii="ARIAL" w:hAnsi="ARIAL"/>
                <w:sz w:val="14"/>
              </w:rPr>
            </w:pPr>
            <w:r>
              <w:rPr>
                <w:rFonts w:ascii="ARIAL" w:hAnsi="ARIAL"/>
                <w:sz w:val="14"/>
              </w:rPr>
              <w:t>b.</w:t>
            </w:r>
          </w:p>
          <w:p>
            <w:pPr>
              <w:pStyle w:val="TableContents"/>
              <w:spacing w:before="0" w:after="20"/>
              <w:rPr/>
            </w:pPr>
            <w:r>
              <w:rPr/>
              <w:t> </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Not applicable</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14.</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Federal funds purchased and securities sold under agreements to repurchase:</w:t>
            </w:r>
          </w:p>
        </w:tc>
        <w:tc>
          <w:tcPr>
            <w:tcW w:w="60" w:type="dxa"/>
            <w:tcBorders/>
            <w:shd w:fill="auto" w:val="clear"/>
            <w:vAlign w:val="bottom"/>
          </w:tcPr>
          <w:p>
            <w:pPr>
              <w:pStyle w:val="TableContents"/>
              <w:spacing w:before="0" w:after="0"/>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0"/>
              <w:rPr>
                <w:rFonts w:ascii="ARIAL" w:hAnsi="ARIAL"/>
                <w:sz w:val="14"/>
              </w:rPr>
            </w:pPr>
            <w:r>
              <w:rPr>
                <w:rFonts w:ascii="ARIAL" w:hAnsi="ARIAL"/>
                <w:sz w:val="14"/>
              </w:rPr>
              <w:t>a.</w:t>
            </w:r>
          </w:p>
          <w:p>
            <w:pPr>
              <w:pStyle w:val="TableContents"/>
              <w:spacing w:before="0" w:after="20"/>
              <w:rPr/>
            </w:pPr>
            <w:r>
              <w:rPr/>
              <w:t> </w:t>
            </w:r>
          </w:p>
        </w:tc>
        <w:tc>
          <w:tcPr>
            <w:tcW w:w="70"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Federal funds purchased    </w:t>
            </w:r>
            <w:r>
              <w:rPr>
                <w:rFonts w:ascii="ARIAL" w:hAnsi="ARIAL"/>
                <w:sz w:val="8"/>
              </w:rPr>
              <w:t xml:space="preserve">(6) </w:t>
            </w:r>
          </w:p>
        </w:tc>
        <w:tc>
          <w:tcPr>
            <w:tcW w:w="7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2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B993</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996,000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14.a.</w:t>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0"/>
              <w:rPr>
                <w:rFonts w:ascii="ARIAL" w:hAnsi="ARIAL"/>
                <w:sz w:val="14"/>
              </w:rPr>
            </w:pPr>
            <w:r>
              <w:rPr>
                <w:rFonts w:ascii="ARIAL" w:hAnsi="ARIAL"/>
                <w:sz w:val="14"/>
              </w:rPr>
              <w:t>b.</w:t>
            </w:r>
          </w:p>
          <w:p>
            <w:pPr>
              <w:pStyle w:val="TableContents"/>
              <w:spacing w:before="0" w:after="20"/>
              <w:rPr/>
            </w:pPr>
            <w:r>
              <w:rPr/>
              <w:t> </w:t>
            </w:r>
          </w:p>
        </w:tc>
        <w:tc>
          <w:tcPr>
            <w:tcW w:w="70" w:type="dxa"/>
            <w:tcBorders/>
            <w:shd w:fill="auto" w:val="clear"/>
            <w:vAlign w:val="bottom"/>
          </w:tcPr>
          <w:p>
            <w:pPr>
              <w:pStyle w:val="TableContents"/>
              <w:spacing w:before="0" w:after="283"/>
              <w:rPr/>
            </w:pPr>
            <w:r>
              <w:rPr/>
              <w:t> </w:t>
            </w:r>
          </w:p>
        </w:tc>
        <w:tc>
          <w:tcPr>
            <w:tcW w:w="5126" w:type="dxa"/>
            <w:gridSpan w:val="6"/>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 xml:space="preserve">Securities sold under agreements to repurchase     </w:t>
            </w:r>
            <w:r>
              <w:rPr>
                <w:rFonts w:ascii="ARIAL" w:hAnsi="ARIAL"/>
                <w:sz w:val="8"/>
              </w:rPr>
              <w:t>(7)</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B995</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14.b.</w:t>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15.</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Trading liabilities (from Schedule RC-D)</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3548</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15.</w:t>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16.</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Other borrowed money (includes mortgage indebtedness and obligations under</w:t>
            </w:r>
          </w:p>
        </w:tc>
        <w:tc>
          <w:tcPr>
            <w:tcW w:w="60" w:type="dxa"/>
            <w:tcBorders/>
            <w:shd w:fill="auto" w:val="clear"/>
            <w:vAlign w:val="bottom"/>
          </w:tcPr>
          <w:p>
            <w:pPr>
              <w:pStyle w:val="TableContents"/>
              <w:spacing w:before="0" w:after="0"/>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283"/>
              <w:rPr/>
            </w:pPr>
            <w:r>
              <w:rPr/>
              <w:t>capitalized leases) (from Schedule RC-M)</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3190</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b/>
              </w:rPr>
            </w:pPr>
            <w:r>
              <w:rPr>
                <w:b/>
              </w:rPr>
              <w:t>1,778,000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16.</w:t>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17.</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and 18. Not applicable</w:t>
            </w:r>
          </w:p>
        </w:tc>
        <w:tc>
          <w:tcPr>
            <w:tcW w:w="60" w:type="dxa"/>
            <w:tcBorders/>
            <w:shd w:fill="auto" w:val="clear"/>
            <w:vAlign w:val="bottom"/>
          </w:tcPr>
          <w:p>
            <w:pPr>
              <w:pStyle w:val="TableContents"/>
              <w:spacing w:before="0" w:after="0"/>
              <w:rPr/>
            </w:pPr>
            <w:r>
              <w:rPr/>
              <w:t> </w:t>
            </w:r>
          </w:p>
        </w:tc>
        <w:tc>
          <w:tcPr>
            <w:tcW w:w="70" w:type="dxa"/>
            <w:tcBorders>
              <w:left w:val="single" w:sz="2" w:space="0" w:color="000000"/>
            </w:tcBorders>
            <w:shd w:fill="969696" w:val="clear"/>
            <w:tcMar>
              <w:left w:w="28" w:type="dxa"/>
            </w:tcMar>
            <w:vAlign w:val="bottom"/>
          </w:tcPr>
          <w:p>
            <w:pPr>
              <w:pStyle w:val="TableContents"/>
              <w:spacing w:before="0" w:after="283"/>
              <w:rPr/>
            </w:pPr>
            <w:r>
              <w:rPr/>
              <w:t> </w:t>
            </w:r>
          </w:p>
        </w:tc>
        <w:tc>
          <w:tcPr>
            <w:tcW w:w="416" w:type="dxa"/>
            <w:tcBorders/>
            <w:shd w:fill="969696" w:val="clear"/>
            <w:vAlign w:val="center"/>
          </w:tcPr>
          <w:p>
            <w:pPr>
              <w:pStyle w:val="TableContents"/>
              <w:spacing w:before="0" w:after="283"/>
              <w:rPr>
                <w:sz w:val="4"/>
                <w:szCs w:val="4"/>
              </w:rPr>
            </w:pPr>
            <w:r>
              <w:rPr>
                <w:sz w:val="4"/>
                <w:szCs w:val="4"/>
              </w:rPr>
            </w:r>
          </w:p>
        </w:tc>
        <w:tc>
          <w:tcPr>
            <w:tcW w:w="70" w:type="dxa"/>
            <w:tcBorders/>
            <w:shd w:fill="969696" w:val="clear"/>
            <w:vAlign w:val="bottom"/>
          </w:tcPr>
          <w:p>
            <w:pPr>
              <w:pStyle w:val="TableContents"/>
              <w:spacing w:before="0" w:after="283"/>
              <w:rPr/>
            </w:pPr>
            <w:r>
              <w:rPr/>
              <w:t> </w:t>
            </w:r>
          </w:p>
        </w:tc>
        <w:tc>
          <w:tcPr>
            <w:tcW w:w="60" w:type="dxa"/>
            <w:tcBorders/>
            <w:shd w:fill="969696" w:val="clear"/>
            <w:vAlign w:val="center"/>
          </w:tcPr>
          <w:p>
            <w:pPr>
              <w:pStyle w:val="TableContents"/>
              <w:spacing w:before="0" w:after="283"/>
              <w:rPr>
                <w:sz w:val="4"/>
                <w:szCs w:val="4"/>
              </w:rPr>
            </w:pPr>
            <w:r>
              <w:rPr>
                <w:sz w:val="4"/>
                <w:szCs w:val="4"/>
              </w:rPr>
            </w:r>
          </w:p>
        </w:tc>
        <w:tc>
          <w:tcPr>
            <w:tcW w:w="2312" w:type="dxa"/>
            <w:tcBorders/>
            <w:shd w:fill="969696" w:val="clear"/>
            <w:vAlign w:val="center"/>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sz w:val="4"/>
                <w:szCs w:val="4"/>
              </w:rPr>
            </w:pPr>
            <w:r>
              <w:rPr>
                <w:sz w:val="4"/>
                <w:szCs w:val="4"/>
              </w:rPr>
            </w:r>
          </w:p>
        </w:tc>
      </w:tr>
      <w:tr>
        <w:trPr/>
        <w:tc>
          <w:tcPr>
            <w:tcW w:w="273" w:type="dxa"/>
            <w:tcBorders/>
            <w:shd w:fill="auto" w:val="clear"/>
          </w:tcPr>
          <w:p>
            <w:pPr>
              <w:pStyle w:val="TableContents"/>
              <w:spacing w:before="0" w:after="0"/>
              <w:rPr/>
            </w:pPr>
            <w:r>
              <w:rPr/>
              <w:t> </w:t>
            </w:r>
          </w:p>
          <w:p>
            <w:pPr>
              <w:pStyle w:val="TableContents"/>
              <w:spacing w:before="0" w:after="20"/>
              <w:rPr>
                <w:rFonts w:ascii="ARIAL" w:hAnsi="ARIAL"/>
                <w:sz w:val="14"/>
              </w:rPr>
            </w:pPr>
            <w:r>
              <w:rPr>
                <w:rFonts w:ascii="ARIAL" w:hAnsi="ARIAL"/>
                <w:sz w:val="14"/>
              </w:rPr>
              <w:t>19.</w:t>
            </w:r>
          </w:p>
        </w:tc>
        <w:tc>
          <w:tcPr>
            <w:tcW w:w="70" w:type="dxa"/>
            <w:tcBorders/>
            <w:shd w:fill="auto" w:val="clear"/>
            <w:vAlign w:val="bottom"/>
          </w:tcPr>
          <w:p>
            <w:pPr>
              <w:pStyle w:val="TableContents"/>
              <w:spacing w:before="0" w:after="283"/>
              <w:rPr/>
            </w:pPr>
            <w:r>
              <w:rPr/>
              <w:t> </w:t>
            </w:r>
          </w:p>
        </w:tc>
        <w:tc>
          <w:tcPr>
            <w:tcW w:w="5512" w:type="dxa"/>
            <w:gridSpan w:val="8"/>
            <w:tcBorders/>
            <w:shd w:fill="auto" w:val="clear"/>
            <w:vAlign w:val="bottom"/>
          </w:tcPr>
          <w:p>
            <w:pPr>
              <w:pStyle w:val="TableContents"/>
              <w:spacing w:before="0" w:after="0"/>
              <w:rPr/>
            </w:pPr>
            <w:r>
              <w:rPr/>
              <w:t> </w:t>
            </w:r>
          </w:p>
          <w:p>
            <w:pPr>
              <w:pStyle w:val="TableContents"/>
              <w:spacing w:before="0" w:after="20"/>
              <w:rPr>
                <w:rFonts w:ascii="ARIAL" w:hAnsi="ARIAL"/>
                <w:sz w:val="14"/>
              </w:rPr>
            </w:pPr>
            <w:r>
              <w:rPr>
                <w:rFonts w:ascii="ARIAL" w:hAnsi="ARIAL"/>
                <w:sz w:val="14"/>
              </w:rPr>
              <w:t xml:space="preserve">Subordinated notes and debentures     </w:t>
            </w:r>
            <w:r>
              <w:rPr>
                <w:rFonts w:ascii="ARIAL" w:hAnsi="ARIAL"/>
                <w:sz w:val="8"/>
              </w:rPr>
              <w:t>(8)</w:t>
            </w:r>
          </w:p>
        </w:tc>
        <w:tc>
          <w:tcPr>
            <w:tcW w:w="60" w:type="dxa"/>
            <w:tcBorders/>
            <w:shd w:fill="auto" w:val="clear"/>
            <w:vAlign w:val="bottom"/>
          </w:tcPr>
          <w:p>
            <w:pPr>
              <w:pStyle w:val="TableContents"/>
              <w:spacing w:before="0" w:after="0"/>
              <w:rPr/>
            </w:pPr>
            <w:r>
              <w:rPr/>
              <w:t> </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41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jc w:val="center"/>
              <w:rPr>
                <w:sz w:val="12"/>
              </w:rPr>
            </w:pPr>
            <w:r>
              <w:rPr>
                <w:sz w:val="12"/>
              </w:rPr>
              <w:t>3200</w:t>
            </w:r>
          </w:p>
        </w:tc>
        <w:tc>
          <w:tcPr>
            <w:tcW w:w="7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rPr/>
            </w:pPr>
            <w:r>
              <w:rPr/>
              <w:t> </w:t>
            </w:r>
          </w:p>
        </w:tc>
        <w:tc>
          <w:tcPr>
            <w:tcW w:w="231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283"/>
              <w:jc w:val="right"/>
              <w:rPr/>
            </w:pPr>
            <w:r>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66" w:type="dxa"/>
            <w:tcBorders/>
            <w:shd w:fill="auto" w:val="clear"/>
            <w:vAlign w:val="center"/>
          </w:tcPr>
          <w:p>
            <w:pPr>
              <w:pStyle w:val="TableContents"/>
              <w:spacing w:before="0" w:after="283"/>
              <w:rPr/>
            </w:pPr>
            <w:r>
              <w:rPr/>
              <w:t>19.</w:t>
            </w:r>
          </w:p>
        </w:tc>
      </w:tr>
    </w:tbl>
    <w:p>
      <w:pPr>
        <w:pStyle w:val="TextBody"/>
        <w:pBdr>
          <w:bottom w:val="single" w:sz="2" w:space="1" w:color="000000"/>
        </w:pBdr>
        <w:spacing w:lineRule="atLeast" w:line="141" w:before="0" w:after="4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1.</w:t>
            </w:r>
          </w:p>
        </w:tc>
        <w:tc>
          <w:tcPr>
            <w:tcW w:w="10002" w:type="dxa"/>
            <w:tcBorders/>
            <w:shd w:fill="auto" w:val="clear"/>
          </w:tcPr>
          <w:p>
            <w:pPr>
              <w:pStyle w:val="TableContents"/>
              <w:spacing w:before="0" w:after="0"/>
              <w:jc w:val="left"/>
              <w:rPr>
                <w:rFonts w:ascii="ARIAL" w:hAnsi="ARIAL"/>
                <w:sz w:val="13"/>
              </w:rPr>
            </w:pPr>
            <w:r>
              <w:rPr>
                <w:rFonts w:ascii="ARIAL" w:hAnsi="ARIAL"/>
                <w:sz w:val="13"/>
              </w:rPr>
              <w:t xml:space="preserve">Includes cash items in process of collection and unposted debits.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2.</w:t>
            </w:r>
          </w:p>
        </w:tc>
        <w:tc>
          <w:tcPr>
            <w:tcW w:w="10002" w:type="dxa"/>
            <w:tcBorders/>
            <w:shd w:fill="auto" w:val="clear"/>
          </w:tcPr>
          <w:p>
            <w:pPr>
              <w:pStyle w:val="TableContents"/>
              <w:spacing w:before="0" w:after="0"/>
              <w:jc w:val="left"/>
              <w:rPr>
                <w:rFonts w:ascii="ARIAL" w:hAnsi="ARIAL"/>
                <w:sz w:val="13"/>
              </w:rPr>
            </w:pPr>
            <w:r>
              <w:rPr>
                <w:rFonts w:ascii="ARIAL" w:hAnsi="ARIAL"/>
                <w:sz w:val="13"/>
              </w:rPr>
              <w:t xml:space="preserve">Includes time certificates of deposit not held for trading.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3.</w:t>
            </w:r>
          </w:p>
        </w:tc>
        <w:tc>
          <w:tcPr>
            <w:tcW w:w="10002" w:type="dxa"/>
            <w:tcBorders/>
            <w:shd w:fill="auto" w:val="clear"/>
          </w:tcPr>
          <w:p>
            <w:pPr>
              <w:pStyle w:val="TableContents"/>
              <w:spacing w:before="0" w:after="0"/>
              <w:jc w:val="left"/>
              <w:rPr>
                <w:rFonts w:ascii="ARIAL" w:hAnsi="ARIAL"/>
                <w:sz w:val="13"/>
              </w:rPr>
            </w:pPr>
            <w:r>
              <w:rPr>
                <w:rFonts w:ascii="ARIAL" w:hAnsi="ARIAL"/>
                <w:b/>
                <w:sz w:val="13"/>
              </w:rPr>
              <w:t>Item 2.c is to be completed only by institutions that have adopted ASU 2016-01, which includes provisions governing the accounting for investments in equity securities. See the instructions for further detail on ASU 2016-01.</w:t>
            </w:r>
            <w:r>
              <w:rPr>
                <w:rFonts w:ascii="ARIAL" w:hAnsi="ARIAL"/>
                <w:sz w:val="13"/>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4.</w:t>
            </w:r>
          </w:p>
        </w:tc>
        <w:tc>
          <w:tcPr>
            <w:tcW w:w="10002" w:type="dxa"/>
            <w:tcBorders/>
            <w:shd w:fill="auto" w:val="clear"/>
          </w:tcPr>
          <w:p>
            <w:pPr>
              <w:pStyle w:val="TableContents"/>
              <w:spacing w:before="0" w:after="0"/>
              <w:jc w:val="left"/>
              <w:rPr>
                <w:rFonts w:ascii="ARIAL" w:hAnsi="ARIAL"/>
                <w:sz w:val="13"/>
              </w:rPr>
            </w:pPr>
            <w:r>
              <w:rPr>
                <w:rFonts w:ascii="ARIAL" w:hAnsi="ARIAL"/>
                <w:sz w:val="13"/>
              </w:rPr>
              <w:t xml:space="preserve">Includes all securities resale agreements, regardless of maturity.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5.</w:t>
            </w:r>
          </w:p>
        </w:tc>
        <w:tc>
          <w:tcPr>
            <w:tcW w:w="10002" w:type="dxa"/>
            <w:tcBorders/>
            <w:shd w:fill="auto" w:val="clear"/>
          </w:tcPr>
          <w:p>
            <w:pPr>
              <w:pStyle w:val="TableContents"/>
              <w:spacing w:before="0" w:after="0"/>
              <w:jc w:val="left"/>
              <w:rPr>
                <w:rFonts w:ascii="ARIAL" w:hAnsi="ARIAL"/>
                <w:sz w:val="13"/>
              </w:rPr>
            </w:pPr>
            <w:r>
              <w:rPr>
                <w:rFonts w:ascii="ARIAL" w:hAnsi="ARIAL"/>
                <w:sz w:val="13"/>
              </w:rPr>
              <w:t xml:space="preserve">Includes noninterest-bearing demand, time, and savings deposits.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6.</w:t>
            </w:r>
          </w:p>
        </w:tc>
        <w:tc>
          <w:tcPr>
            <w:tcW w:w="10002" w:type="dxa"/>
            <w:tcBorders/>
            <w:shd w:fill="auto" w:val="clear"/>
          </w:tcPr>
          <w:p>
            <w:pPr>
              <w:pStyle w:val="TableContents"/>
              <w:spacing w:before="0" w:after="0"/>
              <w:jc w:val="left"/>
              <w:rPr>
                <w:rFonts w:ascii="ARIAL" w:hAnsi="ARIAL"/>
                <w:sz w:val="13"/>
              </w:rPr>
            </w:pPr>
            <w:r>
              <w:rPr>
                <w:rFonts w:ascii="ARIAL" w:hAnsi="ARIAL"/>
                <w:sz w:val="13"/>
              </w:rPr>
              <w:t xml:space="preserve">Report overnight Federal Home Loan Bank advances in Schedule RC, item 16, Other borrowed money.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7.</w:t>
            </w:r>
          </w:p>
        </w:tc>
        <w:tc>
          <w:tcPr>
            <w:tcW w:w="10002" w:type="dxa"/>
            <w:tcBorders/>
            <w:shd w:fill="auto" w:val="clear"/>
          </w:tcPr>
          <w:p>
            <w:pPr>
              <w:pStyle w:val="TableContents"/>
              <w:spacing w:before="0" w:after="0"/>
              <w:jc w:val="left"/>
              <w:rPr>
                <w:rFonts w:ascii="ARIAL" w:hAnsi="ARIAL"/>
                <w:sz w:val="13"/>
              </w:rPr>
            </w:pPr>
            <w:r>
              <w:rPr>
                <w:rFonts w:ascii="ARIAL" w:hAnsi="ARIAL"/>
                <w:sz w:val="13"/>
              </w:rPr>
              <w:t xml:space="preserve">Includes all securities repurchase agreements, regardless of maturity.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pPr>
            <w:r>
              <w:rPr/>
              <w:t>8.</w:t>
            </w:r>
          </w:p>
        </w:tc>
        <w:tc>
          <w:tcPr>
            <w:tcW w:w="10003" w:type="dxa"/>
            <w:tcBorders/>
            <w:shd w:fill="auto" w:val="clear"/>
          </w:tcPr>
          <w:p>
            <w:pPr>
              <w:pStyle w:val="TableContents"/>
              <w:spacing w:before="0" w:after="0"/>
              <w:jc w:val="left"/>
              <w:rPr>
                <w:rFonts w:ascii="ARIAL" w:hAnsi="ARIAL"/>
                <w:sz w:val="13"/>
              </w:rPr>
            </w:pPr>
            <w:r>
              <w:rPr>
                <w:rFonts w:ascii="ARIAL" w:hAnsi="ARIAL"/>
                <w:sz w:val="13"/>
              </w:rPr>
              <w:t xml:space="preserve">Includes limited-life preferred stock and related surplus. </w:t>
            </w:r>
          </w:p>
        </w:tc>
      </w:tr>
    </w:tbl>
    <w:p>
      <w:pPr>
        <w:pStyle w:val="TextBody"/>
        <w:spacing w:before="0" w:after="0"/>
        <w:jc w:val="left"/>
        <w:rPr/>
      </w:pPr>
      <w:r>
        <w:rPr/>
        <w:t> </w:t>
      </w:r>
    </w:p>
    <w:p>
      <w:pPr>
        <w:pStyle w:val="TextBody"/>
        <w:spacing w:before="0" w:after="0"/>
        <w:jc w:val="right"/>
        <w:rPr>
          <w:rFonts w:ascii="Times New Roman" w:hAnsi="Times New Roman"/>
          <w:sz w:val="13"/>
        </w:rPr>
      </w:pPr>
      <w:r>
        <w:rPr>
          <w:rFonts w:ascii="Times New Roman" w:hAnsi="Times New Roman"/>
          <w:sz w:val="13"/>
        </w:rPr>
        <w:t xml:space="preserve">09/2018 </w:t>
      </w:r>
      <w:r>
        <w:br w:type="page"/>
      </w:r>
    </w:p>
    <w:p>
      <w:pPr>
        <w:pStyle w:val="HorizontalLine"/>
        <w:pBdr>
          <w:bottom w:val="double" w:sz="6" w:space="0" w:color="808080"/>
        </w:pBdr>
        <w:rPr/>
      </w:pPr>
      <w:r>
        <w:rPr/>
      </w:r>
    </w:p>
    <w:p>
      <w:pPr>
        <w:pStyle w:val="TextBody"/>
        <w:spacing w:before="0" w:after="0"/>
        <w:jc w:val="right"/>
        <w:rPr>
          <w:rFonts w:ascii="ARIAL" w:hAnsi="ARIAL"/>
          <w:sz w:val="12"/>
        </w:rPr>
      </w:pPr>
      <w:r>
        <w:rPr>
          <w:rFonts w:ascii="ARIAL" w:hAnsi="ARIAL"/>
          <w:sz w:val="12"/>
        </w:rPr>
        <w:t xml:space="preserve">FFIEC 041               </w:t>
      </w:r>
    </w:p>
    <w:p>
      <w:pPr>
        <w:pStyle w:val="TextBody"/>
        <w:spacing w:before="0" w:after="0"/>
        <w:jc w:val="right"/>
        <w:rPr>
          <w:rFonts w:ascii="ARIAL" w:hAnsi="ARIAL"/>
          <w:sz w:val="12"/>
        </w:rPr>
      </w:pPr>
      <w:r>
        <w:rPr>
          <w:rFonts w:ascii="ARIAL" w:hAnsi="ARIAL"/>
          <w:sz w:val="12"/>
        </w:rPr>
        <w:t xml:space="preserve">Page 17 of 84          </w:t>
      </w:r>
    </w:p>
    <w:p>
      <w:pPr>
        <w:pStyle w:val="TextBody"/>
        <w:spacing w:before="0" w:after="0"/>
        <w:jc w:val="right"/>
        <w:rPr>
          <w:rFonts w:ascii="ARIAL" w:hAnsi="ARIAL"/>
          <w:sz w:val="12"/>
        </w:rPr>
      </w:pPr>
      <w:r>
        <w:rPr>
          <w:rFonts w:ascii="ARIAL" w:hAnsi="ARIAL"/>
          <w:sz w:val="12"/>
        </w:rPr>
        <w:t xml:space="preserve">RC- 2                       </w:t>
      </w:r>
    </w:p>
    <w:p>
      <w:pPr>
        <w:pStyle w:val="TextBody"/>
        <w:spacing w:before="0" w:after="0"/>
        <w:jc w:val="left"/>
        <w:rPr/>
      </w:pPr>
      <w:r>
        <w:rPr/>
        <w:t> </w:t>
      </w:r>
    </w:p>
    <w:p>
      <w:pPr>
        <w:pStyle w:val="TextBody"/>
        <w:spacing w:before="0" w:after="0"/>
        <w:jc w:val="left"/>
        <w:rPr>
          <w:rFonts w:ascii="ARIAL" w:hAnsi="ARIAL"/>
          <w:b/>
          <w:sz w:val="22"/>
        </w:rPr>
      </w:pPr>
      <w:r>
        <w:rPr>
          <w:rFonts w:ascii="ARIAL" w:hAnsi="ARIAL"/>
          <w:b/>
          <w:sz w:val="22"/>
        </w:rPr>
        <w:t xml:space="preserve">Schedule RCContinued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7"/>
        <w:gridCol w:w="191"/>
        <w:gridCol w:w="6395"/>
        <w:gridCol w:w="240"/>
        <w:gridCol w:w="382"/>
        <w:gridCol w:w="240"/>
        <w:gridCol w:w="91"/>
        <w:gridCol w:w="1864"/>
        <w:gridCol w:w="60"/>
        <w:gridCol w:w="191"/>
        <w:gridCol w:w="214"/>
      </w:tblGrid>
      <w:tr>
        <w:trPr/>
        <w:tc>
          <w:tcPr>
            <w:tcW w:w="33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639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37" w:type="dxa"/>
            <w:tcBorders>
              <w:bottom w:val="single" w:sz="2" w:space="0" w:color="000000"/>
            </w:tcBorders>
            <w:shd w:fill="auto" w:val="clear"/>
            <w:tcMar>
              <w:bottom w:w="28" w:type="dxa"/>
            </w:tcMar>
            <w:vAlign w:val="bottom"/>
          </w:tcPr>
          <w:p>
            <w:pPr>
              <w:pStyle w:val="TableContents"/>
              <w:spacing w:before="0" w:after="283"/>
              <w:rPr/>
            </w:pPr>
            <w:r>
              <w:rPr/>
              <w:t>  </w:t>
            </w:r>
          </w:p>
        </w:tc>
        <w:tc>
          <w:tcPr>
            <w:tcW w:w="191" w:type="dxa"/>
            <w:tcBorders>
              <w:bottom w:val="single" w:sz="2" w:space="0" w:color="000000"/>
            </w:tcBorders>
            <w:shd w:fill="auto" w:val="clear"/>
            <w:tcMar>
              <w:bottom w:w="28" w:type="dxa"/>
            </w:tcMar>
            <w:vAlign w:val="bottom"/>
          </w:tcPr>
          <w:p>
            <w:pPr>
              <w:pStyle w:val="TableContents"/>
              <w:spacing w:before="0" w:after="283"/>
              <w:rPr/>
            </w:pPr>
            <w:r>
              <w:rPr/>
              <w:t> </w:t>
            </w:r>
          </w:p>
        </w:tc>
        <w:tc>
          <w:tcPr>
            <w:tcW w:w="6395" w:type="dxa"/>
            <w:tcBorders>
              <w:bottom w:val="single" w:sz="2" w:space="0" w:color="000000"/>
            </w:tcBorders>
            <w:shd w:fill="auto" w:val="clear"/>
            <w:tcMar>
              <w:bottom w:w="28" w:type="dxa"/>
            </w:tcMar>
            <w:vAlign w:val="bottom"/>
          </w:tcPr>
          <w:p>
            <w:pPr>
              <w:pStyle w:val="TableContents"/>
              <w:spacing w:before="0" w:after="283"/>
              <w:jc w:val="right"/>
              <w:rPr>
                <w:sz w:val="14"/>
              </w:rPr>
            </w:pPr>
            <w:r>
              <w:rPr>
                <w:sz w:val="14"/>
              </w:rPr>
              <w:t>Dollar Amounts in Thousands  </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8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sz w:val="11"/>
              </w:rPr>
            </w:pPr>
            <w:r>
              <w:rPr>
                <w:sz w:val="11"/>
              </w:rPr>
              <w:t>RCON  </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955"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        </w:t>
            </w:r>
            <w:r>
              <w:rPr/>
              <w:t>Amount        </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r>
      <w:tr>
        <w:trPr/>
        <w:tc>
          <w:tcPr>
            <w:tcW w:w="6923" w:type="dxa"/>
            <w:gridSpan w:val="3"/>
            <w:tcBorders/>
            <w:shd w:fill="auto" w:val="clear"/>
          </w:tcPr>
          <w:p>
            <w:pPr>
              <w:pStyle w:val="TableContents"/>
              <w:spacing w:before="0" w:after="0"/>
              <w:rPr>
                <w:rFonts w:ascii="ARIAL" w:hAnsi="ARIAL"/>
                <w:b/>
                <w:sz w:val="14"/>
              </w:rPr>
            </w:pPr>
            <w:r>
              <w:rPr>
                <w:rFonts w:ascii="ARIAL" w:hAnsi="ARIAL"/>
                <w:b/>
                <w:sz w:val="14"/>
              </w:rPr>
              <w:t>Liabilitiescontinued</w:t>
            </w:r>
          </w:p>
        </w:tc>
        <w:tc>
          <w:tcPr>
            <w:tcW w:w="240" w:type="dxa"/>
            <w:tcBorders>
              <w:left w:val="single" w:sz="2" w:space="0" w:color="000000"/>
            </w:tcBorders>
            <w:shd w:fill="969696" w:val="clear"/>
            <w:tcMar>
              <w:left w:w="28" w:type="dxa"/>
            </w:tcMar>
            <w:vAlign w:val="bottom"/>
          </w:tcPr>
          <w:p>
            <w:pPr>
              <w:pStyle w:val="TableContents"/>
              <w:spacing w:before="0" w:after="283"/>
              <w:rPr/>
            </w:pPr>
            <w:r>
              <w:rPr/>
              <w:t>  </w:t>
            </w:r>
          </w:p>
        </w:tc>
        <w:tc>
          <w:tcPr>
            <w:tcW w:w="382" w:type="dxa"/>
            <w:tcBorders/>
            <w:shd w:fill="969696" w:val="clear"/>
            <w:vAlign w:val="bottom"/>
          </w:tcPr>
          <w:p>
            <w:pPr>
              <w:pStyle w:val="TableContents"/>
              <w:spacing w:before="0" w:after="283"/>
              <w:rPr>
                <w:sz w:val="4"/>
                <w:szCs w:val="4"/>
              </w:rPr>
            </w:pPr>
            <w:r>
              <w:rPr>
                <w:sz w:val="4"/>
                <w:szCs w:val="4"/>
              </w:rPr>
            </w:r>
          </w:p>
        </w:tc>
        <w:tc>
          <w:tcPr>
            <w:tcW w:w="240" w:type="dxa"/>
            <w:tcBorders/>
            <w:shd w:fill="969696" w:val="clear"/>
            <w:vAlign w:val="bottom"/>
          </w:tcPr>
          <w:p>
            <w:pPr>
              <w:pStyle w:val="TableContents"/>
              <w:spacing w:before="0" w:after="283"/>
              <w:rPr/>
            </w:pPr>
            <w:r>
              <w:rPr/>
              <w:t>  </w:t>
            </w:r>
          </w:p>
        </w:tc>
        <w:tc>
          <w:tcPr>
            <w:tcW w:w="91" w:type="dxa"/>
            <w:tcBorders/>
            <w:shd w:fill="969696" w:val="clear"/>
            <w:vAlign w:val="bottom"/>
          </w:tcPr>
          <w:p>
            <w:pPr>
              <w:pStyle w:val="TableContents"/>
              <w:spacing w:before="0" w:after="283"/>
              <w:rPr>
                <w:sz w:val="4"/>
                <w:szCs w:val="4"/>
              </w:rPr>
            </w:pPr>
            <w:r>
              <w:rPr>
                <w:sz w:val="4"/>
                <w:szCs w:val="4"/>
              </w:rPr>
            </w:r>
          </w:p>
        </w:tc>
        <w:tc>
          <w:tcPr>
            <w:tcW w:w="1864" w:type="dxa"/>
            <w:tcBorders/>
            <w:shd w:fill="969696" w:val="clear"/>
            <w:vAlign w:val="bottom"/>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r>
      <w:tr>
        <w:trPr/>
        <w:tc>
          <w:tcPr>
            <w:tcW w:w="337" w:type="dxa"/>
            <w:tcBorders/>
            <w:shd w:fill="auto" w:val="clear"/>
          </w:tcPr>
          <w:p>
            <w:pPr>
              <w:pStyle w:val="TableContents"/>
              <w:spacing w:before="0" w:after="0"/>
              <w:rPr>
                <w:rFonts w:ascii="ARIAL" w:hAnsi="ARIAL"/>
                <w:sz w:val="14"/>
              </w:rPr>
            </w:pPr>
            <w:r>
              <w:rPr>
                <w:rFonts w:ascii="ARIAL" w:hAnsi="ARIAL"/>
                <w:sz w:val="14"/>
              </w:rPr>
              <w:t>20.</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Other liabilities (from Schedule RC-G)</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2930</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864"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b/>
              </w:rPr>
            </w:pPr>
            <w:r>
              <w:rPr>
                <w:b/>
              </w:rPr>
              <w:t>1,864,000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20.</w:t>
            </w:r>
          </w:p>
        </w:tc>
      </w:tr>
      <w:tr>
        <w:trPr/>
        <w:tc>
          <w:tcPr>
            <w:tcW w:w="337" w:type="dxa"/>
            <w:tcBorders/>
            <w:shd w:fill="auto" w:val="clear"/>
          </w:tcPr>
          <w:p>
            <w:pPr>
              <w:pStyle w:val="TableContents"/>
              <w:spacing w:before="0" w:after="0"/>
              <w:rPr>
                <w:rFonts w:ascii="ARIAL" w:hAnsi="ARIAL"/>
                <w:sz w:val="14"/>
              </w:rPr>
            </w:pPr>
            <w:r>
              <w:rPr>
                <w:rFonts w:ascii="ARIAL" w:hAnsi="ARIAL"/>
                <w:sz w:val="14"/>
              </w:rPr>
              <w:t>21.</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Total liabilities (sum of items 13 through 20)</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2948</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b/>
              </w:rPr>
            </w:pPr>
            <w:r>
              <w:rPr>
                <w:b/>
              </w:rPr>
              <w:t>31,887,000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21.</w:t>
            </w:r>
          </w:p>
        </w:tc>
      </w:tr>
      <w:tr>
        <w:trPr/>
        <w:tc>
          <w:tcPr>
            <w:tcW w:w="337" w:type="dxa"/>
            <w:tcBorders/>
            <w:shd w:fill="auto" w:val="clear"/>
          </w:tcPr>
          <w:p>
            <w:pPr>
              <w:pStyle w:val="TableContents"/>
              <w:spacing w:before="0" w:after="0"/>
              <w:rPr>
                <w:rFonts w:ascii="ARIAL" w:hAnsi="ARIAL"/>
                <w:sz w:val="14"/>
              </w:rPr>
            </w:pPr>
            <w:r>
              <w:rPr>
                <w:rFonts w:ascii="ARIAL" w:hAnsi="ARIAL"/>
                <w:sz w:val="14"/>
              </w:rPr>
              <w:t>22.</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Not applicable</w:t>
            </w:r>
          </w:p>
          <w:p>
            <w:pPr>
              <w:pStyle w:val="TableContents"/>
              <w:spacing w:before="0" w:after="20"/>
              <w:rPr/>
            </w:pPr>
            <w:r>
              <w:rPr/>
              <w:t> </w:t>
            </w:r>
          </w:p>
        </w:tc>
        <w:tc>
          <w:tcPr>
            <w:tcW w:w="240" w:type="dxa"/>
            <w:tcBorders>
              <w:left w:val="single" w:sz="2" w:space="0" w:color="000000"/>
            </w:tcBorders>
            <w:shd w:fill="969696" w:val="clear"/>
            <w:tcMar>
              <w:left w:w="28" w:type="dxa"/>
            </w:tcMar>
            <w:vAlign w:val="bottom"/>
          </w:tcPr>
          <w:p>
            <w:pPr>
              <w:pStyle w:val="TableContents"/>
              <w:spacing w:before="0" w:after="283"/>
              <w:rPr/>
            </w:pPr>
            <w:r>
              <w:rPr/>
              <w:t>  </w:t>
            </w:r>
          </w:p>
        </w:tc>
        <w:tc>
          <w:tcPr>
            <w:tcW w:w="382" w:type="dxa"/>
            <w:tcBorders/>
            <w:shd w:fill="969696" w:val="clear"/>
            <w:vAlign w:val="bottom"/>
          </w:tcPr>
          <w:p>
            <w:pPr>
              <w:pStyle w:val="TableContents"/>
              <w:spacing w:before="0" w:after="283"/>
              <w:rPr>
                <w:sz w:val="4"/>
                <w:szCs w:val="4"/>
              </w:rPr>
            </w:pPr>
            <w:r>
              <w:rPr>
                <w:sz w:val="4"/>
                <w:szCs w:val="4"/>
              </w:rPr>
            </w:r>
          </w:p>
        </w:tc>
        <w:tc>
          <w:tcPr>
            <w:tcW w:w="240" w:type="dxa"/>
            <w:tcBorders/>
            <w:shd w:fill="969696" w:val="clear"/>
            <w:vAlign w:val="bottom"/>
          </w:tcPr>
          <w:p>
            <w:pPr>
              <w:pStyle w:val="TableContents"/>
              <w:spacing w:before="0" w:after="283"/>
              <w:rPr/>
            </w:pPr>
            <w:r>
              <w:rPr/>
              <w:t>  </w:t>
            </w:r>
          </w:p>
        </w:tc>
        <w:tc>
          <w:tcPr>
            <w:tcW w:w="91" w:type="dxa"/>
            <w:tcBorders/>
            <w:shd w:fill="969696" w:val="clear"/>
            <w:vAlign w:val="bottom"/>
          </w:tcPr>
          <w:p>
            <w:pPr>
              <w:pStyle w:val="TableContents"/>
              <w:spacing w:before="0" w:after="283"/>
              <w:rPr>
                <w:sz w:val="4"/>
                <w:szCs w:val="4"/>
              </w:rPr>
            </w:pPr>
            <w:r>
              <w:rPr>
                <w:sz w:val="4"/>
                <w:szCs w:val="4"/>
              </w:rPr>
            </w:r>
          </w:p>
        </w:tc>
        <w:tc>
          <w:tcPr>
            <w:tcW w:w="1864" w:type="dxa"/>
            <w:tcBorders/>
            <w:shd w:fill="969696" w:val="clear"/>
            <w:vAlign w:val="bottom"/>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6923" w:type="dxa"/>
            <w:gridSpan w:val="3"/>
            <w:tcBorders/>
            <w:shd w:fill="auto" w:val="clear"/>
            <w:vAlign w:val="center"/>
          </w:tcPr>
          <w:p>
            <w:pPr>
              <w:pStyle w:val="TableContents"/>
              <w:spacing w:before="0" w:after="283"/>
              <w:rPr>
                <w:sz w:val="4"/>
                <w:szCs w:val="4"/>
              </w:rPr>
            </w:pPr>
            <w:r>
              <w:rPr>
                <w:sz w:val="4"/>
                <w:szCs w:val="4"/>
              </w:rPr>
            </w:r>
          </w:p>
        </w:tc>
        <w:tc>
          <w:tcPr>
            <w:tcW w:w="622" w:type="dxa"/>
            <w:gridSpan w:val="2"/>
            <w:tcBorders>
              <w:left w:val="single" w:sz="2" w:space="0" w:color="000000"/>
            </w:tcBorders>
            <w:shd w:fill="969696" w:val="clear"/>
            <w:tcMar>
              <w:left w:w="28" w:type="dxa"/>
            </w:tcMar>
            <w:vAlign w:val="center"/>
          </w:tcPr>
          <w:p>
            <w:pPr>
              <w:pStyle w:val="TableContents"/>
              <w:spacing w:before="0" w:after="283"/>
              <w:rPr/>
            </w:pPr>
            <w:r>
              <w:rPr/>
              <w:t> </w:t>
            </w:r>
          </w:p>
        </w:tc>
        <w:tc>
          <w:tcPr>
            <w:tcW w:w="2255" w:type="dxa"/>
            <w:gridSpan w:val="4"/>
            <w:tcBorders>
              <w:right w:val="single" w:sz="2" w:space="0" w:color="000000"/>
            </w:tcBorders>
            <w:shd w:fill="969696" w:val="clear"/>
            <w:tcMar>
              <w:right w:w="28" w:type="dxa"/>
            </w:tcMar>
            <w:vAlign w:val="center"/>
          </w:tcPr>
          <w:p>
            <w:pPr>
              <w:pStyle w:val="TableContents"/>
              <w:spacing w:before="0" w:after="283"/>
              <w:rPr/>
            </w:pPr>
            <w:r>
              <w:rPr/>
              <w:t> </w:t>
            </w:r>
          </w:p>
        </w:tc>
        <w:tc>
          <w:tcPr>
            <w:tcW w:w="405" w:type="dxa"/>
            <w:gridSpan w:val="2"/>
            <w:tcBorders/>
            <w:shd w:fill="auto" w:val="clear"/>
            <w:vAlign w:val="center"/>
          </w:tcPr>
          <w:p>
            <w:pPr>
              <w:pStyle w:val="TableContents"/>
              <w:spacing w:before="0" w:after="283"/>
              <w:rPr>
                <w:sz w:val="4"/>
                <w:szCs w:val="4"/>
              </w:rPr>
            </w:pPr>
            <w:r>
              <w:rPr>
                <w:sz w:val="4"/>
                <w:szCs w:val="4"/>
              </w:rPr>
            </w:r>
          </w:p>
        </w:tc>
      </w:tr>
      <w:tr>
        <w:trPr/>
        <w:tc>
          <w:tcPr>
            <w:tcW w:w="6923" w:type="dxa"/>
            <w:gridSpan w:val="3"/>
            <w:tcBorders/>
            <w:shd w:fill="auto" w:val="clear"/>
          </w:tcPr>
          <w:p>
            <w:pPr>
              <w:pStyle w:val="TableContents"/>
              <w:spacing w:before="0" w:after="0"/>
              <w:rPr>
                <w:rFonts w:ascii="ARIAL" w:hAnsi="ARIAL"/>
                <w:b/>
                <w:sz w:val="14"/>
              </w:rPr>
            </w:pPr>
            <w:r>
              <w:rPr>
                <w:rFonts w:ascii="ARIAL" w:hAnsi="ARIAL"/>
                <w:b/>
                <w:sz w:val="14"/>
              </w:rPr>
              <w:t>Equity Capital</w:t>
            </w:r>
          </w:p>
          <w:p>
            <w:pPr>
              <w:pStyle w:val="TableContents"/>
              <w:spacing w:before="0" w:after="20"/>
              <w:rPr/>
            </w:pPr>
            <w:r>
              <w:rPr/>
              <w:t> </w:t>
            </w:r>
          </w:p>
        </w:tc>
        <w:tc>
          <w:tcPr>
            <w:tcW w:w="240" w:type="dxa"/>
            <w:tcBorders>
              <w:left w:val="single" w:sz="2" w:space="0" w:color="000000"/>
            </w:tcBorders>
            <w:shd w:fill="969696" w:val="clear"/>
            <w:tcMar>
              <w:left w:w="28" w:type="dxa"/>
            </w:tcMar>
            <w:vAlign w:val="bottom"/>
          </w:tcPr>
          <w:p>
            <w:pPr>
              <w:pStyle w:val="TableContents"/>
              <w:spacing w:before="0" w:after="283"/>
              <w:rPr/>
            </w:pPr>
            <w:r>
              <w:rPr/>
              <w:t>  </w:t>
            </w:r>
          </w:p>
        </w:tc>
        <w:tc>
          <w:tcPr>
            <w:tcW w:w="382" w:type="dxa"/>
            <w:tcBorders/>
            <w:shd w:fill="969696" w:val="clear"/>
            <w:vAlign w:val="bottom"/>
          </w:tcPr>
          <w:p>
            <w:pPr>
              <w:pStyle w:val="TableContents"/>
              <w:spacing w:before="0" w:after="283"/>
              <w:rPr>
                <w:sz w:val="4"/>
                <w:szCs w:val="4"/>
              </w:rPr>
            </w:pPr>
            <w:r>
              <w:rPr>
                <w:sz w:val="4"/>
                <w:szCs w:val="4"/>
              </w:rPr>
            </w:r>
          </w:p>
        </w:tc>
        <w:tc>
          <w:tcPr>
            <w:tcW w:w="240" w:type="dxa"/>
            <w:tcBorders/>
            <w:shd w:fill="969696" w:val="clear"/>
            <w:vAlign w:val="bottom"/>
          </w:tcPr>
          <w:p>
            <w:pPr>
              <w:pStyle w:val="TableContents"/>
              <w:spacing w:before="0" w:after="283"/>
              <w:rPr/>
            </w:pPr>
            <w:r>
              <w:rPr/>
              <w:t>  </w:t>
            </w:r>
          </w:p>
        </w:tc>
        <w:tc>
          <w:tcPr>
            <w:tcW w:w="91" w:type="dxa"/>
            <w:tcBorders/>
            <w:shd w:fill="969696" w:val="clear"/>
            <w:vAlign w:val="bottom"/>
          </w:tcPr>
          <w:p>
            <w:pPr>
              <w:pStyle w:val="TableContents"/>
              <w:spacing w:before="0" w:after="283"/>
              <w:rPr>
                <w:sz w:val="4"/>
                <w:szCs w:val="4"/>
              </w:rPr>
            </w:pPr>
            <w:r>
              <w:rPr>
                <w:sz w:val="4"/>
                <w:szCs w:val="4"/>
              </w:rPr>
            </w:r>
          </w:p>
        </w:tc>
        <w:tc>
          <w:tcPr>
            <w:tcW w:w="1864" w:type="dxa"/>
            <w:tcBorders/>
            <w:shd w:fill="969696" w:val="clear"/>
            <w:vAlign w:val="bottom"/>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r>
      <w:tr>
        <w:trPr/>
        <w:tc>
          <w:tcPr>
            <w:tcW w:w="337" w:type="dxa"/>
            <w:tcBorders/>
            <w:shd w:fill="auto" w:val="clea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b/>
                <w:sz w:val="14"/>
              </w:rPr>
            </w:pPr>
            <w:r>
              <w:rPr>
                <w:rFonts w:ascii="ARIAL" w:hAnsi="ARIAL"/>
                <w:b/>
                <w:sz w:val="14"/>
              </w:rPr>
              <w:t>Bank Equity Capital</w:t>
            </w:r>
          </w:p>
          <w:p>
            <w:pPr>
              <w:pStyle w:val="TableContents"/>
              <w:spacing w:before="0" w:after="20"/>
              <w:rPr/>
            </w:pPr>
            <w:r>
              <w:rPr/>
              <w:t> </w:t>
            </w:r>
          </w:p>
        </w:tc>
        <w:tc>
          <w:tcPr>
            <w:tcW w:w="240" w:type="dxa"/>
            <w:tcBorders>
              <w:left w:val="single" w:sz="2" w:space="0" w:color="000000"/>
            </w:tcBorders>
            <w:shd w:fill="969696" w:val="clear"/>
            <w:tcMar>
              <w:left w:w="28" w:type="dxa"/>
            </w:tcMar>
            <w:vAlign w:val="bottom"/>
          </w:tcPr>
          <w:p>
            <w:pPr>
              <w:pStyle w:val="TableContents"/>
              <w:spacing w:before="0" w:after="283"/>
              <w:rPr/>
            </w:pPr>
            <w:r>
              <w:rPr/>
              <w:t>  </w:t>
            </w:r>
          </w:p>
        </w:tc>
        <w:tc>
          <w:tcPr>
            <w:tcW w:w="382" w:type="dxa"/>
            <w:tcBorders/>
            <w:shd w:fill="969696" w:val="clear"/>
            <w:vAlign w:val="bottom"/>
          </w:tcPr>
          <w:p>
            <w:pPr>
              <w:pStyle w:val="TableContents"/>
              <w:spacing w:before="0" w:after="283"/>
              <w:rPr>
                <w:sz w:val="4"/>
                <w:szCs w:val="4"/>
              </w:rPr>
            </w:pPr>
            <w:r>
              <w:rPr>
                <w:sz w:val="4"/>
                <w:szCs w:val="4"/>
              </w:rPr>
            </w:r>
          </w:p>
        </w:tc>
        <w:tc>
          <w:tcPr>
            <w:tcW w:w="240" w:type="dxa"/>
            <w:tcBorders/>
            <w:shd w:fill="969696" w:val="clear"/>
            <w:vAlign w:val="bottom"/>
          </w:tcPr>
          <w:p>
            <w:pPr>
              <w:pStyle w:val="TableContents"/>
              <w:spacing w:before="0" w:after="283"/>
              <w:rPr/>
            </w:pPr>
            <w:r>
              <w:rPr/>
              <w:t>  </w:t>
            </w:r>
          </w:p>
        </w:tc>
        <w:tc>
          <w:tcPr>
            <w:tcW w:w="91" w:type="dxa"/>
            <w:tcBorders/>
            <w:shd w:fill="969696" w:val="clear"/>
            <w:vAlign w:val="bottom"/>
          </w:tcPr>
          <w:p>
            <w:pPr>
              <w:pStyle w:val="TableContents"/>
              <w:spacing w:before="0" w:after="283"/>
              <w:rPr>
                <w:sz w:val="4"/>
                <w:szCs w:val="4"/>
              </w:rPr>
            </w:pPr>
            <w:r>
              <w:rPr>
                <w:sz w:val="4"/>
                <w:szCs w:val="4"/>
              </w:rPr>
            </w:r>
          </w:p>
        </w:tc>
        <w:tc>
          <w:tcPr>
            <w:tcW w:w="1864" w:type="dxa"/>
            <w:tcBorders/>
            <w:shd w:fill="969696" w:val="clear"/>
            <w:vAlign w:val="bottom"/>
          </w:tcPr>
          <w:p>
            <w:pPr>
              <w:pStyle w:val="TableContents"/>
              <w:spacing w:before="0" w:after="283"/>
              <w:rPr>
                <w:sz w:val="4"/>
                <w:szCs w:val="4"/>
              </w:rPr>
            </w:pPr>
            <w:r>
              <w:rPr>
                <w:sz w:val="4"/>
                <w:szCs w:val="4"/>
              </w:rPr>
            </w:r>
          </w:p>
        </w:tc>
        <w:tc>
          <w:tcPr>
            <w:tcW w:w="60" w:type="dxa"/>
            <w:tcBorders>
              <w:right w:val="single" w:sz="2" w:space="0" w:color="000000"/>
            </w:tcBorders>
            <w:shd w:fill="969696" w:val="clear"/>
            <w:tcMar>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r>
      <w:tr>
        <w:trPr/>
        <w:tc>
          <w:tcPr>
            <w:tcW w:w="337" w:type="dxa"/>
            <w:tcBorders/>
            <w:shd w:fill="auto" w:val="clear"/>
          </w:tcPr>
          <w:p>
            <w:pPr>
              <w:pStyle w:val="TableContents"/>
              <w:spacing w:before="0" w:after="0"/>
              <w:rPr>
                <w:rFonts w:ascii="ARIAL" w:hAnsi="ARIAL"/>
                <w:sz w:val="14"/>
              </w:rPr>
            </w:pPr>
            <w:r>
              <w:rPr>
                <w:rFonts w:ascii="ARIAL" w:hAnsi="ARIAL"/>
                <w:sz w:val="14"/>
              </w:rPr>
              <w:t>23.</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Perpetual preferred stock and related surplus</w:t>
            </w:r>
          </w:p>
          <w:p>
            <w:pPr>
              <w:pStyle w:val="TableContents"/>
              <w:spacing w:before="0" w:after="20"/>
              <w:rPr/>
            </w:pPr>
            <w:r>
              <w:rPr/>
              <w:t> </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8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sz w:val="11"/>
              </w:rPr>
            </w:pPr>
            <w:r>
              <w:rPr>
                <w:sz w:val="11"/>
              </w:rPr>
              <w:t>3838</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864"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0</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23.</w:t>
            </w:r>
          </w:p>
        </w:tc>
      </w:tr>
      <w:tr>
        <w:trPr/>
        <w:tc>
          <w:tcPr>
            <w:tcW w:w="337" w:type="dxa"/>
            <w:tcBorders/>
            <w:shd w:fill="auto" w:val="clear"/>
          </w:tcPr>
          <w:p>
            <w:pPr>
              <w:pStyle w:val="TableContents"/>
              <w:spacing w:before="0" w:after="0"/>
              <w:rPr>
                <w:rFonts w:ascii="ARIAL" w:hAnsi="ARIAL"/>
                <w:sz w:val="14"/>
              </w:rPr>
            </w:pPr>
            <w:r>
              <w:rPr>
                <w:rFonts w:ascii="ARIAL" w:hAnsi="ARIAL"/>
                <w:sz w:val="14"/>
              </w:rPr>
              <w:t>24.</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Common stock</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3230</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pPr>
            <w:r>
              <w:rPr/>
              <w:t>2,127,000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24.</w:t>
            </w:r>
          </w:p>
        </w:tc>
      </w:tr>
      <w:tr>
        <w:trPr/>
        <w:tc>
          <w:tcPr>
            <w:tcW w:w="337" w:type="dxa"/>
            <w:tcBorders/>
            <w:shd w:fill="auto" w:val="clear"/>
          </w:tcPr>
          <w:p>
            <w:pPr>
              <w:pStyle w:val="TableContents"/>
              <w:spacing w:before="0" w:after="0"/>
              <w:rPr>
                <w:rFonts w:ascii="ARIAL" w:hAnsi="ARIAL"/>
                <w:sz w:val="14"/>
              </w:rPr>
            </w:pPr>
            <w:r>
              <w:rPr>
                <w:rFonts w:ascii="ARIAL" w:hAnsi="ARIAL"/>
                <w:sz w:val="14"/>
              </w:rPr>
              <w:t>25.</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Surplus (exclude all surplus related to preferred stock)</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3839</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pPr>
            <w:r>
              <w:rPr/>
              <w:t>750,000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25.</w:t>
            </w:r>
          </w:p>
        </w:tc>
      </w:tr>
      <w:tr>
        <w:trPr/>
        <w:tc>
          <w:tcPr>
            <w:tcW w:w="337" w:type="dxa"/>
            <w:tcBorders/>
            <w:shd w:fill="auto" w:val="clear"/>
          </w:tcPr>
          <w:p>
            <w:pPr>
              <w:pStyle w:val="TableContents"/>
              <w:spacing w:before="0" w:after="0"/>
              <w:rPr>
                <w:rFonts w:ascii="ARIAL" w:hAnsi="ARIAL"/>
                <w:sz w:val="14"/>
              </w:rPr>
            </w:pPr>
            <w:r>
              <w:rPr>
                <w:rFonts w:ascii="ARIAL" w:hAnsi="ARIAL"/>
                <w:sz w:val="14"/>
              </w:rPr>
              <w:t>26.</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a. Retained earnings</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3632</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pPr>
            <w:r>
              <w:rPr/>
              <w:t>6,167,000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26.a.</w:t>
            </w:r>
          </w:p>
        </w:tc>
      </w:tr>
      <w:tr>
        <w:trPr/>
        <w:tc>
          <w:tcPr>
            <w:tcW w:w="337" w:type="dxa"/>
            <w:tcBorders/>
            <w:shd w:fill="auto" w:val="clea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b. Accumulated other comprehensive income     (1)</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B530</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pPr>
            <w:r>
              <w:rPr/>
              <w:t>(1,000)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26.b.</w:t>
            </w:r>
          </w:p>
        </w:tc>
      </w:tr>
      <w:tr>
        <w:trPr/>
        <w:tc>
          <w:tcPr>
            <w:tcW w:w="337" w:type="dxa"/>
            <w:tcBorders/>
            <w:shd w:fill="auto" w:val="clea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c. Other equity capital components     (2)</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A130</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pPr>
            <w:r>
              <w:rPr/>
              <w:t>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26.c.</w:t>
            </w:r>
          </w:p>
        </w:tc>
      </w:tr>
      <w:tr>
        <w:trPr/>
        <w:tc>
          <w:tcPr>
            <w:tcW w:w="337" w:type="dxa"/>
            <w:tcBorders/>
            <w:shd w:fill="auto" w:val="clear"/>
          </w:tcPr>
          <w:p>
            <w:pPr>
              <w:pStyle w:val="TableContents"/>
              <w:spacing w:before="0" w:after="0"/>
              <w:rPr>
                <w:rFonts w:ascii="ARIAL" w:hAnsi="ARIAL"/>
                <w:sz w:val="14"/>
              </w:rPr>
            </w:pPr>
            <w:r>
              <w:rPr>
                <w:rFonts w:ascii="ARIAL" w:hAnsi="ARIAL"/>
                <w:sz w:val="14"/>
              </w:rPr>
              <w:t>27.</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a. Total bank equity capital (sum of items 23 through 26.c)</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3210</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b/>
              </w:rPr>
            </w:pPr>
            <w:r>
              <w:rPr>
                <w:b/>
              </w:rPr>
              <w:t>9,043,000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27.a.</w:t>
            </w:r>
          </w:p>
        </w:tc>
      </w:tr>
      <w:tr>
        <w:trPr/>
        <w:tc>
          <w:tcPr>
            <w:tcW w:w="337" w:type="dxa"/>
            <w:tcBorders/>
            <w:shd w:fill="auto" w:val="clea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b. Noncontrolling (minority) interests in consolidated subsidiaries</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3000</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pPr>
            <w:r>
              <w:rPr/>
              <w:t>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27.b.</w:t>
            </w:r>
          </w:p>
        </w:tc>
      </w:tr>
      <w:tr>
        <w:trPr/>
        <w:tc>
          <w:tcPr>
            <w:tcW w:w="337" w:type="dxa"/>
            <w:tcBorders/>
            <w:shd w:fill="auto" w:val="clear"/>
          </w:tcPr>
          <w:p>
            <w:pPr>
              <w:pStyle w:val="TableContents"/>
              <w:spacing w:before="0" w:after="0"/>
              <w:rPr>
                <w:rFonts w:ascii="ARIAL" w:hAnsi="ARIAL"/>
                <w:sz w:val="14"/>
              </w:rPr>
            </w:pPr>
            <w:r>
              <w:rPr>
                <w:rFonts w:ascii="ARIAL" w:hAnsi="ARIAL"/>
                <w:sz w:val="14"/>
              </w:rPr>
              <w:t>28.</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Total equity capital (sum of items 27.a and 27.b)</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G105</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b/>
              </w:rPr>
            </w:pPr>
            <w:r>
              <w:rPr>
                <w:b/>
              </w:rPr>
              <w:t>9,043,000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28.</w:t>
            </w:r>
          </w:p>
        </w:tc>
      </w:tr>
      <w:tr>
        <w:trPr/>
        <w:tc>
          <w:tcPr>
            <w:tcW w:w="337" w:type="dxa"/>
            <w:tcBorders/>
            <w:shd w:fill="auto" w:val="clear"/>
          </w:tcPr>
          <w:p>
            <w:pPr>
              <w:pStyle w:val="TableContents"/>
              <w:spacing w:before="0" w:after="0"/>
              <w:rPr>
                <w:rFonts w:ascii="ARIAL" w:hAnsi="ARIAL"/>
                <w:sz w:val="14"/>
              </w:rPr>
            </w:pPr>
            <w:r>
              <w:rPr>
                <w:rFonts w:ascii="ARIAL" w:hAnsi="ARIAL"/>
                <w:sz w:val="14"/>
              </w:rPr>
              <w:t>29.</w:t>
            </w:r>
          </w:p>
        </w:tc>
        <w:tc>
          <w:tcPr>
            <w:tcW w:w="191" w:type="dxa"/>
            <w:tcBorders/>
            <w:shd w:fill="auto" w:val="clear"/>
            <w:vAlign w:val="bottom"/>
          </w:tcPr>
          <w:p>
            <w:pPr>
              <w:pStyle w:val="TableContents"/>
              <w:spacing w:before="0" w:after="283"/>
              <w:rPr/>
            </w:pPr>
            <w:r>
              <w:rPr/>
              <w:t> </w:t>
            </w:r>
          </w:p>
        </w:tc>
        <w:tc>
          <w:tcPr>
            <w:tcW w:w="6395" w:type="dxa"/>
            <w:tcBorders/>
            <w:shd w:fill="auto" w:val="clear"/>
            <w:vAlign w:val="bottom"/>
          </w:tcPr>
          <w:p>
            <w:pPr>
              <w:pStyle w:val="TableContents"/>
              <w:spacing w:before="0" w:after="0"/>
              <w:rPr>
                <w:rFonts w:ascii="ARIAL" w:hAnsi="ARIAL"/>
                <w:sz w:val="14"/>
              </w:rPr>
            </w:pPr>
            <w:r>
              <w:rPr>
                <w:rFonts w:ascii="ARIAL" w:hAnsi="ARIAL"/>
                <w:sz w:val="14"/>
              </w:rPr>
              <w:t>Total liabilities and equity capital (sum of items 21 and 28)</w:t>
            </w:r>
          </w:p>
          <w:p>
            <w:pPr>
              <w:pStyle w:val="TableContents"/>
              <w:spacing w:before="0" w:after="20"/>
              <w:rPr/>
            </w:pPr>
            <w:r>
              <w:rPr/>
              <w:t> </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82" w:type="dxa"/>
            <w:tcBorders>
              <w:bottom w:val="single" w:sz="2" w:space="0" w:color="000000"/>
            </w:tcBorders>
            <w:shd w:fill="auto" w:val="clear"/>
            <w:tcMar>
              <w:bottom w:w="28" w:type="dxa"/>
            </w:tcMar>
            <w:vAlign w:val="bottom"/>
          </w:tcPr>
          <w:p>
            <w:pPr>
              <w:pStyle w:val="TableContents"/>
              <w:spacing w:before="0" w:after="283"/>
              <w:jc w:val="center"/>
              <w:rPr>
                <w:sz w:val="11"/>
              </w:rPr>
            </w:pPr>
            <w:r>
              <w:rPr>
                <w:sz w:val="11"/>
              </w:rPr>
              <w:t>3300</w:t>
            </w:r>
          </w:p>
        </w:tc>
        <w:tc>
          <w:tcPr>
            <w:tcW w:w="24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1864" w:type="dxa"/>
            <w:tcBorders>
              <w:bottom w:val="single" w:sz="2" w:space="0" w:color="000000"/>
            </w:tcBorders>
            <w:shd w:fill="auto" w:val="clear"/>
            <w:tcMar>
              <w:bottom w:w="28" w:type="dxa"/>
            </w:tcMar>
            <w:vAlign w:val="bottom"/>
          </w:tcPr>
          <w:p>
            <w:pPr>
              <w:pStyle w:val="TableContents"/>
              <w:spacing w:before="0" w:after="283"/>
              <w:jc w:val="right"/>
              <w:rPr>
                <w:b/>
              </w:rPr>
            </w:pPr>
            <w:r>
              <w:rPr>
                <w:b/>
              </w:rPr>
              <w:t>40,930,000</w:t>
            </w:r>
          </w:p>
        </w:tc>
        <w:tc>
          <w:tcPr>
            <w:tcW w:w="6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29.</w:t>
            </w:r>
          </w:p>
        </w:tc>
      </w:tr>
      <w:tr>
        <w:trPr>
          <w:trHeight w:val="570" w:hRule="atLeast"/>
        </w:trPr>
        <w:tc>
          <w:tcPr>
            <w:tcW w:w="6923" w:type="dxa"/>
            <w:gridSpan w:val="3"/>
            <w:tcBorders/>
            <w:shd w:fill="auto" w:val="clear"/>
            <w:vAlign w:val="center"/>
          </w:tcPr>
          <w:p>
            <w:pPr>
              <w:pStyle w:val="TableContents"/>
              <w:spacing w:before="0" w:after="283"/>
              <w:rPr>
                <w:sz w:val="4"/>
                <w:szCs w:val="4"/>
              </w:rPr>
            </w:pPr>
            <w:r>
              <w:rPr>
                <w:sz w:val="4"/>
                <w:szCs w:val="4"/>
              </w:rPr>
            </w:r>
          </w:p>
        </w:tc>
        <w:tc>
          <w:tcPr>
            <w:tcW w:w="622" w:type="dxa"/>
            <w:gridSpan w:val="2"/>
            <w:tcBorders/>
            <w:shd w:fill="auto" w:val="clear"/>
            <w:vAlign w:val="center"/>
          </w:tcPr>
          <w:p>
            <w:pPr>
              <w:pStyle w:val="TableContents"/>
              <w:spacing w:before="0" w:after="283"/>
              <w:rPr>
                <w:sz w:val="4"/>
                <w:szCs w:val="4"/>
              </w:rPr>
            </w:pPr>
            <w:r>
              <w:rPr>
                <w:sz w:val="4"/>
                <w:szCs w:val="4"/>
              </w:rPr>
            </w:r>
          </w:p>
        </w:tc>
        <w:tc>
          <w:tcPr>
            <w:tcW w:w="2255" w:type="dxa"/>
            <w:gridSpan w:val="4"/>
            <w:tcBorders/>
            <w:shd w:fill="auto" w:val="clear"/>
            <w:vAlign w:val="center"/>
          </w:tcPr>
          <w:p>
            <w:pPr>
              <w:pStyle w:val="TableContents"/>
              <w:spacing w:before="0" w:after="283"/>
              <w:rPr>
                <w:sz w:val="4"/>
                <w:szCs w:val="4"/>
              </w:rPr>
            </w:pPr>
            <w:r>
              <w:rPr>
                <w:sz w:val="4"/>
                <w:szCs w:val="4"/>
              </w:rPr>
            </w:r>
          </w:p>
        </w:tc>
        <w:tc>
          <w:tcPr>
            <w:tcW w:w="405" w:type="dxa"/>
            <w:gridSpan w:val="2"/>
            <w:tcBorders/>
            <w:shd w:fill="auto" w:val="clear"/>
            <w:vAlign w:val="center"/>
          </w:tcPr>
          <w:p>
            <w:pPr>
              <w:pStyle w:val="TableContents"/>
              <w:spacing w:before="0" w:after="283"/>
              <w:rPr>
                <w:sz w:val="4"/>
                <w:szCs w:val="4"/>
              </w:rPr>
            </w:pPr>
            <w:r>
              <w:rPr>
                <w:sz w:val="4"/>
                <w:szCs w:val="4"/>
              </w:rPr>
            </w:r>
          </w:p>
        </w:tc>
      </w:tr>
      <w:tr>
        <w:trPr/>
        <w:tc>
          <w:tcPr>
            <w:tcW w:w="6923" w:type="dxa"/>
            <w:gridSpan w:val="3"/>
            <w:tcBorders/>
            <w:shd w:fill="auto" w:val="clear"/>
          </w:tcPr>
          <w:p>
            <w:pPr>
              <w:pStyle w:val="TableContents"/>
              <w:spacing w:before="0" w:after="0"/>
              <w:rPr>
                <w:rFonts w:ascii="ARIAL" w:hAnsi="ARIAL"/>
                <w:b/>
                <w:sz w:val="14"/>
              </w:rPr>
            </w:pPr>
            <w:r>
              <w:rPr>
                <w:rFonts w:ascii="ARIAL" w:hAnsi="ARIAL"/>
                <w:b/>
                <w:sz w:val="14"/>
              </w:rPr>
              <w:t>Memoranda</w:t>
            </w:r>
          </w:p>
        </w:tc>
        <w:tc>
          <w:tcPr>
            <w:tcW w:w="24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8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r>
      <w:tr>
        <w:trPr/>
        <w:tc>
          <w:tcPr>
            <w:tcW w:w="6923" w:type="dxa"/>
            <w:gridSpan w:val="3"/>
            <w:tcBorders/>
            <w:shd w:fill="auto" w:val="clear"/>
          </w:tcPr>
          <w:p>
            <w:pPr>
              <w:pStyle w:val="TableContents"/>
              <w:spacing w:before="0" w:after="0"/>
              <w:rPr>
                <w:rFonts w:ascii="ARIAL" w:hAnsi="ARIAL"/>
                <w:b/>
                <w:sz w:val="14"/>
              </w:rPr>
            </w:pPr>
            <w:r>
              <w:rPr>
                <w:rFonts w:ascii="ARIAL" w:hAnsi="ARIAL"/>
                <w:b/>
                <w:sz w:val="14"/>
              </w:rPr>
              <w:t>To be reported with the March Report of Condition.</w:t>
            </w:r>
          </w:p>
        </w:tc>
        <w:tc>
          <w:tcPr>
            <w:tcW w:w="24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8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r>
      <w:tr>
        <w:trPr/>
        <w:tc>
          <w:tcPr>
            <w:tcW w:w="6923" w:type="dxa"/>
            <w:gridSpan w:val="3"/>
            <w:tcBorders/>
            <w:shd w:fill="auto" w:val="clear"/>
          </w:tcPr>
          <w:p>
            <w:pPr>
              <w:pStyle w:val="TableContents"/>
              <w:spacing w:before="0" w:after="0"/>
              <w:rPr/>
            </w:pPr>
            <w:r>
              <w:rPr/>
              <w:t>  </w:t>
            </w:r>
            <w:r>
              <w:rPr>
                <w:rFonts w:ascii="ARIAL" w:hAnsi="ARIAL"/>
                <w:sz w:val="14"/>
              </w:rPr>
              <w:t>1. Indicate in the box at the right the number of the statement below that best describes the most</w:t>
            </w:r>
          </w:p>
        </w:tc>
        <w:tc>
          <w:tcPr>
            <w:tcW w:w="24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8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r>
      <w:tr>
        <w:trPr/>
        <w:tc>
          <w:tcPr>
            <w:tcW w:w="6923" w:type="dxa"/>
            <w:gridSpan w:val="3"/>
            <w:tcBorders/>
            <w:shd w:fill="auto" w:val="clear"/>
          </w:tcPr>
          <w:p>
            <w:pPr>
              <w:pStyle w:val="TableContents"/>
              <w:spacing w:before="0" w:after="283"/>
              <w:rPr/>
            </w:pPr>
            <w:r>
              <w:rPr/>
              <w:t>      </w:t>
            </w:r>
            <w:r>
              <w:rPr>
                <w:sz w:val="14"/>
              </w:rPr>
              <w:t>comprehensive level of auditing work performed for the bank by independent external auditors as of</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82"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sz w:val="11"/>
              </w:rPr>
            </w:pPr>
            <w:r>
              <w:rPr>
                <w:sz w:val="11"/>
              </w:rPr>
              <w:t>RCON</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955"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Number</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r>
      <w:tr>
        <w:trPr/>
        <w:tc>
          <w:tcPr>
            <w:tcW w:w="6923" w:type="dxa"/>
            <w:gridSpan w:val="3"/>
            <w:tcBorders/>
            <w:shd w:fill="auto" w:val="clear"/>
          </w:tcPr>
          <w:p>
            <w:pPr>
              <w:pStyle w:val="TableContents"/>
              <w:spacing w:before="0" w:after="0"/>
              <w:rPr/>
            </w:pPr>
            <w:r>
              <w:rPr/>
              <w:t>      </w:t>
            </w:r>
            <w:r>
              <w:rPr>
                <w:rFonts w:ascii="ARIAL" w:hAnsi="ARIAL"/>
                <w:sz w:val="14"/>
              </w:rPr>
              <w:t xml:space="preserve">any date during </w:t>
            </w:r>
            <w:r>
              <w:rPr>
                <w:rFonts w:ascii="ARIAL" w:hAnsi="ARIAL"/>
                <w:i/>
                <w:sz w:val="14"/>
              </w:rPr>
              <w:t>2017</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82"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sz w:val="11"/>
              </w:rPr>
            </w:pPr>
            <w:r>
              <w:rPr>
                <w:sz w:val="11"/>
              </w:rPr>
              <w:t>6724</w:t>
            </w:r>
          </w:p>
        </w:tc>
        <w:tc>
          <w:tcPr>
            <w:tcW w:w="24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864"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NA</w:t>
            </w:r>
          </w:p>
        </w:tc>
        <w:tc>
          <w:tcPr>
            <w:tcW w:w="6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14"/>
              </w:rPr>
            </w:pPr>
            <w:r>
              <w:rPr>
                <w:sz w:val="14"/>
              </w:rPr>
              <w:t>M.1.</w:t>
            </w:r>
          </w:p>
        </w:tc>
      </w:tr>
    </w:tbl>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2291715"/>
                <wp:effectExtent l="0" t="0" r="0" b="0"/>
                <wp:wrapSquare wrapText="largest"/>
                <wp:docPr id="7" name="Frame1"/>
                <a:graphic xmlns:a="http://schemas.openxmlformats.org/drawingml/2006/main">
                  <a:graphicData uri="http://schemas.microsoft.com/office/word/2010/wordprocessingShape">
                    <wps:wsp>
                      <wps:cNvSpPr txBox="1"/>
                      <wps:spPr>
                        <a:xfrm>
                          <a:off x="0" y="0"/>
                          <a:ext cx="3110230" cy="2291715"/>
                        </a:xfrm>
                        <a:prstGeom prst="rect"/>
                      </wps:spPr>
                      <wps:txbx>
                        <w:txbxContent>
                          <w:tbl>
                            <w:tblPr>
                              <w:tblW w:w="5000" w:type="pct"/>
                              <w:jc w:val="left"/>
                              <w:tblInd w:w="0" w:type="dxa"/>
                              <w:tblCellMar>
                                <w:top w:w="0" w:type="dxa"/>
                                <w:left w:w="0" w:type="dxa"/>
                                <w:bottom w:w="0" w:type="dxa"/>
                                <w:right w:w="0" w:type="dxa"/>
                              </w:tblCellMar>
                            </w:tblPr>
                            <w:tblGrid>
                              <w:gridCol w:w="28"/>
                              <w:gridCol w:w="211"/>
                              <w:gridCol w:w="4659"/>
                            </w:tblGrid>
                            <w:tr>
                              <w:trPr/>
                              <w:tc>
                                <w:tcPr>
                                  <w:tcW w:w="28"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1a =</w:t>
                                  </w:r>
                                </w:p>
                              </w:tc>
                              <w:tc>
                                <w:tcPr>
                                  <w:tcW w:w="4659" w:type="dxa"/>
                                  <w:tcBorders/>
                                  <w:shd w:fill="auto" w:val="clear"/>
                                </w:tcPr>
                                <w:p>
                                  <w:pPr>
                                    <w:pStyle w:val="TableContents"/>
                                    <w:spacing w:before="0" w:after="0"/>
                                    <w:jc w:val="left"/>
                                    <w:rPr>
                                      <w:rFonts w:ascii="ARIAL" w:hAnsi="ARIAL"/>
                                      <w:sz w:val="13"/>
                                    </w:rPr>
                                  </w:pPr>
                                  <w:r>
                                    <w:rPr>
                                      <w:rFonts w:ascii="ARIAL" w:hAnsi="ARIAL"/>
                                      <w:sz w:val="13"/>
                                    </w:rPr>
                                    <w:t xml:space="preserve">An integrated audit of the reporting institutions financial statements and its internal control over financial reporting conducted in accordance with the standards of the American Institute of Certified Public Accountants (AICPA) or Public Company Accounting Oversight Board (PCAOB) by an independent public accountant that submits a report on the institution </w:t>
                                  </w:r>
                                </w:p>
                              </w:tc>
                            </w:tr>
                          </w:tbl>
                          <w:tbl>
                            <w:tblPr>
                              <w:tblW w:w="5000" w:type="pct"/>
                              <w:jc w:val="left"/>
                              <w:tblInd w:w="0" w:type="dxa"/>
                              <w:tblCellMar>
                                <w:top w:w="0" w:type="dxa"/>
                                <w:left w:w="0" w:type="dxa"/>
                                <w:bottom w:w="0" w:type="dxa"/>
                                <w:right w:w="0" w:type="dxa"/>
                              </w:tblCellMar>
                            </w:tblPr>
                            <w:tblGrid>
                              <w:gridCol w:w="28"/>
                              <w:gridCol w:w="219"/>
                              <w:gridCol w:w="4651"/>
                            </w:tblGrid>
                            <w:tr>
                              <w:trPr/>
                              <w:tc>
                                <w:tcPr>
                                  <w:tcW w:w="28" w:type="dxa"/>
                                  <w:tcBorders/>
                                  <w:shd w:fill="auto" w:val="clear"/>
                                  <w:vAlign w:val="center"/>
                                </w:tcPr>
                                <w:p>
                                  <w:pPr>
                                    <w:pStyle w:val="TableContents"/>
                                    <w:spacing w:before="0" w:after="283"/>
                                    <w:rPr/>
                                  </w:pPr>
                                  <w:r>
                                    <w:rPr/>
                                    <w:t> </w:t>
                                  </w:r>
                                </w:p>
                              </w:tc>
                              <w:tc>
                                <w:tcPr>
                                  <w:tcW w:w="219" w:type="dxa"/>
                                  <w:tcBorders/>
                                  <w:shd w:fill="auto" w:val="clear"/>
                                </w:tcPr>
                                <w:p>
                                  <w:pPr>
                                    <w:pStyle w:val="TableContents"/>
                                    <w:spacing w:before="0" w:after="283"/>
                                    <w:jc w:val="left"/>
                                    <w:rPr/>
                                  </w:pPr>
                                  <w:r>
                                    <w:rPr/>
                                    <w:t>1b =</w:t>
                                  </w:r>
                                </w:p>
                              </w:tc>
                              <w:tc>
                                <w:tcPr>
                                  <w:tcW w:w="4651" w:type="dxa"/>
                                  <w:tcBorders/>
                                  <w:shd w:fill="auto" w:val="clear"/>
                                </w:tcPr>
                                <w:p>
                                  <w:pPr>
                                    <w:pStyle w:val="TableContents"/>
                                    <w:spacing w:before="0" w:after="0"/>
                                    <w:jc w:val="left"/>
                                    <w:rPr>
                                      <w:rFonts w:ascii="ARIAL" w:hAnsi="ARIAL"/>
                                      <w:sz w:val="13"/>
                                    </w:rPr>
                                  </w:pPr>
                                  <w:r>
                                    <w:rPr>
                                      <w:rFonts w:ascii="ARIAL" w:hAnsi="ARIAL"/>
                                      <w:sz w:val="13"/>
                                    </w:rPr>
                                    <w:t xml:space="preserve">An audit of the reporting institutions financial statements only conducted in accordance with the auditing standards of the AICPA or the PCAOB by an independent public accountant that submits a report on the institution </w:t>
                                  </w:r>
                                </w:p>
                              </w:tc>
                            </w:tr>
                          </w:tbl>
                          <w:tbl>
                            <w:tblPr>
                              <w:tblW w:w="5000" w:type="pct"/>
                              <w:jc w:val="left"/>
                              <w:tblInd w:w="0" w:type="dxa"/>
                              <w:tblCellMar>
                                <w:top w:w="0" w:type="dxa"/>
                                <w:left w:w="0" w:type="dxa"/>
                                <w:bottom w:w="0" w:type="dxa"/>
                                <w:right w:w="0" w:type="dxa"/>
                              </w:tblCellMar>
                            </w:tblPr>
                            <w:tblGrid>
                              <w:gridCol w:w="28"/>
                              <w:gridCol w:w="211"/>
                              <w:gridCol w:w="4659"/>
                            </w:tblGrid>
                            <w:tr>
                              <w:trPr/>
                              <w:tc>
                                <w:tcPr>
                                  <w:tcW w:w="28"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2a =</w:t>
                                  </w:r>
                                </w:p>
                              </w:tc>
                              <w:tc>
                                <w:tcPr>
                                  <w:tcW w:w="4659" w:type="dxa"/>
                                  <w:tcBorders/>
                                  <w:shd w:fill="auto" w:val="clear"/>
                                </w:tcPr>
                                <w:p>
                                  <w:pPr>
                                    <w:pStyle w:val="TableContents"/>
                                    <w:spacing w:before="0" w:after="0"/>
                                    <w:jc w:val="left"/>
                                    <w:rPr>
                                      <w:rFonts w:ascii="ARIAL" w:hAnsi="ARIAL"/>
                                      <w:sz w:val="13"/>
                                    </w:rPr>
                                  </w:pPr>
                                  <w:r>
                                    <w:rPr>
                                      <w:rFonts w:ascii="ARIAL" w:hAnsi="ARIAL"/>
                                      <w:sz w:val="13"/>
                                    </w:rPr>
                                    <w:t xml:space="preserve">An integrated audit of the reporting institutions parent holding companys consolidated financial statements and its internal control over financial reporting conducted in accordance with the standards of the AICPA or the PCAOB by an independent public accountant that submits a report on the consolidated holding company (but not on the institution separately)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0.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28"/>
                        <w:gridCol w:w="211"/>
                        <w:gridCol w:w="4659"/>
                      </w:tblGrid>
                      <w:tr>
                        <w:trPr/>
                        <w:tc>
                          <w:tcPr>
                            <w:tcW w:w="28"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1a =</w:t>
                            </w:r>
                          </w:p>
                        </w:tc>
                        <w:tc>
                          <w:tcPr>
                            <w:tcW w:w="4659" w:type="dxa"/>
                            <w:tcBorders/>
                            <w:shd w:fill="auto" w:val="clear"/>
                          </w:tcPr>
                          <w:p>
                            <w:pPr>
                              <w:pStyle w:val="TableContents"/>
                              <w:spacing w:before="0" w:after="0"/>
                              <w:jc w:val="left"/>
                              <w:rPr>
                                <w:rFonts w:ascii="ARIAL" w:hAnsi="ARIAL"/>
                                <w:sz w:val="13"/>
                              </w:rPr>
                            </w:pPr>
                            <w:r>
                              <w:rPr>
                                <w:rFonts w:ascii="ARIAL" w:hAnsi="ARIAL"/>
                                <w:sz w:val="13"/>
                              </w:rPr>
                              <w:t xml:space="preserve">An integrated audit of the reporting institutions financial statements and its internal control over financial reporting conducted in accordance with the standards of the American Institute of Certified Public Accountants (AICPA) or Public Company Accounting Oversight Board (PCAOB) by an independent public accountant that submits a report on the institution </w:t>
                            </w:r>
                          </w:p>
                        </w:tc>
                      </w:tr>
                    </w:tbl>
                    <w:tbl>
                      <w:tblPr>
                        <w:tblW w:w="5000" w:type="pct"/>
                        <w:jc w:val="left"/>
                        <w:tblInd w:w="0" w:type="dxa"/>
                        <w:tblCellMar>
                          <w:top w:w="0" w:type="dxa"/>
                          <w:left w:w="0" w:type="dxa"/>
                          <w:bottom w:w="0" w:type="dxa"/>
                          <w:right w:w="0" w:type="dxa"/>
                        </w:tblCellMar>
                      </w:tblPr>
                      <w:tblGrid>
                        <w:gridCol w:w="28"/>
                        <w:gridCol w:w="219"/>
                        <w:gridCol w:w="4651"/>
                      </w:tblGrid>
                      <w:tr>
                        <w:trPr/>
                        <w:tc>
                          <w:tcPr>
                            <w:tcW w:w="28" w:type="dxa"/>
                            <w:tcBorders/>
                            <w:shd w:fill="auto" w:val="clear"/>
                            <w:vAlign w:val="center"/>
                          </w:tcPr>
                          <w:p>
                            <w:pPr>
                              <w:pStyle w:val="TableContents"/>
                              <w:spacing w:before="0" w:after="283"/>
                              <w:rPr/>
                            </w:pPr>
                            <w:r>
                              <w:rPr/>
                              <w:t> </w:t>
                            </w:r>
                          </w:p>
                        </w:tc>
                        <w:tc>
                          <w:tcPr>
                            <w:tcW w:w="219" w:type="dxa"/>
                            <w:tcBorders/>
                            <w:shd w:fill="auto" w:val="clear"/>
                          </w:tcPr>
                          <w:p>
                            <w:pPr>
                              <w:pStyle w:val="TableContents"/>
                              <w:spacing w:before="0" w:after="283"/>
                              <w:jc w:val="left"/>
                              <w:rPr/>
                            </w:pPr>
                            <w:r>
                              <w:rPr/>
                              <w:t>1b =</w:t>
                            </w:r>
                          </w:p>
                        </w:tc>
                        <w:tc>
                          <w:tcPr>
                            <w:tcW w:w="4651" w:type="dxa"/>
                            <w:tcBorders/>
                            <w:shd w:fill="auto" w:val="clear"/>
                          </w:tcPr>
                          <w:p>
                            <w:pPr>
                              <w:pStyle w:val="TableContents"/>
                              <w:spacing w:before="0" w:after="0"/>
                              <w:jc w:val="left"/>
                              <w:rPr>
                                <w:rFonts w:ascii="ARIAL" w:hAnsi="ARIAL"/>
                                <w:sz w:val="13"/>
                              </w:rPr>
                            </w:pPr>
                            <w:r>
                              <w:rPr>
                                <w:rFonts w:ascii="ARIAL" w:hAnsi="ARIAL"/>
                                <w:sz w:val="13"/>
                              </w:rPr>
                              <w:t xml:space="preserve">An audit of the reporting institutions financial statements only conducted in accordance with the auditing standards of the AICPA or the PCAOB by an independent public accountant that submits a report on the institution </w:t>
                            </w:r>
                          </w:p>
                        </w:tc>
                      </w:tr>
                    </w:tbl>
                    <w:tbl>
                      <w:tblPr>
                        <w:tblW w:w="5000" w:type="pct"/>
                        <w:jc w:val="left"/>
                        <w:tblInd w:w="0" w:type="dxa"/>
                        <w:tblCellMar>
                          <w:top w:w="0" w:type="dxa"/>
                          <w:left w:w="0" w:type="dxa"/>
                          <w:bottom w:w="0" w:type="dxa"/>
                          <w:right w:w="0" w:type="dxa"/>
                        </w:tblCellMar>
                      </w:tblPr>
                      <w:tblGrid>
                        <w:gridCol w:w="28"/>
                        <w:gridCol w:w="211"/>
                        <w:gridCol w:w="4659"/>
                      </w:tblGrid>
                      <w:tr>
                        <w:trPr/>
                        <w:tc>
                          <w:tcPr>
                            <w:tcW w:w="28"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2a =</w:t>
                            </w:r>
                          </w:p>
                        </w:tc>
                        <w:tc>
                          <w:tcPr>
                            <w:tcW w:w="4659" w:type="dxa"/>
                            <w:tcBorders/>
                            <w:shd w:fill="auto" w:val="clear"/>
                          </w:tcPr>
                          <w:p>
                            <w:pPr>
                              <w:pStyle w:val="TableContents"/>
                              <w:spacing w:before="0" w:after="0"/>
                              <w:jc w:val="left"/>
                              <w:rPr>
                                <w:rFonts w:ascii="ARIAL" w:hAnsi="ARIAL"/>
                                <w:sz w:val="13"/>
                              </w:rPr>
                            </w:pPr>
                            <w:r>
                              <w:rPr>
                                <w:rFonts w:ascii="ARIAL" w:hAnsi="ARIAL"/>
                                <w:sz w:val="13"/>
                              </w:rPr>
                              <w:t xml:space="preserve">An integrated audit of the reporting institutions parent holding companys consolidated financial statements and its internal control over financial reporting conducted in accordance with the standards of the AICPA or the PCAOB by an independent public accountant that submits a report on the consolidated holding company (but not on the institution separately)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75000" cy="3891280"/>
                <wp:effectExtent l="0" t="0" r="0" b="0"/>
                <wp:wrapSquare wrapText="largest"/>
                <wp:docPr id="8" name="Frame2"/>
                <a:graphic xmlns:a="http://schemas.openxmlformats.org/drawingml/2006/main">
                  <a:graphicData uri="http://schemas.microsoft.com/office/word/2010/wordprocessingShape">
                    <wps:wsp>
                      <wps:cNvSpPr txBox="1"/>
                      <wps:spPr>
                        <a:xfrm>
                          <a:off x="0" y="0"/>
                          <a:ext cx="3175000" cy="3891280"/>
                        </a:xfrm>
                        <a:prstGeom prst="rect"/>
                      </wps:spPr>
                      <wps:txbx>
                        <w:txbxContent>
                          <w:tbl>
                            <w:tblPr>
                              <w:tblW w:w="5000" w:type="pct"/>
                              <w:jc w:val="left"/>
                              <w:tblInd w:w="0" w:type="dxa"/>
                              <w:tblCellMar>
                                <w:top w:w="0" w:type="dxa"/>
                                <w:left w:w="0" w:type="dxa"/>
                                <w:bottom w:w="0" w:type="dxa"/>
                                <w:right w:w="0" w:type="dxa"/>
                              </w:tblCellMar>
                            </w:tblPr>
                            <w:tblGrid>
                              <w:gridCol w:w="29"/>
                              <w:gridCol w:w="223"/>
                              <w:gridCol w:w="4748"/>
                            </w:tblGrid>
                            <w:tr>
                              <w:trPr/>
                              <w:tc>
                                <w:tcPr>
                                  <w:tcW w:w="29" w:type="dxa"/>
                                  <w:tcBorders/>
                                  <w:shd w:fill="auto" w:val="clear"/>
                                  <w:vAlign w:val="center"/>
                                </w:tcPr>
                                <w:p>
                                  <w:pPr>
                                    <w:pStyle w:val="TableContents"/>
                                    <w:spacing w:before="0" w:after="283"/>
                                    <w:rPr/>
                                  </w:pPr>
                                  <w:r>
                                    <w:rPr/>
                                    <w:t> </w:t>
                                  </w:r>
                                </w:p>
                              </w:tc>
                              <w:tc>
                                <w:tcPr>
                                  <w:tcW w:w="223" w:type="dxa"/>
                                  <w:tcBorders/>
                                  <w:shd w:fill="auto" w:val="clear"/>
                                </w:tcPr>
                                <w:p>
                                  <w:pPr>
                                    <w:pStyle w:val="TableContents"/>
                                    <w:spacing w:before="0" w:after="283"/>
                                    <w:jc w:val="left"/>
                                    <w:rPr/>
                                  </w:pPr>
                                  <w:r>
                                    <w:rPr/>
                                    <w:t>2b =</w:t>
                                  </w:r>
                                </w:p>
                              </w:tc>
                              <w:tc>
                                <w:tcPr>
                                  <w:tcW w:w="4748" w:type="dxa"/>
                                  <w:tcBorders/>
                                  <w:shd w:fill="auto" w:val="clear"/>
                                </w:tcPr>
                                <w:p>
                                  <w:pPr>
                                    <w:pStyle w:val="TableContents"/>
                                    <w:spacing w:before="0" w:after="0"/>
                                    <w:jc w:val="left"/>
                                    <w:rPr>
                                      <w:rFonts w:ascii="ARIAL" w:hAnsi="ARIAL"/>
                                      <w:sz w:val="13"/>
                                    </w:rPr>
                                  </w:pPr>
                                  <w:r>
                                    <w:rPr>
                                      <w:rFonts w:ascii="ARIAL" w:hAnsi="ARIAL"/>
                                      <w:sz w:val="13"/>
                                    </w:rPr>
                                    <w:t xml:space="preserve">An audit of the reporting institutions parent holding companys consolidated financial statements only conducted in accordance with the auditing standards of the AICPA or the PCAOB by an independent public accountant that submits a report on the consolidated holding company (but not on the institution separately) </w:t>
                                  </w:r>
                                </w:p>
                              </w:tc>
                            </w:tr>
                          </w:tbl>
                          <w:tbl>
                            <w:tblPr>
                              <w:tblW w:w="5000" w:type="pct"/>
                              <w:jc w:val="left"/>
                              <w:tblInd w:w="0" w:type="dxa"/>
                              <w:tblCellMar>
                                <w:top w:w="0" w:type="dxa"/>
                                <w:left w:w="0" w:type="dxa"/>
                                <w:bottom w:w="0" w:type="dxa"/>
                                <w:right w:w="0" w:type="dxa"/>
                              </w:tblCellMar>
                            </w:tblPr>
                            <w:tblGrid>
                              <w:gridCol w:w="146"/>
                              <w:gridCol w:w="1110"/>
                              <w:gridCol w:w="3744"/>
                            </w:tblGrid>
                            <w:tr>
                              <w:trPr/>
                              <w:tc>
                                <w:tcPr>
                                  <w:tcW w:w="146" w:type="dxa"/>
                                  <w:tcBorders/>
                                  <w:shd w:fill="auto" w:val="clear"/>
                                  <w:vAlign w:val="center"/>
                                </w:tcPr>
                                <w:p>
                                  <w:pPr>
                                    <w:pStyle w:val="TableContents"/>
                                    <w:spacing w:before="0" w:after="283"/>
                                    <w:rPr/>
                                  </w:pPr>
                                  <w:r>
                                    <w:rPr/>
                                    <w:t> </w:t>
                                  </w:r>
                                </w:p>
                              </w:tc>
                              <w:tc>
                                <w:tcPr>
                                  <w:tcW w:w="1110" w:type="dxa"/>
                                  <w:tcBorders/>
                                  <w:shd w:fill="auto" w:val="clear"/>
                                </w:tcPr>
                                <w:p>
                                  <w:pPr>
                                    <w:pStyle w:val="TableContents"/>
                                    <w:spacing w:before="0" w:after="283"/>
                                    <w:jc w:val="left"/>
                                    <w:rPr/>
                                  </w:pPr>
                                  <w:r>
                                    <w:rPr/>
                                    <w:t>  </w:t>
                                  </w:r>
                                  <w:r>
                                    <w:rPr/>
                                    <w:t>3 =</w:t>
                                  </w:r>
                                </w:p>
                              </w:tc>
                              <w:tc>
                                <w:tcPr>
                                  <w:tcW w:w="3744" w:type="dxa"/>
                                  <w:tcBorders/>
                                  <w:shd w:fill="auto" w:val="clear"/>
                                </w:tcPr>
                                <w:p>
                                  <w:pPr>
                                    <w:pStyle w:val="TableContents"/>
                                    <w:spacing w:before="0" w:after="0"/>
                                    <w:jc w:val="left"/>
                                    <w:rPr>
                                      <w:rFonts w:ascii="ARIAL" w:hAnsi="ARIAL"/>
                                      <w:sz w:val="13"/>
                                    </w:rPr>
                                  </w:pPr>
                                  <w:r>
                                    <w:rPr>
                                      <w:rFonts w:ascii="ARIAL" w:hAnsi="ARIAL"/>
                                      <w:sz w:val="13"/>
                                    </w:rPr>
                                    <w:t xml:space="preserve">This number is not to be used </w:t>
                                  </w:r>
                                </w:p>
                              </w:tc>
                            </w:tr>
                          </w:tbl>
                          <w:tbl>
                            <w:tblPr>
                              <w:tblW w:w="5000" w:type="pct"/>
                              <w:jc w:val="left"/>
                              <w:tblInd w:w="0" w:type="dxa"/>
                              <w:tblCellMar>
                                <w:top w:w="0" w:type="dxa"/>
                                <w:left w:w="0" w:type="dxa"/>
                                <w:bottom w:w="0" w:type="dxa"/>
                                <w:right w:w="0" w:type="dxa"/>
                              </w:tblCellMar>
                            </w:tblPr>
                            <w:tblGrid>
                              <w:gridCol w:w="29"/>
                              <w:gridCol w:w="228"/>
                              <w:gridCol w:w="4743"/>
                            </w:tblGrid>
                            <w:tr>
                              <w:trPr/>
                              <w:tc>
                                <w:tcPr>
                                  <w:tcW w:w="29" w:type="dxa"/>
                                  <w:tcBorders/>
                                  <w:shd w:fill="auto" w:val="clear"/>
                                  <w:vAlign w:val="center"/>
                                </w:tcPr>
                                <w:p>
                                  <w:pPr>
                                    <w:pStyle w:val="TableContents"/>
                                    <w:spacing w:before="0" w:after="283"/>
                                    <w:rPr/>
                                  </w:pPr>
                                  <w:r>
                                    <w:rPr/>
                                    <w:t> </w:t>
                                  </w:r>
                                </w:p>
                              </w:tc>
                              <w:tc>
                                <w:tcPr>
                                  <w:tcW w:w="228" w:type="dxa"/>
                                  <w:tcBorders/>
                                  <w:shd w:fill="auto" w:val="clear"/>
                                </w:tcPr>
                                <w:p>
                                  <w:pPr>
                                    <w:pStyle w:val="TableContents"/>
                                    <w:spacing w:before="0" w:after="283"/>
                                    <w:jc w:val="left"/>
                                    <w:rPr/>
                                  </w:pPr>
                                  <w:r>
                                    <w:rPr/>
                                    <w:t>  </w:t>
                                  </w:r>
                                  <w:r>
                                    <w:rPr/>
                                    <w:t>4 =</w:t>
                                  </w:r>
                                </w:p>
                              </w:tc>
                              <w:tc>
                                <w:tcPr>
                                  <w:tcW w:w="4743" w:type="dxa"/>
                                  <w:tcBorders/>
                                  <w:shd w:fill="auto" w:val="clear"/>
                                </w:tcPr>
                                <w:p>
                                  <w:pPr>
                                    <w:pStyle w:val="TableContents"/>
                                    <w:spacing w:before="0" w:after="0"/>
                                    <w:jc w:val="left"/>
                                    <w:rPr>
                                      <w:rFonts w:ascii="ARIAL" w:hAnsi="ARIAL"/>
                                      <w:sz w:val="13"/>
                                    </w:rPr>
                                  </w:pPr>
                                  <w:r>
                                    <w:rPr>
                                      <w:rFonts w:ascii="ARIAL" w:hAnsi="ARIAL"/>
                                      <w:sz w:val="13"/>
                                    </w:rPr>
                                    <w:t xml:space="preserve">Directors examination of the bank conducted in accordance with generally accepted auditing standards by a certified public accounting firm (may be required by state-chartering authority) </w:t>
                                  </w:r>
                                </w:p>
                              </w:tc>
                            </w:tr>
                          </w:tbl>
                          <w:tbl>
                            <w:tblPr>
                              <w:tblW w:w="5000" w:type="pct"/>
                              <w:jc w:val="left"/>
                              <w:tblInd w:w="0" w:type="dxa"/>
                              <w:tblCellMar>
                                <w:top w:w="0" w:type="dxa"/>
                                <w:left w:w="0" w:type="dxa"/>
                                <w:bottom w:w="0" w:type="dxa"/>
                                <w:right w:w="0" w:type="dxa"/>
                              </w:tblCellMar>
                            </w:tblPr>
                            <w:tblGrid>
                              <w:gridCol w:w="45"/>
                              <w:gridCol w:w="345"/>
                              <w:gridCol w:w="4610"/>
                            </w:tblGrid>
                            <w:tr>
                              <w:trPr/>
                              <w:tc>
                                <w:tcPr>
                                  <w:tcW w:w="45" w:type="dxa"/>
                                  <w:tcBorders/>
                                  <w:shd w:fill="auto" w:val="clear"/>
                                  <w:vAlign w:val="center"/>
                                </w:tcPr>
                                <w:p>
                                  <w:pPr>
                                    <w:pStyle w:val="TableContents"/>
                                    <w:spacing w:before="0" w:after="283"/>
                                    <w:rPr/>
                                  </w:pPr>
                                  <w:r>
                                    <w:rPr/>
                                    <w:t> </w:t>
                                  </w:r>
                                </w:p>
                              </w:tc>
                              <w:tc>
                                <w:tcPr>
                                  <w:tcW w:w="345" w:type="dxa"/>
                                  <w:tcBorders/>
                                  <w:shd w:fill="auto" w:val="clear"/>
                                </w:tcPr>
                                <w:p>
                                  <w:pPr>
                                    <w:pStyle w:val="TableContents"/>
                                    <w:spacing w:before="0" w:after="283"/>
                                    <w:jc w:val="left"/>
                                    <w:rPr/>
                                  </w:pPr>
                                  <w:r>
                                    <w:rPr/>
                                    <w:t>  </w:t>
                                  </w:r>
                                  <w:r>
                                    <w:rPr/>
                                    <w:t>5 =</w:t>
                                  </w:r>
                                </w:p>
                              </w:tc>
                              <w:tc>
                                <w:tcPr>
                                  <w:tcW w:w="4610" w:type="dxa"/>
                                  <w:tcBorders/>
                                  <w:shd w:fill="auto" w:val="clear"/>
                                </w:tcPr>
                                <w:p>
                                  <w:pPr>
                                    <w:pStyle w:val="TableContents"/>
                                    <w:spacing w:before="0" w:after="0"/>
                                    <w:jc w:val="left"/>
                                    <w:rPr>
                                      <w:rFonts w:ascii="ARIAL" w:hAnsi="ARIAL"/>
                                      <w:sz w:val="13"/>
                                    </w:rPr>
                                  </w:pPr>
                                  <w:r>
                                    <w:rPr>
                                      <w:rFonts w:ascii="ARIAL" w:hAnsi="ARIAL"/>
                                      <w:sz w:val="13"/>
                                    </w:rPr>
                                    <w:t xml:space="preserve">Directors examination of the bank performed by other external auditors (may be required by state-chartering authority) </w:t>
                                  </w:r>
                                </w:p>
                              </w:tc>
                            </w:tr>
                          </w:tbl>
                          <w:tbl>
                            <w:tblPr>
                              <w:tblW w:w="5000" w:type="pct"/>
                              <w:jc w:val="left"/>
                              <w:tblInd w:w="0" w:type="dxa"/>
                              <w:tblCellMar>
                                <w:top w:w="0" w:type="dxa"/>
                                <w:left w:w="0" w:type="dxa"/>
                                <w:bottom w:w="0" w:type="dxa"/>
                                <w:right w:w="0" w:type="dxa"/>
                              </w:tblCellMar>
                            </w:tblPr>
                            <w:tblGrid>
                              <w:gridCol w:w="80"/>
                              <w:gridCol w:w="610"/>
                              <w:gridCol w:w="4310"/>
                            </w:tblGrid>
                            <w:tr>
                              <w:trPr/>
                              <w:tc>
                                <w:tcPr>
                                  <w:tcW w:w="80"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  </w:t>
                                  </w:r>
                                  <w:r>
                                    <w:rPr/>
                                    <w:t>6 =</w:t>
                                  </w:r>
                                </w:p>
                              </w:tc>
                              <w:tc>
                                <w:tcPr>
                                  <w:tcW w:w="4310" w:type="dxa"/>
                                  <w:tcBorders/>
                                  <w:shd w:fill="auto" w:val="clear"/>
                                </w:tcPr>
                                <w:p>
                                  <w:pPr>
                                    <w:pStyle w:val="TableContents"/>
                                    <w:spacing w:before="0" w:after="0"/>
                                    <w:jc w:val="left"/>
                                    <w:rPr>
                                      <w:rFonts w:ascii="ARIAL" w:hAnsi="ARIAL"/>
                                      <w:sz w:val="13"/>
                                    </w:rPr>
                                  </w:pPr>
                                  <w:r>
                                    <w:rPr>
                                      <w:rFonts w:ascii="ARIAL" w:hAnsi="ARIAL"/>
                                      <w:sz w:val="13"/>
                                    </w:rPr>
                                    <w:t xml:space="preserve">Review of the banks financial statements by external auditors </w:t>
                                  </w:r>
                                </w:p>
                              </w:tc>
                            </w:tr>
                          </w:tbl>
                          <w:tbl>
                            <w:tblPr>
                              <w:tblW w:w="5000" w:type="pct"/>
                              <w:jc w:val="left"/>
                              <w:tblInd w:w="0" w:type="dxa"/>
                              <w:tblCellMar>
                                <w:top w:w="0" w:type="dxa"/>
                                <w:left w:w="0" w:type="dxa"/>
                                <w:bottom w:w="0" w:type="dxa"/>
                                <w:right w:w="0" w:type="dxa"/>
                              </w:tblCellMar>
                            </w:tblPr>
                            <w:tblGrid>
                              <w:gridCol w:w="75"/>
                              <w:gridCol w:w="576"/>
                              <w:gridCol w:w="4349"/>
                            </w:tblGrid>
                            <w:tr>
                              <w:trPr/>
                              <w:tc>
                                <w:tcPr>
                                  <w:tcW w:w="75" w:type="dxa"/>
                                  <w:tcBorders/>
                                  <w:shd w:fill="auto" w:val="clear"/>
                                  <w:vAlign w:val="center"/>
                                </w:tcPr>
                                <w:p>
                                  <w:pPr>
                                    <w:pStyle w:val="TableContents"/>
                                    <w:spacing w:before="0" w:after="283"/>
                                    <w:rPr/>
                                  </w:pPr>
                                  <w:r>
                                    <w:rPr/>
                                    <w:t> </w:t>
                                  </w:r>
                                </w:p>
                              </w:tc>
                              <w:tc>
                                <w:tcPr>
                                  <w:tcW w:w="576" w:type="dxa"/>
                                  <w:tcBorders/>
                                  <w:shd w:fill="auto" w:val="clear"/>
                                </w:tcPr>
                                <w:p>
                                  <w:pPr>
                                    <w:pStyle w:val="TableContents"/>
                                    <w:spacing w:before="0" w:after="283"/>
                                    <w:jc w:val="left"/>
                                    <w:rPr/>
                                  </w:pPr>
                                  <w:r>
                                    <w:rPr/>
                                    <w:t>  </w:t>
                                  </w:r>
                                  <w:r>
                                    <w:rPr/>
                                    <w:t>7 =</w:t>
                                  </w:r>
                                </w:p>
                              </w:tc>
                              <w:tc>
                                <w:tcPr>
                                  <w:tcW w:w="4349" w:type="dxa"/>
                                  <w:tcBorders/>
                                  <w:shd w:fill="auto" w:val="clear"/>
                                </w:tcPr>
                                <w:p>
                                  <w:pPr>
                                    <w:pStyle w:val="TableContents"/>
                                    <w:spacing w:before="0" w:after="0"/>
                                    <w:jc w:val="left"/>
                                    <w:rPr>
                                      <w:rFonts w:ascii="ARIAL" w:hAnsi="ARIAL"/>
                                      <w:sz w:val="13"/>
                                    </w:rPr>
                                  </w:pPr>
                                  <w:r>
                                    <w:rPr>
                                      <w:rFonts w:ascii="ARIAL" w:hAnsi="ARIAL"/>
                                      <w:sz w:val="13"/>
                                    </w:rPr>
                                    <w:t xml:space="preserve">Compilation of the banks financial statements by external auditors </w:t>
                                  </w:r>
                                </w:p>
                              </w:tc>
                            </w:tr>
                          </w:tbl>
                          <w:tbl>
                            <w:tblPr>
                              <w:tblW w:w="5000" w:type="pct"/>
                              <w:jc w:val="left"/>
                              <w:tblInd w:w="0" w:type="dxa"/>
                              <w:tblCellMar>
                                <w:top w:w="0" w:type="dxa"/>
                                <w:left w:w="0" w:type="dxa"/>
                                <w:bottom w:w="0" w:type="dxa"/>
                                <w:right w:w="0" w:type="dxa"/>
                              </w:tblCellMar>
                            </w:tblPr>
                            <w:tblGrid>
                              <w:gridCol w:w="88"/>
                              <w:gridCol w:w="672"/>
                              <w:gridCol w:w="4240"/>
                            </w:tblGrid>
                            <w:tr>
                              <w:trPr/>
                              <w:tc>
                                <w:tcPr>
                                  <w:tcW w:w="88" w:type="dxa"/>
                                  <w:tcBorders/>
                                  <w:shd w:fill="auto" w:val="clear"/>
                                  <w:vAlign w:val="center"/>
                                </w:tcPr>
                                <w:p>
                                  <w:pPr>
                                    <w:pStyle w:val="TableContents"/>
                                    <w:spacing w:before="0" w:after="283"/>
                                    <w:rPr/>
                                  </w:pPr>
                                  <w:r>
                                    <w:rPr/>
                                    <w:t> </w:t>
                                  </w:r>
                                </w:p>
                              </w:tc>
                              <w:tc>
                                <w:tcPr>
                                  <w:tcW w:w="672" w:type="dxa"/>
                                  <w:tcBorders/>
                                  <w:shd w:fill="auto" w:val="clear"/>
                                </w:tcPr>
                                <w:p>
                                  <w:pPr>
                                    <w:pStyle w:val="TableContents"/>
                                    <w:spacing w:before="0" w:after="283"/>
                                    <w:jc w:val="left"/>
                                    <w:rPr/>
                                  </w:pPr>
                                  <w:r>
                                    <w:rPr/>
                                    <w:t>  </w:t>
                                  </w:r>
                                  <w:r>
                                    <w:rPr/>
                                    <w:t>8 =</w:t>
                                  </w:r>
                                </w:p>
                              </w:tc>
                              <w:tc>
                                <w:tcPr>
                                  <w:tcW w:w="4240" w:type="dxa"/>
                                  <w:tcBorders/>
                                  <w:shd w:fill="auto" w:val="clear"/>
                                </w:tcPr>
                                <w:p>
                                  <w:pPr>
                                    <w:pStyle w:val="TableContents"/>
                                    <w:spacing w:before="0" w:after="0"/>
                                    <w:jc w:val="left"/>
                                    <w:rPr>
                                      <w:rFonts w:ascii="ARIAL" w:hAnsi="ARIAL"/>
                                      <w:sz w:val="13"/>
                                    </w:rPr>
                                  </w:pPr>
                                  <w:r>
                                    <w:rPr>
                                      <w:rFonts w:ascii="ARIAL" w:hAnsi="ARIAL"/>
                                      <w:sz w:val="13"/>
                                    </w:rPr>
                                    <w:t xml:space="preserve">Other audit procedures (excluding tax preparation work) </w:t>
                                  </w:r>
                                </w:p>
                              </w:tc>
                            </w:tr>
                          </w:tbl>
                          <w:tbl>
                            <w:tblPr>
                              <w:tblW w:w="5000" w:type="pct"/>
                              <w:jc w:val="left"/>
                              <w:tblInd w:w="0" w:type="dxa"/>
                              <w:tblCellMar>
                                <w:top w:w="0" w:type="dxa"/>
                                <w:left w:w="0" w:type="dxa"/>
                                <w:bottom w:w="0" w:type="dxa"/>
                                <w:right w:w="0" w:type="dxa"/>
                              </w:tblCellMar>
                            </w:tblPr>
                            <w:tblGrid>
                              <w:gridCol w:w="175"/>
                              <w:gridCol w:w="1335"/>
                              <w:gridCol w:w="3490"/>
                            </w:tblGrid>
                            <w:tr>
                              <w:trPr/>
                              <w:tc>
                                <w:tcPr>
                                  <w:tcW w:w="175" w:type="dxa"/>
                                  <w:tcBorders/>
                                  <w:shd w:fill="auto" w:val="clear"/>
                                  <w:vAlign w:val="center"/>
                                </w:tcPr>
                                <w:p>
                                  <w:pPr>
                                    <w:pStyle w:val="TableContents"/>
                                    <w:spacing w:before="0" w:after="283"/>
                                    <w:rPr/>
                                  </w:pPr>
                                  <w:r>
                                    <w:rPr/>
                                    <w:t> </w:t>
                                  </w:r>
                                </w:p>
                              </w:tc>
                              <w:tc>
                                <w:tcPr>
                                  <w:tcW w:w="1335" w:type="dxa"/>
                                  <w:tcBorders/>
                                  <w:shd w:fill="auto" w:val="clear"/>
                                </w:tcPr>
                                <w:p>
                                  <w:pPr>
                                    <w:pStyle w:val="TableContents"/>
                                    <w:spacing w:before="0" w:after="283"/>
                                    <w:jc w:val="left"/>
                                    <w:rPr/>
                                  </w:pPr>
                                  <w:r>
                                    <w:rPr/>
                                    <w:t>  </w:t>
                                  </w:r>
                                  <w:r>
                                    <w:rPr/>
                                    <w:t>9 =</w:t>
                                  </w:r>
                                </w:p>
                              </w:tc>
                              <w:tc>
                                <w:tcPr>
                                  <w:tcW w:w="3490" w:type="dxa"/>
                                  <w:tcBorders/>
                                  <w:shd w:fill="auto" w:val="clear"/>
                                </w:tcPr>
                                <w:p>
                                  <w:pPr>
                                    <w:pStyle w:val="TableContents"/>
                                    <w:spacing w:before="0" w:after="0"/>
                                    <w:jc w:val="left"/>
                                    <w:rPr>
                                      <w:rFonts w:ascii="ARIAL" w:hAnsi="ARIAL"/>
                                      <w:sz w:val="13"/>
                                    </w:rPr>
                                  </w:pPr>
                                  <w:r>
                                    <w:rPr>
                                      <w:rFonts w:ascii="ARIAL" w:hAnsi="ARIAL"/>
                                      <w:sz w:val="13"/>
                                    </w:rPr>
                                    <w:t xml:space="preserve">No external audit work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6.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left"/>
                        <w:tblInd w:w="0" w:type="dxa"/>
                        <w:tblCellMar>
                          <w:top w:w="0" w:type="dxa"/>
                          <w:left w:w="0" w:type="dxa"/>
                          <w:bottom w:w="0" w:type="dxa"/>
                          <w:right w:w="0" w:type="dxa"/>
                        </w:tblCellMar>
                      </w:tblPr>
                      <w:tblGrid>
                        <w:gridCol w:w="29"/>
                        <w:gridCol w:w="223"/>
                        <w:gridCol w:w="4748"/>
                      </w:tblGrid>
                      <w:tr>
                        <w:trPr/>
                        <w:tc>
                          <w:tcPr>
                            <w:tcW w:w="29" w:type="dxa"/>
                            <w:tcBorders/>
                            <w:shd w:fill="auto" w:val="clear"/>
                            <w:vAlign w:val="center"/>
                          </w:tcPr>
                          <w:p>
                            <w:pPr>
                              <w:pStyle w:val="TableContents"/>
                              <w:spacing w:before="0" w:after="283"/>
                              <w:rPr/>
                            </w:pPr>
                            <w:r>
                              <w:rPr/>
                              <w:t> </w:t>
                            </w:r>
                          </w:p>
                        </w:tc>
                        <w:tc>
                          <w:tcPr>
                            <w:tcW w:w="223" w:type="dxa"/>
                            <w:tcBorders/>
                            <w:shd w:fill="auto" w:val="clear"/>
                          </w:tcPr>
                          <w:p>
                            <w:pPr>
                              <w:pStyle w:val="TableContents"/>
                              <w:spacing w:before="0" w:after="283"/>
                              <w:jc w:val="left"/>
                              <w:rPr/>
                            </w:pPr>
                            <w:r>
                              <w:rPr/>
                              <w:t>2b =</w:t>
                            </w:r>
                          </w:p>
                        </w:tc>
                        <w:tc>
                          <w:tcPr>
                            <w:tcW w:w="4748" w:type="dxa"/>
                            <w:tcBorders/>
                            <w:shd w:fill="auto" w:val="clear"/>
                          </w:tcPr>
                          <w:p>
                            <w:pPr>
                              <w:pStyle w:val="TableContents"/>
                              <w:spacing w:before="0" w:after="0"/>
                              <w:jc w:val="left"/>
                              <w:rPr>
                                <w:rFonts w:ascii="ARIAL" w:hAnsi="ARIAL"/>
                                <w:sz w:val="13"/>
                              </w:rPr>
                            </w:pPr>
                            <w:r>
                              <w:rPr>
                                <w:rFonts w:ascii="ARIAL" w:hAnsi="ARIAL"/>
                                <w:sz w:val="13"/>
                              </w:rPr>
                              <w:t xml:space="preserve">An audit of the reporting institutions parent holding companys consolidated financial statements only conducted in accordance with the auditing standards of the AICPA or the PCAOB by an independent public accountant that submits a report on the consolidated holding company (but not on the institution separately) </w:t>
                            </w:r>
                          </w:p>
                        </w:tc>
                      </w:tr>
                    </w:tbl>
                    <w:tbl>
                      <w:tblPr>
                        <w:tblW w:w="5000" w:type="pct"/>
                        <w:jc w:val="left"/>
                        <w:tblInd w:w="0" w:type="dxa"/>
                        <w:tblCellMar>
                          <w:top w:w="0" w:type="dxa"/>
                          <w:left w:w="0" w:type="dxa"/>
                          <w:bottom w:w="0" w:type="dxa"/>
                          <w:right w:w="0" w:type="dxa"/>
                        </w:tblCellMar>
                      </w:tblPr>
                      <w:tblGrid>
                        <w:gridCol w:w="146"/>
                        <w:gridCol w:w="1110"/>
                        <w:gridCol w:w="3744"/>
                      </w:tblGrid>
                      <w:tr>
                        <w:trPr/>
                        <w:tc>
                          <w:tcPr>
                            <w:tcW w:w="146" w:type="dxa"/>
                            <w:tcBorders/>
                            <w:shd w:fill="auto" w:val="clear"/>
                            <w:vAlign w:val="center"/>
                          </w:tcPr>
                          <w:p>
                            <w:pPr>
                              <w:pStyle w:val="TableContents"/>
                              <w:spacing w:before="0" w:after="283"/>
                              <w:rPr/>
                            </w:pPr>
                            <w:r>
                              <w:rPr/>
                              <w:t> </w:t>
                            </w:r>
                          </w:p>
                        </w:tc>
                        <w:tc>
                          <w:tcPr>
                            <w:tcW w:w="1110" w:type="dxa"/>
                            <w:tcBorders/>
                            <w:shd w:fill="auto" w:val="clear"/>
                          </w:tcPr>
                          <w:p>
                            <w:pPr>
                              <w:pStyle w:val="TableContents"/>
                              <w:spacing w:before="0" w:after="283"/>
                              <w:jc w:val="left"/>
                              <w:rPr/>
                            </w:pPr>
                            <w:r>
                              <w:rPr/>
                              <w:t>  </w:t>
                            </w:r>
                            <w:r>
                              <w:rPr/>
                              <w:t>3 =</w:t>
                            </w:r>
                          </w:p>
                        </w:tc>
                        <w:tc>
                          <w:tcPr>
                            <w:tcW w:w="3744" w:type="dxa"/>
                            <w:tcBorders/>
                            <w:shd w:fill="auto" w:val="clear"/>
                          </w:tcPr>
                          <w:p>
                            <w:pPr>
                              <w:pStyle w:val="TableContents"/>
                              <w:spacing w:before="0" w:after="0"/>
                              <w:jc w:val="left"/>
                              <w:rPr>
                                <w:rFonts w:ascii="ARIAL" w:hAnsi="ARIAL"/>
                                <w:sz w:val="13"/>
                              </w:rPr>
                            </w:pPr>
                            <w:r>
                              <w:rPr>
                                <w:rFonts w:ascii="ARIAL" w:hAnsi="ARIAL"/>
                                <w:sz w:val="13"/>
                              </w:rPr>
                              <w:t xml:space="preserve">This number is not to be used </w:t>
                            </w:r>
                          </w:p>
                        </w:tc>
                      </w:tr>
                    </w:tbl>
                    <w:tbl>
                      <w:tblPr>
                        <w:tblW w:w="5000" w:type="pct"/>
                        <w:jc w:val="left"/>
                        <w:tblInd w:w="0" w:type="dxa"/>
                        <w:tblCellMar>
                          <w:top w:w="0" w:type="dxa"/>
                          <w:left w:w="0" w:type="dxa"/>
                          <w:bottom w:w="0" w:type="dxa"/>
                          <w:right w:w="0" w:type="dxa"/>
                        </w:tblCellMar>
                      </w:tblPr>
                      <w:tblGrid>
                        <w:gridCol w:w="29"/>
                        <w:gridCol w:w="228"/>
                        <w:gridCol w:w="4743"/>
                      </w:tblGrid>
                      <w:tr>
                        <w:trPr/>
                        <w:tc>
                          <w:tcPr>
                            <w:tcW w:w="29" w:type="dxa"/>
                            <w:tcBorders/>
                            <w:shd w:fill="auto" w:val="clear"/>
                            <w:vAlign w:val="center"/>
                          </w:tcPr>
                          <w:p>
                            <w:pPr>
                              <w:pStyle w:val="TableContents"/>
                              <w:spacing w:before="0" w:after="283"/>
                              <w:rPr/>
                            </w:pPr>
                            <w:r>
                              <w:rPr/>
                              <w:t> </w:t>
                            </w:r>
                          </w:p>
                        </w:tc>
                        <w:tc>
                          <w:tcPr>
                            <w:tcW w:w="228" w:type="dxa"/>
                            <w:tcBorders/>
                            <w:shd w:fill="auto" w:val="clear"/>
                          </w:tcPr>
                          <w:p>
                            <w:pPr>
                              <w:pStyle w:val="TableContents"/>
                              <w:spacing w:before="0" w:after="283"/>
                              <w:jc w:val="left"/>
                              <w:rPr/>
                            </w:pPr>
                            <w:r>
                              <w:rPr/>
                              <w:t>  </w:t>
                            </w:r>
                            <w:r>
                              <w:rPr/>
                              <w:t>4 =</w:t>
                            </w:r>
                          </w:p>
                        </w:tc>
                        <w:tc>
                          <w:tcPr>
                            <w:tcW w:w="4743" w:type="dxa"/>
                            <w:tcBorders/>
                            <w:shd w:fill="auto" w:val="clear"/>
                          </w:tcPr>
                          <w:p>
                            <w:pPr>
                              <w:pStyle w:val="TableContents"/>
                              <w:spacing w:before="0" w:after="0"/>
                              <w:jc w:val="left"/>
                              <w:rPr>
                                <w:rFonts w:ascii="ARIAL" w:hAnsi="ARIAL"/>
                                <w:sz w:val="13"/>
                              </w:rPr>
                            </w:pPr>
                            <w:r>
                              <w:rPr>
                                <w:rFonts w:ascii="ARIAL" w:hAnsi="ARIAL"/>
                                <w:sz w:val="13"/>
                              </w:rPr>
                              <w:t xml:space="preserve">Directors examination of the bank conducted in accordance with generally accepted auditing standards by a certified public accounting firm (may be required by state-chartering authority) </w:t>
                            </w:r>
                          </w:p>
                        </w:tc>
                      </w:tr>
                    </w:tbl>
                    <w:tbl>
                      <w:tblPr>
                        <w:tblW w:w="5000" w:type="pct"/>
                        <w:jc w:val="left"/>
                        <w:tblInd w:w="0" w:type="dxa"/>
                        <w:tblCellMar>
                          <w:top w:w="0" w:type="dxa"/>
                          <w:left w:w="0" w:type="dxa"/>
                          <w:bottom w:w="0" w:type="dxa"/>
                          <w:right w:w="0" w:type="dxa"/>
                        </w:tblCellMar>
                      </w:tblPr>
                      <w:tblGrid>
                        <w:gridCol w:w="45"/>
                        <w:gridCol w:w="345"/>
                        <w:gridCol w:w="4610"/>
                      </w:tblGrid>
                      <w:tr>
                        <w:trPr/>
                        <w:tc>
                          <w:tcPr>
                            <w:tcW w:w="45" w:type="dxa"/>
                            <w:tcBorders/>
                            <w:shd w:fill="auto" w:val="clear"/>
                            <w:vAlign w:val="center"/>
                          </w:tcPr>
                          <w:p>
                            <w:pPr>
                              <w:pStyle w:val="TableContents"/>
                              <w:spacing w:before="0" w:after="283"/>
                              <w:rPr/>
                            </w:pPr>
                            <w:r>
                              <w:rPr/>
                              <w:t> </w:t>
                            </w:r>
                          </w:p>
                        </w:tc>
                        <w:tc>
                          <w:tcPr>
                            <w:tcW w:w="345" w:type="dxa"/>
                            <w:tcBorders/>
                            <w:shd w:fill="auto" w:val="clear"/>
                          </w:tcPr>
                          <w:p>
                            <w:pPr>
                              <w:pStyle w:val="TableContents"/>
                              <w:spacing w:before="0" w:after="283"/>
                              <w:jc w:val="left"/>
                              <w:rPr/>
                            </w:pPr>
                            <w:r>
                              <w:rPr/>
                              <w:t>  </w:t>
                            </w:r>
                            <w:r>
                              <w:rPr/>
                              <w:t>5 =</w:t>
                            </w:r>
                          </w:p>
                        </w:tc>
                        <w:tc>
                          <w:tcPr>
                            <w:tcW w:w="4610" w:type="dxa"/>
                            <w:tcBorders/>
                            <w:shd w:fill="auto" w:val="clear"/>
                          </w:tcPr>
                          <w:p>
                            <w:pPr>
                              <w:pStyle w:val="TableContents"/>
                              <w:spacing w:before="0" w:after="0"/>
                              <w:jc w:val="left"/>
                              <w:rPr>
                                <w:rFonts w:ascii="ARIAL" w:hAnsi="ARIAL"/>
                                <w:sz w:val="13"/>
                              </w:rPr>
                            </w:pPr>
                            <w:r>
                              <w:rPr>
                                <w:rFonts w:ascii="ARIAL" w:hAnsi="ARIAL"/>
                                <w:sz w:val="13"/>
                              </w:rPr>
                              <w:t xml:space="preserve">Directors examination of the bank performed by other external auditors (may be required by state-chartering authority) </w:t>
                            </w:r>
                          </w:p>
                        </w:tc>
                      </w:tr>
                    </w:tbl>
                    <w:tbl>
                      <w:tblPr>
                        <w:tblW w:w="5000" w:type="pct"/>
                        <w:jc w:val="left"/>
                        <w:tblInd w:w="0" w:type="dxa"/>
                        <w:tblCellMar>
                          <w:top w:w="0" w:type="dxa"/>
                          <w:left w:w="0" w:type="dxa"/>
                          <w:bottom w:w="0" w:type="dxa"/>
                          <w:right w:w="0" w:type="dxa"/>
                        </w:tblCellMar>
                      </w:tblPr>
                      <w:tblGrid>
                        <w:gridCol w:w="80"/>
                        <w:gridCol w:w="610"/>
                        <w:gridCol w:w="4310"/>
                      </w:tblGrid>
                      <w:tr>
                        <w:trPr/>
                        <w:tc>
                          <w:tcPr>
                            <w:tcW w:w="80"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  </w:t>
                            </w:r>
                            <w:r>
                              <w:rPr/>
                              <w:t>6 =</w:t>
                            </w:r>
                          </w:p>
                        </w:tc>
                        <w:tc>
                          <w:tcPr>
                            <w:tcW w:w="4310" w:type="dxa"/>
                            <w:tcBorders/>
                            <w:shd w:fill="auto" w:val="clear"/>
                          </w:tcPr>
                          <w:p>
                            <w:pPr>
                              <w:pStyle w:val="TableContents"/>
                              <w:spacing w:before="0" w:after="0"/>
                              <w:jc w:val="left"/>
                              <w:rPr>
                                <w:rFonts w:ascii="ARIAL" w:hAnsi="ARIAL"/>
                                <w:sz w:val="13"/>
                              </w:rPr>
                            </w:pPr>
                            <w:r>
                              <w:rPr>
                                <w:rFonts w:ascii="ARIAL" w:hAnsi="ARIAL"/>
                                <w:sz w:val="13"/>
                              </w:rPr>
                              <w:t xml:space="preserve">Review of the banks financial statements by external auditors </w:t>
                            </w:r>
                          </w:p>
                        </w:tc>
                      </w:tr>
                    </w:tbl>
                    <w:tbl>
                      <w:tblPr>
                        <w:tblW w:w="5000" w:type="pct"/>
                        <w:jc w:val="left"/>
                        <w:tblInd w:w="0" w:type="dxa"/>
                        <w:tblCellMar>
                          <w:top w:w="0" w:type="dxa"/>
                          <w:left w:w="0" w:type="dxa"/>
                          <w:bottom w:w="0" w:type="dxa"/>
                          <w:right w:w="0" w:type="dxa"/>
                        </w:tblCellMar>
                      </w:tblPr>
                      <w:tblGrid>
                        <w:gridCol w:w="75"/>
                        <w:gridCol w:w="576"/>
                        <w:gridCol w:w="4349"/>
                      </w:tblGrid>
                      <w:tr>
                        <w:trPr/>
                        <w:tc>
                          <w:tcPr>
                            <w:tcW w:w="75" w:type="dxa"/>
                            <w:tcBorders/>
                            <w:shd w:fill="auto" w:val="clear"/>
                            <w:vAlign w:val="center"/>
                          </w:tcPr>
                          <w:p>
                            <w:pPr>
                              <w:pStyle w:val="TableContents"/>
                              <w:spacing w:before="0" w:after="283"/>
                              <w:rPr/>
                            </w:pPr>
                            <w:r>
                              <w:rPr/>
                              <w:t> </w:t>
                            </w:r>
                          </w:p>
                        </w:tc>
                        <w:tc>
                          <w:tcPr>
                            <w:tcW w:w="576" w:type="dxa"/>
                            <w:tcBorders/>
                            <w:shd w:fill="auto" w:val="clear"/>
                          </w:tcPr>
                          <w:p>
                            <w:pPr>
                              <w:pStyle w:val="TableContents"/>
                              <w:spacing w:before="0" w:after="283"/>
                              <w:jc w:val="left"/>
                              <w:rPr/>
                            </w:pPr>
                            <w:r>
                              <w:rPr/>
                              <w:t>  </w:t>
                            </w:r>
                            <w:r>
                              <w:rPr/>
                              <w:t>7 =</w:t>
                            </w:r>
                          </w:p>
                        </w:tc>
                        <w:tc>
                          <w:tcPr>
                            <w:tcW w:w="4349" w:type="dxa"/>
                            <w:tcBorders/>
                            <w:shd w:fill="auto" w:val="clear"/>
                          </w:tcPr>
                          <w:p>
                            <w:pPr>
                              <w:pStyle w:val="TableContents"/>
                              <w:spacing w:before="0" w:after="0"/>
                              <w:jc w:val="left"/>
                              <w:rPr>
                                <w:rFonts w:ascii="ARIAL" w:hAnsi="ARIAL"/>
                                <w:sz w:val="13"/>
                              </w:rPr>
                            </w:pPr>
                            <w:r>
                              <w:rPr>
                                <w:rFonts w:ascii="ARIAL" w:hAnsi="ARIAL"/>
                                <w:sz w:val="13"/>
                              </w:rPr>
                              <w:t xml:space="preserve">Compilation of the banks financial statements by external auditors </w:t>
                            </w:r>
                          </w:p>
                        </w:tc>
                      </w:tr>
                    </w:tbl>
                    <w:tbl>
                      <w:tblPr>
                        <w:tblW w:w="5000" w:type="pct"/>
                        <w:jc w:val="left"/>
                        <w:tblInd w:w="0" w:type="dxa"/>
                        <w:tblCellMar>
                          <w:top w:w="0" w:type="dxa"/>
                          <w:left w:w="0" w:type="dxa"/>
                          <w:bottom w:w="0" w:type="dxa"/>
                          <w:right w:w="0" w:type="dxa"/>
                        </w:tblCellMar>
                      </w:tblPr>
                      <w:tblGrid>
                        <w:gridCol w:w="88"/>
                        <w:gridCol w:w="672"/>
                        <w:gridCol w:w="4240"/>
                      </w:tblGrid>
                      <w:tr>
                        <w:trPr/>
                        <w:tc>
                          <w:tcPr>
                            <w:tcW w:w="88" w:type="dxa"/>
                            <w:tcBorders/>
                            <w:shd w:fill="auto" w:val="clear"/>
                            <w:vAlign w:val="center"/>
                          </w:tcPr>
                          <w:p>
                            <w:pPr>
                              <w:pStyle w:val="TableContents"/>
                              <w:spacing w:before="0" w:after="283"/>
                              <w:rPr/>
                            </w:pPr>
                            <w:r>
                              <w:rPr/>
                              <w:t> </w:t>
                            </w:r>
                          </w:p>
                        </w:tc>
                        <w:tc>
                          <w:tcPr>
                            <w:tcW w:w="672" w:type="dxa"/>
                            <w:tcBorders/>
                            <w:shd w:fill="auto" w:val="clear"/>
                          </w:tcPr>
                          <w:p>
                            <w:pPr>
                              <w:pStyle w:val="TableContents"/>
                              <w:spacing w:before="0" w:after="283"/>
                              <w:jc w:val="left"/>
                              <w:rPr/>
                            </w:pPr>
                            <w:r>
                              <w:rPr/>
                              <w:t>  </w:t>
                            </w:r>
                            <w:r>
                              <w:rPr/>
                              <w:t>8 =</w:t>
                            </w:r>
                          </w:p>
                        </w:tc>
                        <w:tc>
                          <w:tcPr>
                            <w:tcW w:w="4240" w:type="dxa"/>
                            <w:tcBorders/>
                            <w:shd w:fill="auto" w:val="clear"/>
                          </w:tcPr>
                          <w:p>
                            <w:pPr>
                              <w:pStyle w:val="TableContents"/>
                              <w:spacing w:before="0" w:after="0"/>
                              <w:jc w:val="left"/>
                              <w:rPr>
                                <w:rFonts w:ascii="ARIAL" w:hAnsi="ARIAL"/>
                                <w:sz w:val="13"/>
                              </w:rPr>
                            </w:pPr>
                            <w:r>
                              <w:rPr>
                                <w:rFonts w:ascii="ARIAL" w:hAnsi="ARIAL"/>
                                <w:sz w:val="13"/>
                              </w:rPr>
                              <w:t xml:space="preserve">Other audit procedures (excluding tax preparation work) </w:t>
                            </w:r>
                          </w:p>
                        </w:tc>
                      </w:tr>
                    </w:tbl>
                    <w:tbl>
                      <w:tblPr>
                        <w:tblW w:w="5000" w:type="pct"/>
                        <w:jc w:val="left"/>
                        <w:tblInd w:w="0" w:type="dxa"/>
                        <w:tblCellMar>
                          <w:top w:w="0" w:type="dxa"/>
                          <w:left w:w="0" w:type="dxa"/>
                          <w:bottom w:w="0" w:type="dxa"/>
                          <w:right w:w="0" w:type="dxa"/>
                        </w:tblCellMar>
                      </w:tblPr>
                      <w:tblGrid>
                        <w:gridCol w:w="175"/>
                        <w:gridCol w:w="1335"/>
                        <w:gridCol w:w="3490"/>
                      </w:tblGrid>
                      <w:tr>
                        <w:trPr/>
                        <w:tc>
                          <w:tcPr>
                            <w:tcW w:w="175" w:type="dxa"/>
                            <w:tcBorders/>
                            <w:shd w:fill="auto" w:val="clear"/>
                            <w:vAlign w:val="center"/>
                          </w:tcPr>
                          <w:p>
                            <w:pPr>
                              <w:pStyle w:val="TableContents"/>
                              <w:spacing w:before="0" w:after="283"/>
                              <w:rPr/>
                            </w:pPr>
                            <w:r>
                              <w:rPr/>
                              <w:t> </w:t>
                            </w:r>
                          </w:p>
                        </w:tc>
                        <w:tc>
                          <w:tcPr>
                            <w:tcW w:w="1335" w:type="dxa"/>
                            <w:tcBorders/>
                            <w:shd w:fill="auto" w:val="clear"/>
                          </w:tcPr>
                          <w:p>
                            <w:pPr>
                              <w:pStyle w:val="TableContents"/>
                              <w:spacing w:before="0" w:after="283"/>
                              <w:jc w:val="left"/>
                              <w:rPr/>
                            </w:pPr>
                            <w:r>
                              <w:rPr/>
                              <w:t>  </w:t>
                            </w:r>
                            <w:r>
                              <w:rPr/>
                              <w:t>9 =</w:t>
                            </w:r>
                          </w:p>
                        </w:tc>
                        <w:tc>
                          <w:tcPr>
                            <w:tcW w:w="3490" w:type="dxa"/>
                            <w:tcBorders/>
                            <w:shd w:fill="auto" w:val="clear"/>
                          </w:tcPr>
                          <w:p>
                            <w:pPr>
                              <w:pStyle w:val="TableContents"/>
                              <w:spacing w:before="0" w:after="0"/>
                              <w:jc w:val="left"/>
                              <w:rPr>
                                <w:rFonts w:ascii="ARIAL" w:hAnsi="ARIAL"/>
                                <w:sz w:val="13"/>
                              </w:rPr>
                            </w:pPr>
                            <w:r>
                              <w:rPr>
                                <w:rFonts w:ascii="ARIAL" w:hAnsi="ARIAL"/>
                                <w:sz w:val="13"/>
                              </w:rPr>
                              <w:t xml:space="preserve">No external audit work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903"/>
        <w:gridCol w:w="116"/>
        <w:gridCol w:w="1156"/>
        <w:gridCol w:w="116"/>
        <w:gridCol w:w="1450"/>
        <w:gridCol w:w="116"/>
        <w:gridCol w:w="348"/>
      </w:tblGrid>
      <w:tr>
        <w:trPr/>
        <w:tc>
          <w:tcPr>
            <w:tcW w:w="690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6903" w:type="dxa"/>
            <w:tcBorders/>
            <w:shd w:fill="auto" w:val="clear"/>
          </w:tcPr>
          <w:p>
            <w:pPr>
              <w:pStyle w:val="TableContents"/>
              <w:spacing w:before="0" w:after="283"/>
              <w:rPr>
                <w:b/>
                <w:sz w:val="14"/>
              </w:rPr>
            </w:pPr>
            <w:r>
              <w:rPr>
                <w:b/>
                <w:sz w:val="14"/>
              </w:rPr>
              <w:t>To be reported with the March Report of Condition.</w:t>
            </w:r>
          </w:p>
        </w:tc>
        <w:tc>
          <w:tcPr>
            <w:tcW w:w="116"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156"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pPr>
            <w:r>
              <w:rPr/>
              <w:t>      </w:t>
            </w:r>
            <w:r>
              <w:rPr>
                <w:sz w:val="11"/>
              </w:rPr>
              <w:t>RCON           </w:t>
            </w:r>
          </w:p>
        </w:tc>
        <w:tc>
          <w:tcPr>
            <w:tcW w:w="116"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45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right"/>
              <w:rPr/>
            </w:pPr>
            <w:r>
              <w:rPr/>
              <w:t>      </w:t>
            </w:r>
            <w:r>
              <w:rPr/>
              <w:t>Date          </w:t>
            </w:r>
          </w:p>
        </w:tc>
        <w:tc>
          <w:tcPr>
            <w:tcW w:w="11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r>
      <w:tr>
        <w:trPr/>
        <w:tc>
          <w:tcPr>
            <w:tcW w:w="6903" w:type="dxa"/>
            <w:tcBorders/>
            <w:shd w:fill="auto" w:val="clear"/>
          </w:tcPr>
          <w:p>
            <w:pPr>
              <w:pStyle w:val="TableContents"/>
              <w:spacing w:before="0" w:after="0"/>
              <w:rPr/>
            </w:pPr>
            <w:r>
              <w:rPr/>
              <w:t>  </w:t>
            </w:r>
            <w:r>
              <w:rPr>
                <w:rFonts w:ascii="ARIAL" w:hAnsi="ARIAL"/>
                <w:sz w:val="14"/>
              </w:rPr>
              <w:t>2. Banks fiscal year-end date (report the date in MMDD format)</w:t>
            </w:r>
          </w:p>
        </w:tc>
        <w:tc>
          <w:tcPr>
            <w:tcW w:w="116"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156"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center"/>
              <w:rPr>
                <w:sz w:val="11"/>
              </w:rPr>
            </w:pPr>
            <w:r>
              <w:rPr>
                <w:sz w:val="11"/>
              </w:rPr>
              <w:t>8678  </w:t>
            </w:r>
          </w:p>
        </w:tc>
        <w:tc>
          <w:tcPr>
            <w:tcW w:w="116"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45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jc w:val="right"/>
              <w:rPr/>
            </w:pPr>
            <w:r>
              <w:rPr/>
              <w:t>NA</w:t>
            </w:r>
          </w:p>
        </w:tc>
        <w:tc>
          <w:tcPr>
            <w:tcW w:w="116"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sz w:val="14"/>
              </w:rPr>
            </w:pPr>
            <w:r>
              <w:rPr>
                <w:sz w:val="14"/>
              </w:rPr>
              <w:t>M.2.</w:t>
            </w:r>
          </w:p>
        </w:tc>
      </w:tr>
    </w:tbl>
    <w:p>
      <w:pPr>
        <w:pStyle w:val="TextBody"/>
        <w:spacing w:before="0" w:after="0"/>
        <w:jc w:val="both"/>
        <w:rPr/>
      </w:pPr>
      <w:r>
        <w:rPr>
          <w:u w:val="single"/>
        </w:rPr>
        <w:t>                </w:t>
      </w:r>
      <w:r>
        <w:rPr/>
        <w:t xml:space="preserve">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1.</w:t>
            </w:r>
          </w:p>
        </w:tc>
        <w:tc>
          <w:tcPr>
            <w:tcW w:w="10002" w:type="dxa"/>
            <w:tcBorders/>
            <w:shd w:fill="auto" w:val="clear"/>
          </w:tcPr>
          <w:p>
            <w:pPr>
              <w:pStyle w:val="TableContents"/>
              <w:spacing w:before="0" w:after="0"/>
              <w:jc w:val="left"/>
              <w:rPr>
                <w:rFonts w:ascii="ARIAL" w:hAnsi="ARIAL"/>
                <w:sz w:val="13"/>
              </w:rPr>
            </w:pPr>
            <w:r>
              <w:rPr>
                <w:rFonts w:ascii="ARIAL" w:hAnsi="ARIAL"/>
                <w:sz w:val="13"/>
              </w:rPr>
              <w:t xml:space="preserve">Includes, but is not limited to, net unrealized holding gains (losses) on available-for-sale securities, accumulated net gains (losses) on cash flow hedges, and accumulated defined benefit pension and other postretirement plan adjustments.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2.</w:t>
            </w:r>
          </w:p>
        </w:tc>
        <w:tc>
          <w:tcPr>
            <w:tcW w:w="10002" w:type="dxa"/>
            <w:tcBorders/>
            <w:shd w:fill="auto" w:val="clear"/>
          </w:tcPr>
          <w:p>
            <w:pPr>
              <w:pStyle w:val="TableContents"/>
              <w:spacing w:before="0" w:after="0"/>
              <w:jc w:val="left"/>
              <w:rPr>
                <w:rFonts w:ascii="ARIAL" w:hAnsi="ARIAL"/>
                <w:sz w:val="13"/>
              </w:rPr>
            </w:pPr>
            <w:r>
              <w:rPr>
                <w:rFonts w:ascii="ARIAL" w:hAnsi="ARIAL"/>
                <w:sz w:val="13"/>
              </w:rPr>
              <w:t xml:space="preserve">Includes treasury stock and unearned Employee Stock Ownership Plan shares. </w:t>
            </w:r>
          </w:p>
        </w:tc>
      </w:tr>
    </w:tbl>
    <w:p>
      <w:pPr>
        <w:pStyle w:val="TextBody"/>
        <w:spacing w:before="0" w:after="0"/>
        <w:jc w:val="left"/>
        <w:rPr/>
      </w:pPr>
      <w:r>
        <w:rPr/>
        <w:t> </w:t>
      </w:r>
    </w:p>
    <w:p>
      <w:pPr>
        <w:pStyle w:val="TextBody"/>
        <w:spacing w:before="0" w:after="0"/>
        <w:jc w:val="right"/>
        <w:rPr>
          <w:rFonts w:ascii="Times New Roman" w:hAnsi="Times New Roman"/>
          <w:sz w:val="13"/>
        </w:rPr>
      </w:pPr>
      <w:r>
        <w:rPr>
          <w:rFonts w:ascii="Times New Roman" w:hAnsi="Times New Roman"/>
          <w:sz w:val="13"/>
        </w:rPr>
        <w:t xml:space="preserve">03/2018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773840/000093041307001888/c46982ex_4-1.htm" TargetMode="External"/><Relationship Id="rId7" Type="http://schemas.openxmlformats.org/officeDocument/2006/relationships/hyperlink" Target="http://www.sec.gov/Archives/edgar/data/773840/000093041313000910/c72709_ex4-2.htm" TargetMode="External"/><Relationship Id="rId8" Type="http://schemas.openxmlformats.org/officeDocument/2006/relationships/hyperlink" Target="http://www.sec.gov/Archives/edgar/data/773840/000093041318003111/c92183_ex12.htm" TargetMode="External"/><Relationship Id="rId9" Type="http://schemas.openxmlformats.org/officeDocument/2006/relationships/hyperlink" Target="http://www.sec.gov/Archives/edgar/data/773840/000093041318000292/c89913_ex24.htm" TargetMode="Externa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105</Pages>
  <Words>45603</Words>
  <CharactersWithSpaces>281181</CharactersWithSpaces>
  <Paragraphs>3466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EX-25.1</dc:title>
</cp:coreProperties>
</file>