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914.xml.htm"/>
      <w:bookmarkStart w:id="1" w:name="kswkform4_17833689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ANGOVE DUNCAN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HONEYWELL INTERNATIONAL INC</w:t>
              </w:r>
            </w:hyperlink>
            <w:r>
              <w:rPr/>
              <w:t xml:space="preserve"> [ </w:t>
            </w:r>
            <w:r>
              <w:rPr>
                <w:rFonts w:ascii="Times;serif" w:hAnsi="Times;serif"/>
                <w:color w:val="0000FF"/>
                <w:sz w:val="24"/>
                <w:shd w:fill="FFFFFF" w:val="clear"/>
              </w:rPr>
              <w:t>HON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3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921"/>
        <w:gridCol w:w="276"/>
        <w:gridCol w:w="906"/>
        <w:gridCol w:w="801"/>
        <w:gridCol w:w="891"/>
        <w:gridCol w:w="1041"/>
        <w:gridCol w:w="801"/>
        <w:gridCol w:w="966"/>
        <w:gridCol w:w="831"/>
        <w:gridCol w:w="846"/>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(Phantom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336.5822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336.5822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221.75</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9,790.338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Deferred Compensation (Phantom Shares) are allocated based on the price of Common Stock on the contribution date by dividing the dollar amount of the contribution by the price per share of Common Stock. Common Stock prices are based on the mean of the highest and lowest sales price on the last trading day before the contribution or settlement. Phantom Shares are settled in cash based on the price of Common Stock at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Phantom shares are accrued under the Deferred Compensation Plan for Non-Employee Directors and will be settled in cash based on elections by the Reporting Person as permitted under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Kent for Duncan Angove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5356" TargetMode="External"/><Relationship Id="rId5" Type="http://schemas.openxmlformats.org/officeDocument/2006/relationships/hyperlink" Target="http://www.sec.gov/cgi-bin/browse-edgar?action=getcompany&amp;CIK=0000773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3617</Characters>
  <CharactersWithSpaces>4225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