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2"/>
          <w:szCs w:val="22"/>
          <w:color w:val="auto"/>
        </w:rPr>
        <w:t>UNITED STATES</w:t>
      </w:r>
    </w:p>
    <w:p>
      <w:pPr>
        <w:spacing w:after="0" w:line="20"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SECURITIES AND EXCHANGE COMMISSION</w:t>
      </w:r>
    </w:p>
    <w:p>
      <w:pPr>
        <w:spacing w:after="0" w:line="4" w:lineRule="exact"/>
        <w:rPr>
          <w:sz w:val="24"/>
          <w:szCs w:val="24"/>
          <w:color w:val="auto"/>
        </w:rPr>
      </w:pPr>
    </w:p>
    <w:p>
      <w:pPr>
        <w:jc w:val="center"/>
        <w:spacing w:after="0"/>
        <w:rPr>
          <w:sz w:val="20"/>
          <w:szCs w:val="20"/>
          <w:color w:val="auto"/>
        </w:rPr>
      </w:pPr>
      <w:r>
        <w:rPr>
          <w:rFonts w:ascii="Arial" w:cs="Arial" w:eastAsia="Arial" w:hAnsi="Arial"/>
          <w:sz w:val="22"/>
          <w:szCs w:val="22"/>
          <w:color w:val="auto"/>
        </w:rPr>
        <w:t>WASHINGTON, D.C. 20549</w:t>
      </w:r>
    </w:p>
    <w:p>
      <w:pPr>
        <w:spacing w:after="0" w:line="200" w:lineRule="exact"/>
        <w:rPr>
          <w:sz w:val="24"/>
          <w:szCs w:val="24"/>
          <w:color w:val="auto"/>
        </w:rPr>
      </w:pPr>
    </w:p>
    <w:p>
      <w:pPr>
        <w:spacing w:after="0" w:line="223"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Form 8-K</w:t>
      </w:r>
    </w:p>
    <w:p>
      <w:pPr>
        <w:spacing w:after="0" w:line="22"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CURRENT REPORT</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7"/>
          <w:szCs w:val="17"/>
          <w:color w:val="auto"/>
        </w:rPr>
        <w:t>PURSUANT TO SECTION 13 OR 15(D) OF THE SECURITIES EXCHANGE ACT OF 1934</w:t>
      </w:r>
    </w:p>
    <w:p>
      <w:pPr>
        <w:spacing w:after="0" w:line="2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REPORT – May 19, 2023</w:t>
      </w:r>
    </w:p>
    <w:p>
      <w:pPr>
        <w:spacing w:after="0" w:line="9"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(Date of earliest event reported)</w:t>
      </w:r>
    </w:p>
    <w:p>
      <w:pPr>
        <w:spacing w:after="0" w:line="192" w:lineRule="exact"/>
        <w:rPr>
          <w:sz w:val="24"/>
          <w:szCs w:val="24"/>
          <w:color w:val="auto"/>
        </w:rPr>
      </w:pPr>
    </w:p>
    <w:p>
      <w:pPr>
        <w:jc w:val="center"/>
        <w:spacing w:after="0"/>
        <w:rPr>
          <w:sz w:val="20"/>
          <w:szCs w:val="20"/>
          <w:color w:val="auto"/>
        </w:rPr>
      </w:pPr>
      <w:r>
        <w:rPr>
          <w:rFonts w:ascii="Arial" w:cs="Arial" w:eastAsia="Arial" w:hAnsi="Arial"/>
          <w:sz w:val="36"/>
          <w:szCs w:val="36"/>
          <w:b w:val="1"/>
          <w:bCs w:val="1"/>
          <w:color w:val="auto"/>
        </w:rPr>
        <w:t>HONEYWELL INTERNATIONAL INC.</w:t>
      </w:r>
    </w:p>
    <w:p>
      <w:pPr>
        <w:spacing w:after="0" w:line="51"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ectPr>
          <w:pgSz w:w="11900" w:h="16838" w:orient="portrait"/>
          <w:cols w:equalWidth="0" w:num="1">
            <w:col w:w="11240"/>
          </w:cols>
          <w:pgMar w:left="320" w:top="1008" w:right="339" w:bottom="1440" w:gutter="0" w:footer="0" w:header="0"/>
        </w:sectPr>
      </w:pPr>
    </w:p>
    <w:p>
      <w:pPr>
        <w:spacing w:after="0" w:line="254" w:lineRule="exact"/>
        <w:rPr>
          <w:sz w:val="24"/>
          <w:szCs w:val="24"/>
          <w:color w:val="auto"/>
        </w:rPr>
      </w:pPr>
    </w:p>
    <w:p>
      <w:pPr>
        <w:ind w:left="1540"/>
        <w:spacing w:after="0"/>
        <w:rPr>
          <w:sz w:val="20"/>
          <w:szCs w:val="20"/>
          <w:color w:val="auto"/>
        </w:rPr>
      </w:pPr>
      <w:r>
        <w:rPr>
          <w:rFonts w:ascii="Arial" w:cs="Arial" w:eastAsia="Arial" w:hAnsi="Arial"/>
          <w:sz w:val="18"/>
          <w:szCs w:val="18"/>
          <w:color w:val="auto"/>
        </w:rPr>
        <w:t>Delaware</w:t>
      </w:r>
    </w:p>
    <w:p>
      <w:pPr>
        <w:spacing w:after="0" w:line="3" w:lineRule="exact"/>
        <w:rPr>
          <w:sz w:val="24"/>
          <w:szCs w:val="24"/>
          <w:color w:val="auto"/>
        </w:rPr>
      </w:pPr>
    </w:p>
    <w:p>
      <w:pPr>
        <w:ind w:left="800"/>
        <w:spacing w:after="0"/>
        <w:rPr>
          <w:sz w:val="20"/>
          <w:szCs w:val="20"/>
          <w:color w:val="auto"/>
        </w:rPr>
      </w:pPr>
      <w:r>
        <w:rPr>
          <w:rFonts w:ascii="Arial" w:cs="Arial" w:eastAsia="Arial" w:hAnsi="Arial"/>
          <w:sz w:val="18"/>
          <w:szCs w:val="18"/>
          <w:color w:val="auto"/>
        </w:rPr>
        <w:t>(State or other jurisdiction of</w:t>
      </w:r>
    </w:p>
    <w:p>
      <w:pPr>
        <w:ind w:left="1380"/>
        <w:spacing w:after="0"/>
        <w:rPr>
          <w:sz w:val="20"/>
          <w:szCs w:val="20"/>
          <w:color w:val="auto"/>
        </w:rPr>
      </w:pPr>
      <w:r>
        <w:rPr>
          <w:rFonts w:ascii="Arial" w:cs="Arial" w:eastAsia="Arial" w:hAnsi="Arial"/>
          <w:sz w:val="18"/>
          <w:szCs w:val="18"/>
          <w:color w:val="auto"/>
        </w:rPr>
        <w:t>incorporation)</w:t>
      </w:r>
    </w:p>
    <w:p>
      <w:pPr>
        <w:spacing w:after="0" w:line="20" w:lineRule="exact"/>
        <w:rPr>
          <w:sz w:val="24"/>
          <w:szCs w:val="24"/>
          <w:color w:val="auto"/>
        </w:rPr>
      </w:pPr>
      <w:r>
        <w:rPr>
          <w:sz w:val="24"/>
          <w:szCs w:val="24"/>
          <w:color w:val="auto"/>
        </w:rPr>
        <w:br w:type="column"/>
      </w:r>
    </w:p>
    <w:p>
      <w:pPr>
        <w:spacing w:after="0" w:line="234" w:lineRule="exact"/>
        <w:rPr>
          <w:sz w:val="24"/>
          <w:szCs w:val="24"/>
          <w:color w:val="auto"/>
        </w:rPr>
      </w:pPr>
    </w:p>
    <w:p>
      <w:pPr>
        <w:jc w:val="center"/>
        <w:ind w:right="700"/>
        <w:spacing w:after="0"/>
        <w:rPr>
          <w:sz w:val="20"/>
          <w:szCs w:val="20"/>
          <w:color w:val="auto"/>
        </w:rPr>
      </w:pPr>
      <w:r>
        <w:rPr>
          <w:rFonts w:ascii="Arial" w:cs="Arial" w:eastAsia="Arial" w:hAnsi="Arial"/>
          <w:sz w:val="18"/>
          <w:szCs w:val="18"/>
          <w:color w:val="auto"/>
        </w:rPr>
        <w:t>1-8974</w:t>
      </w:r>
    </w:p>
    <w:p>
      <w:pPr>
        <w:spacing w:after="0" w:line="23" w:lineRule="exact"/>
        <w:rPr>
          <w:sz w:val="24"/>
          <w:szCs w:val="24"/>
          <w:color w:val="auto"/>
        </w:rPr>
      </w:pPr>
    </w:p>
    <w:p>
      <w:pPr>
        <w:jc w:val="center"/>
        <w:ind w:right="700"/>
        <w:spacing w:after="0"/>
        <w:rPr>
          <w:sz w:val="20"/>
          <w:szCs w:val="20"/>
          <w:color w:val="auto"/>
        </w:rPr>
      </w:pPr>
      <w:r>
        <w:rPr>
          <w:rFonts w:ascii="Arial" w:cs="Arial" w:eastAsia="Arial" w:hAnsi="Arial"/>
          <w:sz w:val="17"/>
          <w:szCs w:val="17"/>
          <w:color w:val="auto"/>
        </w:rPr>
        <w:t>(Commission File Number)</w:t>
      </w:r>
    </w:p>
    <w:p>
      <w:pPr>
        <w:spacing w:after="0" w:line="20" w:lineRule="exact"/>
        <w:rPr>
          <w:sz w:val="24"/>
          <w:szCs w:val="24"/>
          <w:color w:val="auto"/>
        </w:rPr>
      </w:pPr>
      <w:r>
        <w:rPr>
          <w:sz w:val="24"/>
          <w:szCs w:val="24"/>
          <w:color w:val="auto"/>
        </w:rPr>
        <w:br w:type="column"/>
      </w:r>
    </w:p>
    <w:p>
      <w:pPr>
        <w:spacing w:after="0" w:line="234" w:lineRule="exact"/>
        <w:rPr>
          <w:sz w:val="24"/>
          <w:szCs w:val="24"/>
          <w:color w:val="auto"/>
        </w:rPr>
      </w:pPr>
    </w:p>
    <w:p>
      <w:pPr>
        <w:jc w:val="center"/>
        <w:ind w:right="680"/>
        <w:spacing w:after="0"/>
        <w:rPr>
          <w:sz w:val="20"/>
          <w:szCs w:val="20"/>
          <w:color w:val="auto"/>
        </w:rPr>
      </w:pPr>
      <w:r>
        <w:rPr>
          <w:rFonts w:ascii="Arial" w:cs="Arial" w:eastAsia="Arial" w:hAnsi="Arial"/>
          <w:sz w:val="18"/>
          <w:szCs w:val="18"/>
          <w:color w:val="auto"/>
        </w:rPr>
        <w:t>22-2640650</w:t>
      </w:r>
    </w:p>
    <w:p>
      <w:pPr>
        <w:spacing w:after="0" w:line="15" w:lineRule="exact"/>
        <w:rPr>
          <w:sz w:val="24"/>
          <w:szCs w:val="24"/>
          <w:color w:val="auto"/>
        </w:rPr>
      </w:pPr>
    </w:p>
    <w:p>
      <w:pPr>
        <w:jc w:val="center"/>
        <w:ind w:right="680"/>
        <w:spacing w:after="0"/>
        <w:rPr>
          <w:sz w:val="20"/>
          <w:szCs w:val="20"/>
          <w:color w:val="auto"/>
        </w:rPr>
      </w:pPr>
      <w:r>
        <w:rPr>
          <w:rFonts w:ascii="Arial" w:cs="Arial" w:eastAsia="Arial" w:hAnsi="Arial"/>
          <w:sz w:val="17"/>
          <w:szCs w:val="17"/>
          <w:color w:val="auto"/>
        </w:rPr>
        <w:t>(I.R.S. Employer Identification</w:t>
      </w:r>
    </w:p>
    <w:p>
      <w:pPr>
        <w:jc w:val="center"/>
        <w:ind w:right="680"/>
        <w:spacing w:after="0"/>
        <w:rPr>
          <w:sz w:val="20"/>
          <w:szCs w:val="20"/>
          <w:color w:val="auto"/>
        </w:rPr>
      </w:pPr>
      <w:r>
        <w:rPr>
          <w:rFonts w:ascii="Arial" w:cs="Arial" w:eastAsia="Arial" w:hAnsi="Arial"/>
          <w:sz w:val="18"/>
          <w:szCs w:val="18"/>
          <w:color w:val="auto"/>
        </w:rPr>
        <w:t>Number)</w:t>
      </w:r>
    </w:p>
    <w:p>
      <w:pPr>
        <w:spacing w:after="0" w:line="200" w:lineRule="exact"/>
        <w:rPr>
          <w:sz w:val="24"/>
          <w:szCs w:val="24"/>
          <w:color w:val="auto"/>
        </w:rPr>
      </w:pPr>
    </w:p>
    <w:p>
      <w:pPr>
        <w:sectPr>
          <w:pgSz w:w="11900" w:h="16838" w:orient="portrait"/>
          <w:cols w:equalWidth="0" w:num="3">
            <w:col w:w="3900" w:space="720"/>
            <w:col w:w="2840" w:space="720"/>
            <w:col w:w="3060"/>
          </w:cols>
          <w:pgMar w:left="320" w:top="1008" w:right="339" w:bottom="1440" w:gutter="0" w:footer="0" w:header="0"/>
          <w:type w:val="continuous"/>
        </w:sectPr>
      </w:pPr>
    </w:p>
    <w:p>
      <w:pPr>
        <w:spacing w:after="0" w:line="162" w:lineRule="exact"/>
        <w:rPr>
          <w:sz w:val="24"/>
          <w:szCs w:val="24"/>
          <w:color w:val="auto"/>
        </w:rPr>
      </w:pPr>
    </w:p>
    <w:p>
      <w:pPr>
        <w:jc w:val="center"/>
        <w:ind w:right="-19"/>
        <w:spacing w:after="0"/>
        <w:rPr>
          <w:sz w:val="20"/>
          <w:szCs w:val="20"/>
          <w:color w:val="auto"/>
        </w:rPr>
      </w:pPr>
      <w:r>
        <w:rPr>
          <w:rFonts w:ascii="Arial" w:cs="Arial" w:eastAsia="Arial" w:hAnsi="Arial"/>
          <w:sz w:val="18"/>
          <w:szCs w:val="18"/>
          <w:color w:val="auto"/>
        </w:rPr>
        <w:t>855 S. MINT STREET, CHARLOTTE, NC</w:t>
      </w:r>
      <w:r>
        <w:rPr>
          <w:rFonts w:ascii="Arial" w:cs="Arial" w:eastAsia="Arial" w:hAnsi="Arial"/>
          <w:sz w:val="18"/>
          <w:szCs w:val="18"/>
          <w:color w:val="FFFFFF"/>
        </w:rPr>
        <w:t>..................................................</w:t>
      </w:r>
      <w:r>
        <w:rPr>
          <w:rFonts w:ascii="Arial" w:cs="Arial" w:eastAsia="Arial" w:hAnsi="Arial"/>
          <w:sz w:val="18"/>
          <w:szCs w:val="18"/>
          <w:color w:val="auto"/>
        </w:rPr>
        <w:t>28202</w:t>
      </w:r>
    </w:p>
    <w:p>
      <w:pPr>
        <w:spacing w:after="0" w:line="21" w:lineRule="exact"/>
        <w:rPr>
          <w:sz w:val="24"/>
          <w:szCs w:val="24"/>
          <w:color w:val="auto"/>
        </w:rPr>
      </w:pPr>
    </w:p>
    <w:p>
      <w:pPr>
        <w:jc w:val="center"/>
        <w:ind w:right="-19"/>
        <w:spacing w:after="0"/>
        <w:rPr>
          <w:sz w:val="20"/>
          <w:szCs w:val="20"/>
          <w:color w:val="auto"/>
        </w:rPr>
      </w:pPr>
      <w:r>
        <w:rPr>
          <w:rFonts w:ascii="Arial" w:cs="Arial" w:eastAsia="Arial" w:hAnsi="Arial"/>
          <w:sz w:val="17"/>
          <w:szCs w:val="17"/>
          <w:color w:val="FFFFFF"/>
        </w:rPr>
        <w:t>............</w:t>
      </w:r>
      <w:r>
        <w:rPr>
          <w:rFonts w:ascii="Arial" w:cs="Arial" w:eastAsia="Arial" w:hAnsi="Arial"/>
          <w:sz w:val="17"/>
          <w:szCs w:val="17"/>
          <w:color w:val="000000"/>
        </w:rPr>
        <w:t>(Address of principal executive offices)</w:t>
      </w:r>
      <w:r>
        <w:rPr>
          <w:rFonts w:ascii="Arial" w:cs="Arial" w:eastAsia="Arial" w:hAnsi="Arial"/>
          <w:sz w:val="17"/>
          <w:szCs w:val="17"/>
          <w:color w:val="FFFFFF"/>
        </w:rPr>
        <w:t>......................................................</w:t>
      </w:r>
      <w:r>
        <w:rPr>
          <w:rFonts w:ascii="Arial" w:cs="Arial" w:eastAsia="Arial" w:hAnsi="Arial"/>
          <w:sz w:val="17"/>
          <w:szCs w:val="17"/>
          <w:color w:val="000000"/>
        </w:rPr>
        <w:t>(Zip Code)</w:t>
      </w:r>
    </w:p>
    <w:p>
      <w:pPr>
        <w:sectPr>
          <w:pgSz w:w="11900" w:h="16838" w:orient="portrait"/>
          <w:cols w:equalWidth="0" w:num="1">
            <w:col w:w="11240"/>
          </w:cols>
          <w:pgMar w:left="320" w:top="1008" w:right="339" w:bottom="1440" w:gutter="0" w:footer="0" w:header="0"/>
          <w:type w:val="continuous"/>
        </w:sectPr>
      </w:pPr>
    </w:p>
    <w:p>
      <w:pPr>
        <w:spacing w:after="0" w:line="252" w:lineRule="exact"/>
        <w:rPr>
          <w:sz w:val="24"/>
          <w:szCs w:val="24"/>
          <w:color w:val="auto"/>
        </w:rPr>
      </w:pPr>
    </w:p>
    <w:p>
      <w:pPr>
        <w:jc w:val="center"/>
        <w:ind w:right="-59"/>
        <w:spacing w:after="0"/>
        <w:rPr>
          <w:sz w:val="20"/>
          <w:szCs w:val="20"/>
          <w:color w:val="auto"/>
        </w:rPr>
      </w:pPr>
      <w:r>
        <w:rPr>
          <w:rFonts w:ascii="Arial" w:cs="Arial" w:eastAsia="Arial" w:hAnsi="Arial"/>
          <w:sz w:val="18"/>
          <w:szCs w:val="18"/>
          <w:color w:val="auto"/>
        </w:rPr>
        <w:t>Registrant’s telephone number, including area code: (704) 627-6200</w:t>
      </w:r>
    </w:p>
    <w:p>
      <w:pPr>
        <w:spacing w:after="0" w:line="252" w:lineRule="exact"/>
        <w:rPr>
          <w:sz w:val="24"/>
          <w:szCs w:val="24"/>
          <w:color w:val="auto"/>
        </w:rPr>
      </w:pPr>
    </w:p>
    <w:p>
      <w:pPr>
        <w:ind w:right="140"/>
        <w:spacing w:after="0" w:line="25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29" w:lineRule="exact"/>
        <w:rPr>
          <w:sz w:val="24"/>
          <w:szCs w:val="24"/>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34"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22"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36" w:lineRule="exact"/>
        <w:rPr>
          <w:rFonts w:ascii="MS PGothic" w:cs="MS PGothic" w:eastAsia="MS PGothic" w:hAnsi="MS PGothic"/>
          <w:sz w:val="18"/>
          <w:szCs w:val="18"/>
          <w:color w:val="auto"/>
        </w:rPr>
      </w:pPr>
    </w:p>
    <w:p>
      <w:pPr>
        <w:ind w:left="460" w:hanging="434"/>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335" w:lineRule="exact"/>
        <w:rPr>
          <w:sz w:val="24"/>
          <w:szCs w:val="24"/>
          <w:color w:val="auto"/>
        </w:rPr>
      </w:pPr>
    </w:p>
    <w:tbl>
      <w:tblPr>
        <w:tblLayout w:type="fixed"/>
        <w:tblInd w:w="0" w:type="dxa"/>
        <w:tblCellMar>
          <w:top w:w="0" w:type="dxa"/>
          <w:left w:w="0" w:type="dxa"/>
          <w:bottom w:w="0" w:type="dxa"/>
          <w:right w:w="0" w:type="dxa"/>
        </w:tblCellMar>
      </w:tblPr>
      <w:tr>
        <w:trPr>
          <w:trHeight w:val="229"/>
        </w:trPr>
        <w:tc>
          <w:tcPr>
            <w:tcW w:w="4660" w:type="dxa"/>
            <w:vAlign w:val="bottom"/>
            <w:gridSpan w:val="3"/>
          </w:tcPr>
          <w:p>
            <w:pPr>
              <w:spacing w:after="0"/>
              <w:rPr>
                <w:sz w:val="20"/>
                <w:szCs w:val="20"/>
                <w:color w:val="auto"/>
              </w:rPr>
            </w:pPr>
            <w:r>
              <w:rPr>
                <w:rFonts w:ascii="Arial" w:cs="Arial" w:eastAsia="Arial" w:hAnsi="Arial"/>
                <w:sz w:val="18"/>
                <w:szCs w:val="18"/>
                <w:color w:val="auto"/>
              </w:rPr>
              <w:t>Securities registered pursuant to Section 12(b) of the Act:</w:t>
            </w:r>
          </w:p>
        </w:tc>
        <w:tc>
          <w:tcPr>
            <w:tcW w:w="1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3"/>
        </w:trPr>
        <w:tc>
          <w:tcPr>
            <w:tcW w:w="4360" w:type="dxa"/>
            <w:vAlign w:val="bottom"/>
            <w:vMerge w:val="restart"/>
          </w:tcPr>
          <w:p>
            <w:pPr>
              <w:jc w:val="center"/>
              <w:spacing w:after="0"/>
              <w:rPr>
                <w:sz w:val="20"/>
                <w:szCs w:val="20"/>
                <w:color w:val="auto"/>
              </w:rPr>
            </w:pPr>
            <w:r>
              <w:rPr>
                <w:rFonts w:ascii="Arial" w:cs="Arial" w:eastAsia="Arial" w:hAnsi="Arial"/>
                <w:sz w:val="18"/>
                <w:szCs w:val="18"/>
                <w:color w:val="auto"/>
                <w:w w:val="99"/>
              </w:rPr>
              <w:t>Title of each class</w:t>
            </w:r>
          </w:p>
        </w:tc>
        <w:tc>
          <w:tcPr>
            <w:tcW w:w="120" w:type="dxa"/>
            <w:vAlign w:val="bottom"/>
            <w:vMerge w:val="restart"/>
          </w:tcPr>
          <w:p>
            <w:pPr>
              <w:spacing w:after="0"/>
              <w:rPr>
                <w:sz w:val="17"/>
                <w:szCs w:val="17"/>
                <w:color w:val="auto"/>
              </w:rPr>
            </w:pPr>
          </w:p>
        </w:tc>
        <w:tc>
          <w:tcPr>
            <w:tcW w:w="180" w:type="dxa"/>
            <w:vAlign w:val="bottom"/>
            <w:vMerge w:val="restart"/>
          </w:tcPr>
          <w:p>
            <w:pPr>
              <w:spacing w:after="0"/>
              <w:rPr>
                <w:sz w:val="17"/>
                <w:szCs w:val="17"/>
                <w:color w:val="auto"/>
              </w:rPr>
            </w:pPr>
          </w:p>
        </w:tc>
        <w:tc>
          <w:tcPr>
            <w:tcW w:w="1200" w:type="dxa"/>
            <w:vAlign w:val="bottom"/>
          </w:tcPr>
          <w:p>
            <w:pPr>
              <w:jc w:val="center"/>
              <w:ind w:right="110"/>
              <w:spacing w:after="0" w:line="203" w:lineRule="exact"/>
              <w:rPr>
                <w:sz w:val="20"/>
                <w:szCs w:val="20"/>
                <w:color w:val="auto"/>
              </w:rPr>
            </w:pPr>
            <w:r>
              <w:rPr>
                <w:rFonts w:ascii="Arial" w:cs="Arial" w:eastAsia="Arial" w:hAnsi="Arial"/>
                <w:sz w:val="18"/>
                <w:szCs w:val="18"/>
                <w:color w:val="auto"/>
                <w:w w:val="98"/>
              </w:rPr>
              <w:t>Trading</w:t>
            </w:r>
          </w:p>
        </w:tc>
        <w:tc>
          <w:tcPr>
            <w:tcW w:w="100" w:type="dxa"/>
            <w:vAlign w:val="bottom"/>
          </w:tcPr>
          <w:p>
            <w:pPr>
              <w:spacing w:after="0"/>
              <w:rPr>
                <w:sz w:val="17"/>
                <w:szCs w:val="17"/>
                <w:color w:val="auto"/>
              </w:rPr>
            </w:pPr>
          </w:p>
        </w:tc>
        <w:tc>
          <w:tcPr>
            <w:tcW w:w="5260" w:type="dxa"/>
            <w:vAlign w:val="bottom"/>
            <w:vMerge w:val="restart"/>
          </w:tcPr>
          <w:p>
            <w:pPr>
              <w:jc w:val="center"/>
              <w:spacing w:after="0"/>
              <w:rPr>
                <w:sz w:val="20"/>
                <w:szCs w:val="20"/>
                <w:color w:val="auto"/>
              </w:rPr>
            </w:pPr>
            <w:r>
              <w:rPr>
                <w:rFonts w:ascii="Arial" w:cs="Arial" w:eastAsia="Arial" w:hAnsi="Arial"/>
                <w:sz w:val="18"/>
                <w:szCs w:val="18"/>
                <w:color w:val="auto"/>
                <w:w w:val="99"/>
              </w:rPr>
              <w:t>Name of each exchange on which registered</w:t>
            </w:r>
          </w:p>
        </w:tc>
        <w:tc>
          <w:tcPr>
            <w:tcW w:w="0" w:type="dxa"/>
            <w:vAlign w:val="bottom"/>
          </w:tcPr>
          <w:p>
            <w:pPr>
              <w:spacing w:after="0"/>
              <w:rPr>
                <w:sz w:val="1"/>
                <w:szCs w:val="1"/>
                <w:color w:val="auto"/>
              </w:rPr>
            </w:pPr>
          </w:p>
        </w:tc>
      </w:tr>
      <w:tr>
        <w:trPr>
          <w:trHeight w:val="229"/>
        </w:trPr>
        <w:tc>
          <w:tcPr>
            <w:tcW w:w="4360" w:type="dxa"/>
            <w:vAlign w:val="bottom"/>
            <w:tcBorders>
              <w:bottom w:val="single" w:sz="8" w:color="auto"/>
            </w:tcBorders>
            <w:vMerge w:val="continue"/>
          </w:tcPr>
          <w:p>
            <w:pPr>
              <w:spacing w:after="0"/>
              <w:rPr>
                <w:sz w:val="19"/>
                <w:szCs w:val="19"/>
                <w:color w:val="auto"/>
              </w:rPr>
            </w:pPr>
          </w:p>
        </w:tc>
        <w:tc>
          <w:tcPr>
            <w:tcW w:w="120" w:type="dxa"/>
            <w:vAlign w:val="bottom"/>
            <w:vMerge w:val="continue"/>
          </w:tcPr>
          <w:p>
            <w:pPr>
              <w:spacing w:after="0"/>
              <w:rPr>
                <w:sz w:val="19"/>
                <w:szCs w:val="19"/>
                <w:color w:val="auto"/>
              </w:rPr>
            </w:pPr>
          </w:p>
        </w:tc>
        <w:tc>
          <w:tcPr>
            <w:tcW w:w="180" w:type="dxa"/>
            <w:vAlign w:val="bottom"/>
            <w:tcBorders>
              <w:bottom w:val="single" w:sz="8" w:color="auto"/>
            </w:tcBorders>
            <w:vMerge w:val="continue"/>
          </w:tcPr>
          <w:p>
            <w:pPr>
              <w:spacing w:after="0"/>
              <w:rPr>
                <w:sz w:val="19"/>
                <w:szCs w:val="19"/>
                <w:color w:val="auto"/>
              </w:rPr>
            </w:pPr>
          </w:p>
        </w:tc>
        <w:tc>
          <w:tcPr>
            <w:tcW w:w="1200" w:type="dxa"/>
            <w:vAlign w:val="bottom"/>
            <w:tcBorders>
              <w:bottom w:val="single" w:sz="8" w:color="auto"/>
            </w:tcBorders>
          </w:tcPr>
          <w:p>
            <w:pPr>
              <w:jc w:val="center"/>
              <w:ind w:right="110"/>
              <w:spacing w:after="0"/>
              <w:rPr>
                <w:sz w:val="20"/>
                <w:szCs w:val="20"/>
                <w:color w:val="auto"/>
              </w:rPr>
            </w:pPr>
            <w:r>
              <w:rPr>
                <w:rFonts w:ascii="Arial" w:cs="Arial" w:eastAsia="Arial" w:hAnsi="Arial"/>
                <w:sz w:val="18"/>
                <w:szCs w:val="18"/>
                <w:color w:val="auto"/>
                <w:w w:val="98"/>
              </w:rPr>
              <w:t>Symbol(s)</w:t>
            </w:r>
          </w:p>
        </w:tc>
        <w:tc>
          <w:tcPr>
            <w:tcW w:w="100" w:type="dxa"/>
            <w:vAlign w:val="bottom"/>
          </w:tcPr>
          <w:p>
            <w:pPr>
              <w:spacing w:after="0"/>
              <w:rPr>
                <w:sz w:val="19"/>
                <w:szCs w:val="19"/>
                <w:color w:val="auto"/>
              </w:rPr>
            </w:pPr>
          </w:p>
        </w:tc>
        <w:tc>
          <w:tcPr>
            <w:tcW w:w="5260" w:type="dxa"/>
            <w:vAlign w:val="bottom"/>
            <w:tcBorders>
              <w:bottom w:val="single" w:sz="8" w:color="auto"/>
            </w:tcBorders>
            <w:vMerge w:val="continue"/>
          </w:tcPr>
          <w:p>
            <w:pPr>
              <w:spacing w:after="0"/>
              <w:rPr>
                <w:sz w:val="19"/>
                <w:szCs w:val="19"/>
                <w:color w:val="auto"/>
              </w:rPr>
            </w:pPr>
          </w:p>
        </w:tc>
        <w:tc>
          <w:tcPr>
            <w:tcW w:w="0" w:type="dxa"/>
            <w:vAlign w:val="bottom"/>
          </w:tcPr>
          <w:p>
            <w:pPr>
              <w:spacing w:after="0"/>
              <w:rPr>
                <w:sz w:val="1"/>
                <w:szCs w:val="1"/>
                <w:color w:val="auto"/>
              </w:rPr>
            </w:pPr>
          </w:p>
        </w:tc>
      </w:tr>
      <w:tr>
        <w:trPr>
          <w:trHeight w:val="223"/>
        </w:trPr>
        <w:tc>
          <w:tcPr>
            <w:tcW w:w="4660" w:type="dxa"/>
            <w:vAlign w:val="bottom"/>
            <w:gridSpan w:val="3"/>
          </w:tcPr>
          <w:p>
            <w:pPr>
              <w:jc w:val="center"/>
              <w:ind w:right="300"/>
              <w:spacing w:after="0"/>
              <w:rPr>
                <w:sz w:val="20"/>
                <w:szCs w:val="20"/>
                <w:color w:val="auto"/>
              </w:rPr>
            </w:pPr>
            <w:r>
              <w:rPr>
                <w:rFonts w:ascii="Arial" w:cs="Arial" w:eastAsia="Arial" w:hAnsi="Arial"/>
                <w:sz w:val="18"/>
                <w:szCs w:val="18"/>
                <w:color w:val="auto"/>
                <w:w w:val="99"/>
              </w:rPr>
              <w:t>Common Stock, par value $1 per share</w:t>
            </w:r>
          </w:p>
        </w:tc>
        <w:tc>
          <w:tcPr>
            <w:tcW w:w="1200" w:type="dxa"/>
            <w:vAlign w:val="bottom"/>
          </w:tcPr>
          <w:p>
            <w:pPr>
              <w:jc w:val="center"/>
              <w:ind w:right="110"/>
              <w:spacing w:after="0"/>
              <w:rPr>
                <w:sz w:val="20"/>
                <w:szCs w:val="20"/>
                <w:color w:val="auto"/>
              </w:rPr>
            </w:pPr>
            <w:r>
              <w:rPr>
                <w:rFonts w:ascii="Arial" w:cs="Arial" w:eastAsia="Arial" w:hAnsi="Arial"/>
                <w:sz w:val="18"/>
                <w:szCs w:val="18"/>
                <w:color w:val="auto"/>
                <w:w w:val="99"/>
              </w:rPr>
              <w:t>HON</w:t>
            </w:r>
          </w:p>
        </w:tc>
        <w:tc>
          <w:tcPr>
            <w:tcW w:w="100" w:type="dxa"/>
            <w:vAlign w:val="bottom"/>
          </w:tcPr>
          <w:p>
            <w:pPr>
              <w:spacing w:after="0"/>
              <w:rPr>
                <w:sz w:val="19"/>
                <w:szCs w:val="19"/>
                <w:color w:val="auto"/>
              </w:rPr>
            </w:pPr>
          </w:p>
        </w:tc>
        <w:tc>
          <w:tcPr>
            <w:tcW w:w="5260" w:type="dxa"/>
            <w:vAlign w:val="bottom"/>
          </w:tcPr>
          <w:p>
            <w:pPr>
              <w:jc w:val="center"/>
              <w:spacing w:after="0"/>
              <w:rPr>
                <w:sz w:val="20"/>
                <w:szCs w:val="20"/>
                <w:color w:val="auto"/>
              </w:rPr>
            </w:pPr>
            <w:r>
              <w:rPr>
                <w:rFonts w:ascii="Arial" w:cs="Arial" w:eastAsia="Arial" w:hAnsi="Arial"/>
                <w:sz w:val="18"/>
                <w:szCs w:val="18"/>
                <w:color w:val="auto"/>
                <w:w w:val="99"/>
              </w:rPr>
              <w:t>The Nasdaq Stock Market LLC</w:t>
            </w:r>
          </w:p>
        </w:tc>
        <w:tc>
          <w:tcPr>
            <w:tcW w:w="0" w:type="dxa"/>
            <w:vAlign w:val="bottom"/>
          </w:tcPr>
          <w:p>
            <w:pPr>
              <w:spacing w:after="0"/>
              <w:rPr>
                <w:sz w:val="1"/>
                <w:szCs w:val="1"/>
                <w:color w:val="auto"/>
              </w:rPr>
            </w:pPr>
          </w:p>
        </w:tc>
      </w:tr>
      <w:tr>
        <w:trPr>
          <w:trHeight w:val="243"/>
        </w:trPr>
        <w:tc>
          <w:tcPr>
            <w:tcW w:w="4660" w:type="dxa"/>
            <w:vAlign w:val="bottom"/>
            <w:gridSpan w:val="3"/>
          </w:tcPr>
          <w:p>
            <w:pPr>
              <w:jc w:val="center"/>
              <w:ind w:right="280"/>
              <w:spacing w:after="0"/>
              <w:rPr>
                <w:sz w:val="20"/>
                <w:szCs w:val="20"/>
                <w:color w:val="auto"/>
              </w:rPr>
            </w:pPr>
            <w:r>
              <w:rPr>
                <w:rFonts w:ascii="Arial" w:cs="Arial" w:eastAsia="Arial" w:hAnsi="Arial"/>
                <w:sz w:val="18"/>
                <w:szCs w:val="18"/>
                <w:color w:val="auto"/>
                <w:w w:val="99"/>
              </w:rPr>
              <w:t>0.000% Senior Notes due 2024</w:t>
            </w:r>
          </w:p>
        </w:tc>
        <w:tc>
          <w:tcPr>
            <w:tcW w:w="1200" w:type="dxa"/>
            <w:vAlign w:val="bottom"/>
          </w:tcPr>
          <w:p>
            <w:pPr>
              <w:jc w:val="center"/>
              <w:ind w:right="110"/>
              <w:spacing w:after="0"/>
              <w:rPr>
                <w:sz w:val="20"/>
                <w:szCs w:val="20"/>
                <w:color w:val="auto"/>
              </w:rPr>
            </w:pPr>
            <w:r>
              <w:rPr>
                <w:rFonts w:ascii="Arial" w:cs="Arial" w:eastAsia="Arial" w:hAnsi="Arial"/>
                <w:sz w:val="18"/>
                <w:szCs w:val="18"/>
                <w:color w:val="auto"/>
                <w:w w:val="98"/>
              </w:rPr>
              <w:t>HON 24A</w:t>
            </w:r>
          </w:p>
        </w:tc>
        <w:tc>
          <w:tcPr>
            <w:tcW w:w="100" w:type="dxa"/>
            <w:vAlign w:val="bottom"/>
          </w:tcPr>
          <w:p>
            <w:pPr>
              <w:spacing w:after="0"/>
              <w:rPr>
                <w:sz w:val="21"/>
                <w:szCs w:val="21"/>
                <w:color w:val="auto"/>
              </w:rPr>
            </w:pPr>
          </w:p>
        </w:tc>
        <w:tc>
          <w:tcPr>
            <w:tcW w:w="5260" w:type="dxa"/>
            <w:vAlign w:val="bottom"/>
          </w:tcPr>
          <w:p>
            <w:pPr>
              <w:jc w:val="center"/>
              <w:spacing w:after="0"/>
              <w:rPr>
                <w:sz w:val="20"/>
                <w:szCs w:val="20"/>
                <w:color w:val="auto"/>
              </w:rPr>
            </w:pPr>
            <w:r>
              <w:rPr>
                <w:rFonts w:ascii="Arial" w:cs="Arial" w:eastAsia="Arial" w:hAnsi="Arial"/>
                <w:sz w:val="18"/>
                <w:szCs w:val="18"/>
                <w:color w:val="auto"/>
                <w:w w:val="99"/>
              </w:rPr>
              <w:t>The Nasdaq Stock Market LLC</w:t>
            </w:r>
          </w:p>
        </w:tc>
        <w:tc>
          <w:tcPr>
            <w:tcW w:w="0" w:type="dxa"/>
            <w:vAlign w:val="bottom"/>
          </w:tcPr>
          <w:p>
            <w:pPr>
              <w:spacing w:after="0"/>
              <w:rPr>
                <w:sz w:val="1"/>
                <w:szCs w:val="1"/>
                <w:color w:val="auto"/>
              </w:rPr>
            </w:pPr>
          </w:p>
        </w:tc>
      </w:tr>
      <w:tr>
        <w:trPr>
          <w:trHeight w:val="230"/>
        </w:trPr>
        <w:tc>
          <w:tcPr>
            <w:tcW w:w="4660" w:type="dxa"/>
            <w:vAlign w:val="bottom"/>
            <w:gridSpan w:val="3"/>
          </w:tcPr>
          <w:p>
            <w:pPr>
              <w:jc w:val="center"/>
              <w:ind w:right="280"/>
              <w:spacing w:after="0"/>
              <w:rPr>
                <w:sz w:val="20"/>
                <w:szCs w:val="20"/>
                <w:color w:val="auto"/>
              </w:rPr>
            </w:pPr>
            <w:r>
              <w:rPr>
                <w:rFonts w:ascii="Arial" w:cs="Arial" w:eastAsia="Arial" w:hAnsi="Arial"/>
                <w:sz w:val="18"/>
                <w:szCs w:val="18"/>
                <w:color w:val="auto"/>
                <w:w w:val="99"/>
              </w:rPr>
              <w:t>2.250% Senior Notes due 2028</w:t>
            </w:r>
          </w:p>
        </w:tc>
        <w:tc>
          <w:tcPr>
            <w:tcW w:w="1200" w:type="dxa"/>
            <w:vAlign w:val="bottom"/>
          </w:tcPr>
          <w:p>
            <w:pPr>
              <w:jc w:val="center"/>
              <w:ind w:right="110"/>
              <w:spacing w:after="0"/>
              <w:rPr>
                <w:sz w:val="20"/>
                <w:szCs w:val="20"/>
                <w:color w:val="auto"/>
              </w:rPr>
            </w:pPr>
            <w:r>
              <w:rPr>
                <w:rFonts w:ascii="Arial" w:cs="Arial" w:eastAsia="Arial" w:hAnsi="Arial"/>
                <w:sz w:val="18"/>
                <w:szCs w:val="18"/>
                <w:color w:val="auto"/>
                <w:w w:val="98"/>
              </w:rPr>
              <w:t>HON 28A</w:t>
            </w:r>
          </w:p>
        </w:tc>
        <w:tc>
          <w:tcPr>
            <w:tcW w:w="100" w:type="dxa"/>
            <w:vAlign w:val="bottom"/>
          </w:tcPr>
          <w:p>
            <w:pPr>
              <w:spacing w:after="0"/>
              <w:rPr>
                <w:sz w:val="19"/>
                <w:szCs w:val="19"/>
                <w:color w:val="auto"/>
              </w:rPr>
            </w:pPr>
          </w:p>
        </w:tc>
        <w:tc>
          <w:tcPr>
            <w:tcW w:w="5260" w:type="dxa"/>
            <w:vAlign w:val="bottom"/>
          </w:tcPr>
          <w:p>
            <w:pPr>
              <w:jc w:val="center"/>
              <w:spacing w:after="0"/>
              <w:rPr>
                <w:sz w:val="20"/>
                <w:szCs w:val="20"/>
                <w:color w:val="auto"/>
              </w:rPr>
            </w:pPr>
            <w:r>
              <w:rPr>
                <w:rFonts w:ascii="Arial" w:cs="Arial" w:eastAsia="Arial" w:hAnsi="Arial"/>
                <w:sz w:val="18"/>
                <w:szCs w:val="18"/>
                <w:color w:val="auto"/>
                <w:w w:val="99"/>
              </w:rPr>
              <w:t>The Nasdaq Stock Market LLC</w:t>
            </w:r>
          </w:p>
        </w:tc>
        <w:tc>
          <w:tcPr>
            <w:tcW w:w="0" w:type="dxa"/>
            <w:vAlign w:val="bottom"/>
          </w:tcPr>
          <w:p>
            <w:pPr>
              <w:spacing w:after="0"/>
              <w:rPr>
                <w:sz w:val="1"/>
                <w:szCs w:val="1"/>
                <w:color w:val="auto"/>
              </w:rPr>
            </w:pPr>
          </w:p>
        </w:tc>
      </w:tr>
      <w:tr>
        <w:trPr>
          <w:trHeight w:val="229"/>
        </w:trPr>
        <w:tc>
          <w:tcPr>
            <w:tcW w:w="4660" w:type="dxa"/>
            <w:vAlign w:val="bottom"/>
            <w:gridSpan w:val="3"/>
          </w:tcPr>
          <w:p>
            <w:pPr>
              <w:jc w:val="center"/>
              <w:ind w:right="280"/>
              <w:spacing w:after="0"/>
              <w:rPr>
                <w:sz w:val="20"/>
                <w:szCs w:val="20"/>
                <w:color w:val="auto"/>
              </w:rPr>
            </w:pPr>
            <w:r>
              <w:rPr>
                <w:rFonts w:ascii="Arial" w:cs="Arial" w:eastAsia="Arial" w:hAnsi="Arial"/>
                <w:sz w:val="18"/>
                <w:szCs w:val="18"/>
                <w:color w:val="auto"/>
                <w:w w:val="99"/>
              </w:rPr>
              <w:t>0.750% Senior Notes due 2032</w:t>
            </w:r>
          </w:p>
        </w:tc>
        <w:tc>
          <w:tcPr>
            <w:tcW w:w="1200" w:type="dxa"/>
            <w:vAlign w:val="bottom"/>
          </w:tcPr>
          <w:p>
            <w:pPr>
              <w:jc w:val="center"/>
              <w:ind w:right="110"/>
              <w:spacing w:after="0"/>
              <w:rPr>
                <w:sz w:val="20"/>
                <w:szCs w:val="20"/>
                <w:color w:val="auto"/>
              </w:rPr>
            </w:pPr>
            <w:r>
              <w:rPr>
                <w:rFonts w:ascii="Arial" w:cs="Arial" w:eastAsia="Arial" w:hAnsi="Arial"/>
                <w:sz w:val="18"/>
                <w:szCs w:val="18"/>
                <w:color w:val="auto"/>
                <w:w w:val="98"/>
              </w:rPr>
              <w:t>HON 32</w:t>
            </w:r>
          </w:p>
        </w:tc>
        <w:tc>
          <w:tcPr>
            <w:tcW w:w="100" w:type="dxa"/>
            <w:vAlign w:val="bottom"/>
          </w:tcPr>
          <w:p>
            <w:pPr>
              <w:spacing w:after="0"/>
              <w:rPr>
                <w:sz w:val="19"/>
                <w:szCs w:val="19"/>
                <w:color w:val="auto"/>
              </w:rPr>
            </w:pPr>
          </w:p>
        </w:tc>
        <w:tc>
          <w:tcPr>
            <w:tcW w:w="5260" w:type="dxa"/>
            <w:vAlign w:val="bottom"/>
          </w:tcPr>
          <w:p>
            <w:pPr>
              <w:jc w:val="center"/>
              <w:spacing w:after="0"/>
              <w:rPr>
                <w:sz w:val="20"/>
                <w:szCs w:val="20"/>
                <w:color w:val="auto"/>
              </w:rPr>
            </w:pPr>
            <w:r>
              <w:rPr>
                <w:rFonts w:ascii="Arial" w:cs="Arial" w:eastAsia="Arial" w:hAnsi="Arial"/>
                <w:sz w:val="18"/>
                <w:szCs w:val="18"/>
                <w:color w:val="auto"/>
                <w:w w:val="99"/>
              </w:rPr>
              <w:t>The Nasdaq Stock Market LLC</w:t>
            </w:r>
          </w:p>
        </w:tc>
        <w:tc>
          <w:tcPr>
            <w:tcW w:w="0" w:type="dxa"/>
            <w:vAlign w:val="bottom"/>
          </w:tcPr>
          <w:p>
            <w:pPr>
              <w:spacing w:after="0"/>
              <w:rPr>
                <w:sz w:val="1"/>
                <w:szCs w:val="1"/>
                <w:color w:val="auto"/>
              </w:rPr>
            </w:pPr>
          </w:p>
        </w:tc>
      </w:tr>
      <w:tr>
        <w:trPr>
          <w:trHeight w:val="243"/>
        </w:trPr>
        <w:tc>
          <w:tcPr>
            <w:tcW w:w="4660" w:type="dxa"/>
            <w:vAlign w:val="bottom"/>
            <w:gridSpan w:val="3"/>
          </w:tcPr>
          <w:p>
            <w:pPr>
              <w:jc w:val="center"/>
              <w:ind w:right="280"/>
              <w:spacing w:after="0"/>
              <w:rPr>
                <w:sz w:val="20"/>
                <w:szCs w:val="20"/>
                <w:color w:val="auto"/>
              </w:rPr>
            </w:pPr>
            <w:r>
              <w:rPr>
                <w:rFonts w:ascii="Arial" w:cs="Arial" w:eastAsia="Arial" w:hAnsi="Arial"/>
                <w:sz w:val="18"/>
                <w:szCs w:val="18"/>
                <w:color w:val="auto"/>
                <w:w w:val="99"/>
              </w:rPr>
              <w:t>4.125% Senior Notes due 2034</w:t>
            </w:r>
          </w:p>
        </w:tc>
        <w:tc>
          <w:tcPr>
            <w:tcW w:w="1200" w:type="dxa"/>
            <w:vAlign w:val="bottom"/>
          </w:tcPr>
          <w:p>
            <w:pPr>
              <w:jc w:val="center"/>
              <w:ind w:right="110"/>
              <w:spacing w:after="0"/>
              <w:rPr>
                <w:sz w:val="20"/>
                <w:szCs w:val="20"/>
                <w:color w:val="auto"/>
              </w:rPr>
            </w:pPr>
            <w:r>
              <w:rPr>
                <w:rFonts w:ascii="Arial" w:cs="Arial" w:eastAsia="Arial" w:hAnsi="Arial"/>
                <w:sz w:val="18"/>
                <w:szCs w:val="18"/>
                <w:color w:val="auto"/>
                <w:w w:val="98"/>
              </w:rPr>
              <w:t>HON 34</w:t>
            </w:r>
          </w:p>
        </w:tc>
        <w:tc>
          <w:tcPr>
            <w:tcW w:w="100" w:type="dxa"/>
            <w:vAlign w:val="bottom"/>
          </w:tcPr>
          <w:p>
            <w:pPr>
              <w:spacing w:after="0"/>
              <w:rPr>
                <w:sz w:val="21"/>
                <w:szCs w:val="21"/>
                <w:color w:val="auto"/>
              </w:rPr>
            </w:pPr>
          </w:p>
        </w:tc>
        <w:tc>
          <w:tcPr>
            <w:tcW w:w="5260" w:type="dxa"/>
            <w:vAlign w:val="bottom"/>
          </w:tcPr>
          <w:p>
            <w:pPr>
              <w:jc w:val="center"/>
              <w:spacing w:after="0"/>
              <w:rPr>
                <w:sz w:val="20"/>
                <w:szCs w:val="20"/>
                <w:color w:val="auto"/>
              </w:rPr>
            </w:pPr>
            <w:r>
              <w:rPr>
                <w:rFonts w:ascii="Arial" w:cs="Arial" w:eastAsia="Arial" w:hAnsi="Arial"/>
                <w:sz w:val="18"/>
                <w:szCs w:val="18"/>
                <w:color w:val="auto"/>
                <w:w w:val="99"/>
              </w:rPr>
              <w:t>The Nasdaq Stock Market LLC</w:t>
            </w:r>
          </w:p>
        </w:tc>
        <w:tc>
          <w:tcPr>
            <w:tcW w:w="0" w:type="dxa"/>
            <w:vAlign w:val="bottom"/>
          </w:tcPr>
          <w:p>
            <w:pPr>
              <w:spacing w:after="0"/>
              <w:rPr>
                <w:sz w:val="1"/>
                <w:szCs w:val="1"/>
                <w:color w:val="auto"/>
              </w:rPr>
            </w:pPr>
          </w:p>
        </w:tc>
      </w:tr>
    </w:tbl>
    <w:p>
      <w:pPr>
        <w:spacing w:after="0" w:line="298" w:lineRule="exact"/>
        <w:rPr>
          <w:sz w:val="24"/>
          <w:szCs w:val="24"/>
          <w:color w:val="auto"/>
        </w:rPr>
      </w:pPr>
    </w:p>
    <w:p>
      <w:pPr>
        <w:jc w:val="both"/>
        <w:spacing w:after="0" w:line="255" w:lineRule="auto"/>
        <w:rPr>
          <w:sz w:val="20"/>
          <w:szCs w:val="20"/>
          <w:color w:val="auto"/>
        </w:rPr>
      </w:pPr>
      <w:r>
        <w:rPr>
          <w:rFonts w:ascii="Arial" w:cs="Arial" w:eastAsia="Arial" w:hAnsi="Arial"/>
          <w:sz w:val="18"/>
          <w:szCs w:val="18"/>
          <w:color w:val="auto"/>
        </w:rPr>
        <w:t>Indicate by check mark whether the registrant is an emerging growth company as defined in Rule 405 of the Securities Act of 1933 (§230.405 of this chapter) or Rule 12b-2 of the Securities Exchange Act of 1934 (§240.12b-2 of this chapter).</w:t>
      </w:r>
    </w:p>
    <w:p>
      <w:pPr>
        <w:ind w:left="8820"/>
        <w:spacing w:after="0" w:line="196" w:lineRule="exact"/>
        <w:rPr>
          <w:sz w:val="20"/>
          <w:szCs w:val="20"/>
          <w:color w:val="auto"/>
        </w:rPr>
      </w:pPr>
      <w:r>
        <w:rPr>
          <w:rFonts w:ascii="Arial" w:cs="Arial" w:eastAsia="Arial" w:hAnsi="Arial"/>
          <w:sz w:val="17"/>
          <w:szCs w:val="17"/>
          <w:color w:val="auto"/>
        </w:rPr>
        <w:t xml:space="preserve">Emerging Growth Company </w:t>
      </w:r>
      <w:r>
        <w:rPr>
          <w:rFonts w:ascii="MS PGothic" w:cs="MS PGothic" w:eastAsia="MS PGothic" w:hAnsi="MS PGothic"/>
          <w:sz w:val="17"/>
          <w:szCs w:val="17"/>
          <w:color w:val="auto"/>
        </w:rPr>
        <w:t>☐</w:t>
      </w:r>
    </w:p>
    <w:p>
      <w:pPr>
        <w:spacing w:after="0" w:line="229" w:lineRule="exact"/>
        <w:rPr>
          <w:sz w:val="24"/>
          <w:szCs w:val="24"/>
          <w:color w:val="auto"/>
        </w:rPr>
      </w:pPr>
    </w:p>
    <w:p>
      <w:pPr>
        <w:ind w:right="200"/>
        <w:spacing w:after="0" w:line="237" w:lineRule="exact"/>
        <w:rPr>
          <w:sz w:val="20"/>
          <w:szCs w:val="20"/>
          <w:color w:val="auto"/>
        </w:rPr>
      </w:pPr>
      <w:r>
        <w:rPr>
          <w:rFonts w:ascii="Arial" w:cs="Arial" w:eastAsia="Arial" w:hAnsi="Arial"/>
          <w:sz w:val="18"/>
          <w:szCs w:val="18"/>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MS PGothic" w:cs="MS PGothic" w:eastAsia="MS PGothic" w:hAnsi="MS PGothic"/>
          <w:sz w:val="18"/>
          <w:szCs w:val="18"/>
          <w:color w:val="auto"/>
        </w:rPr>
        <w: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-6985</wp:posOffset>
            </wp:positionH>
            <wp:positionV relativeFrom="paragraph">
              <wp:posOffset>681355</wp:posOffset>
            </wp:positionV>
            <wp:extent cx="7157720" cy="4254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1008" w:right="339" w:bottom="1440" w:gutter="0" w:footer="0" w:header="0"/>
          <w:type w:val="continuous"/>
        </w:sectPr>
      </w:pPr>
    </w:p>
    <w:bookmarkStart w:id="1" w:name="page2"/>
    <w:bookmarkEnd w:id="1"/>
    <w:p>
      <w:pPr>
        <w:spacing w:after="0"/>
        <w:tabs>
          <w:tab w:leader="none" w:pos="960" w:val="left"/>
        </w:tabs>
        <w:rPr>
          <w:sz w:val="20"/>
          <w:szCs w:val="20"/>
          <w:color w:val="auto"/>
        </w:rPr>
      </w:pPr>
      <w:r>
        <w:rPr>
          <w:rFonts w:ascii="Arial" w:cs="Arial" w:eastAsia="Arial" w:hAnsi="Arial"/>
          <w:sz w:val="18"/>
          <w:szCs w:val="18"/>
          <w:b w:val="1"/>
          <w:bCs w:val="1"/>
          <w:color w:val="auto"/>
        </w:rPr>
        <w:t>Item 5.07</w:t>
      </w:r>
      <w:r>
        <w:rPr>
          <w:sz w:val="20"/>
          <w:szCs w:val="20"/>
          <w:color w:val="auto"/>
        </w:rPr>
        <w:tab/>
      </w:r>
      <w:r>
        <w:rPr>
          <w:rFonts w:ascii="Arial" w:cs="Arial" w:eastAsia="Arial" w:hAnsi="Arial"/>
          <w:sz w:val="17"/>
          <w:szCs w:val="17"/>
          <w:b w:val="1"/>
          <w:bCs w:val="1"/>
          <w:color w:val="auto"/>
        </w:rPr>
        <w:t>Submission of Matters to a Vote of Security Holders</w:t>
      </w:r>
    </w:p>
    <w:p>
      <w:pPr>
        <w:spacing w:after="0" w:line="73" w:lineRule="exact"/>
        <w:rPr>
          <w:sz w:val="20"/>
          <w:szCs w:val="20"/>
          <w:color w:val="auto"/>
        </w:rPr>
      </w:pPr>
    </w:p>
    <w:p>
      <w:pPr>
        <w:jc w:val="both"/>
        <w:ind w:left="20" w:right="20"/>
        <w:spacing w:after="0" w:line="255" w:lineRule="auto"/>
        <w:rPr>
          <w:sz w:val="20"/>
          <w:szCs w:val="20"/>
          <w:color w:val="auto"/>
        </w:rPr>
      </w:pPr>
      <w:r>
        <w:rPr>
          <w:rFonts w:ascii="Arial" w:cs="Arial" w:eastAsia="Arial" w:hAnsi="Arial"/>
          <w:sz w:val="18"/>
          <w:szCs w:val="18"/>
          <w:color w:val="auto"/>
        </w:rPr>
        <w:t>Honeywell International Inc. (the “Company”) held its Annual Meeting of Shareowners on May 19, 2023. The following matters set forth in our Proxy Statement dated April 6, 2023 (the “2023 Proxy Statement”), which was filed with the Securities and Exchange Commission pursuant to Regulation 14A under the Securities Exchange Act of 1934, were voted upon with the results indicated below.</w:t>
      </w:r>
    </w:p>
    <w:p>
      <w:pPr>
        <w:spacing w:after="0" w:line="366" w:lineRule="exact"/>
        <w:rPr>
          <w:sz w:val="20"/>
          <w:szCs w:val="20"/>
          <w:color w:val="auto"/>
        </w:rPr>
      </w:pPr>
    </w:p>
    <w:p>
      <w:pPr>
        <w:ind w:left="260"/>
        <w:spacing w:after="0"/>
        <w:rPr>
          <w:sz w:val="20"/>
          <w:szCs w:val="20"/>
          <w:color w:val="auto"/>
        </w:rPr>
      </w:pPr>
      <w:r>
        <w:rPr>
          <w:rFonts w:ascii="Arial" w:cs="Arial" w:eastAsia="Arial" w:hAnsi="Arial"/>
          <w:sz w:val="18"/>
          <w:szCs w:val="18"/>
          <w:color w:val="auto"/>
        </w:rPr>
        <w:t>1. The nominees listed below were elected directors with the respective votes set forth opposite their names:</w:t>
      </w:r>
    </w:p>
    <w:p>
      <w:pPr>
        <w:spacing w:after="0" w:line="152" w:lineRule="exact"/>
        <w:rPr>
          <w:sz w:val="20"/>
          <w:szCs w:val="20"/>
          <w:color w:val="auto"/>
        </w:rPr>
      </w:pPr>
    </w:p>
    <w:tbl>
      <w:tblPr>
        <w:tblLayout w:type="fixed"/>
        <w:tblInd w:w="260" w:type="dxa"/>
        <w:tblCellMar>
          <w:top w:w="0" w:type="dxa"/>
          <w:left w:w="0" w:type="dxa"/>
          <w:bottom w:w="0" w:type="dxa"/>
          <w:right w:w="0" w:type="dxa"/>
        </w:tblCellMar>
      </w:tblPr>
      <w:tr>
        <w:trPr>
          <w:trHeight w:val="207"/>
        </w:trPr>
        <w:tc>
          <w:tcPr>
            <w:tcW w:w="2200" w:type="dxa"/>
            <w:vAlign w:val="bottom"/>
          </w:tcPr>
          <w:p>
            <w:pPr>
              <w:spacing w:after="0"/>
              <w:rPr>
                <w:sz w:val="17"/>
                <w:szCs w:val="17"/>
                <w:color w:val="auto"/>
              </w:rPr>
            </w:pPr>
          </w:p>
        </w:tc>
        <w:tc>
          <w:tcPr>
            <w:tcW w:w="196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6"/>
              </w:rPr>
              <w:t>For</w:t>
            </w:r>
          </w:p>
        </w:tc>
        <w:tc>
          <w:tcPr>
            <w:tcW w:w="240" w:type="dxa"/>
            <w:vAlign w:val="bottom"/>
          </w:tcPr>
          <w:p>
            <w:pPr>
              <w:spacing w:after="0"/>
              <w:rPr>
                <w:sz w:val="17"/>
                <w:szCs w:val="17"/>
                <w:color w:val="auto"/>
              </w:rPr>
            </w:pPr>
          </w:p>
        </w:tc>
        <w:tc>
          <w:tcPr>
            <w:tcW w:w="1940" w:type="dxa"/>
            <w:vAlign w:val="bottom"/>
            <w:vMerge w:val="restart"/>
          </w:tcPr>
          <w:p>
            <w:pPr>
              <w:ind w:left="640"/>
              <w:spacing w:after="0"/>
              <w:rPr>
                <w:sz w:val="20"/>
                <w:szCs w:val="20"/>
                <w:color w:val="auto"/>
              </w:rPr>
            </w:pPr>
            <w:r>
              <w:rPr>
                <w:rFonts w:ascii="Arial" w:cs="Arial" w:eastAsia="Arial" w:hAnsi="Arial"/>
                <w:sz w:val="18"/>
                <w:szCs w:val="18"/>
                <w:b w:val="1"/>
                <w:bCs w:val="1"/>
                <w:color w:val="auto"/>
              </w:rPr>
              <w:t>Against</w:t>
            </w:r>
          </w:p>
        </w:tc>
        <w:tc>
          <w:tcPr>
            <w:tcW w:w="260" w:type="dxa"/>
            <w:vAlign w:val="bottom"/>
          </w:tcPr>
          <w:p>
            <w:pPr>
              <w:spacing w:after="0"/>
              <w:rPr>
                <w:sz w:val="17"/>
                <w:szCs w:val="17"/>
                <w:color w:val="auto"/>
              </w:rPr>
            </w:pPr>
          </w:p>
        </w:tc>
        <w:tc>
          <w:tcPr>
            <w:tcW w:w="1940" w:type="dxa"/>
            <w:vAlign w:val="bottom"/>
            <w:vMerge w:val="restart"/>
          </w:tcPr>
          <w:p>
            <w:pPr>
              <w:jc w:val="center"/>
              <w:spacing w:after="0"/>
              <w:rPr>
                <w:sz w:val="20"/>
                <w:szCs w:val="20"/>
                <w:color w:val="auto"/>
              </w:rPr>
            </w:pPr>
            <w:r>
              <w:rPr>
                <w:rFonts w:ascii="Arial" w:cs="Arial" w:eastAsia="Arial" w:hAnsi="Arial"/>
                <w:sz w:val="18"/>
                <w:szCs w:val="18"/>
                <w:b w:val="1"/>
                <w:bCs w:val="1"/>
                <w:color w:val="auto"/>
                <w:w w:val="99"/>
              </w:rPr>
              <w:t>Abstain</w:t>
            </w:r>
          </w:p>
        </w:tc>
        <w:tc>
          <w:tcPr>
            <w:tcW w:w="240" w:type="dxa"/>
            <w:vAlign w:val="bottom"/>
          </w:tcPr>
          <w:p>
            <w:pPr>
              <w:spacing w:after="0"/>
              <w:rPr>
                <w:sz w:val="17"/>
                <w:szCs w:val="17"/>
                <w:color w:val="auto"/>
              </w:rPr>
            </w:pPr>
          </w:p>
        </w:tc>
        <w:tc>
          <w:tcPr>
            <w:tcW w:w="1960" w:type="dxa"/>
            <w:vAlign w:val="bottom"/>
          </w:tcPr>
          <w:p>
            <w:pPr>
              <w:jc w:val="center"/>
              <w:spacing w:after="0"/>
              <w:rPr>
                <w:sz w:val="20"/>
                <w:szCs w:val="20"/>
                <w:color w:val="auto"/>
              </w:rPr>
            </w:pPr>
            <w:r>
              <w:rPr>
                <w:rFonts w:ascii="Arial" w:cs="Arial" w:eastAsia="Arial" w:hAnsi="Arial"/>
                <w:sz w:val="18"/>
                <w:szCs w:val="18"/>
                <w:b w:val="1"/>
                <w:bCs w:val="1"/>
                <w:color w:val="auto"/>
                <w:w w:val="99"/>
              </w:rPr>
              <w:t>Broker</w:t>
            </w:r>
          </w:p>
        </w:tc>
        <w:tc>
          <w:tcPr>
            <w:tcW w:w="0" w:type="dxa"/>
            <w:vAlign w:val="bottom"/>
          </w:tcPr>
          <w:p>
            <w:pPr>
              <w:spacing w:after="0"/>
              <w:rPr>
                <w:sz w:val="1"/>
                <w:szCs w:val="1"/>
                <w:color w:val="auto"/>
              </w:rPr>
            </w:pPr>
          </w:p>
        </w:tc>
      </w:tr>
      <w:tr>
        <w:trPr>
          <w:trHeight w:val="243"/>
        </w:trPr>
        <w:tc>
          <w:tcPr>
            <w:tcW w:w="2200" w:type="dxa"/>
            <w:vAlign w:val="bottom"/>
            <w:tcBorders>
              <w:bottom w:val="single" w:sz="8" w:color="CCEEFF"/>
            </w:tcBorders>
          </w:tcPr>
          <w:p>
            <w:pPr>
              <w:spacing w:after="0"/>
              <w:rPr>
                <w:sz w:val="21"/>
                <w:szCs w:val="21"/>
                <w:color w:val="auto"/>
              </w:rPr>
            </w:pPr>
          </w:p>
        </w:tc>
        <w:tc>
          <w:tcPr>
            <w:tcW w:w="196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940" w:type="dxa"/>
            <w:vAlign w:val="bottom"/>
            <w:tcBorders>
              <w:bottom w:val="single" w:sz="8" w:color="auto"/>
            </w:tcBorders>
            <w:vMerge w:val="continue"/>
          </w:tcPr>
          <w:p>
            <w:pPr>
              <w:spacing w:after="0"/>
              <w:rPr>
                <w:sz w:val="21"/>
                <w:szCs w:val="21"/>
                <w:color w:val="auto"/>
              </w:rPr>
            </w:pPr>
          </w:p>
        </w:tc>
        <w:tc>
          <w:tcPr>
            <w:tcW w:w="260" w:type="dxa"/>
            <w:vAlign w:val="bottom"/>
            <w:tcBorders>
              <w:bottom w:val="single" w:sz="8" w:color="CCEEFF"/>
            </w:tcBorders>
          </w:tcPr>
          <w:p>
            <w:pPr>
              <w:spacing w:after="0"/>
              <w:rPr>
                <w:sz w:val="21"/>
                <w:szCs w:val="21"/>
                <w:color w:val="auto"/>
              </w:rPr>
            </w:pPr>
          </w:p>
        </w:tc>
        <w:tc>
          <w:tcPr>
            <w:tcW w:w="1940" w:type="dxa"/>
            <w:vAlign w:val="bottom"/>
            <w:tcBorders>
              <w:bottom w:val="single" w:sz="8" w:color="auto"/>
            </w:tcBorders>
            <w:vMerge w:val="continue"/>
          </w:tcPr>
          <w:p>
            <w:pPr>
              <w:spacing w:after="0"/>
              <w:rPr>
                <w:sz w:val="21"/>
                <w:szCs w:val="21"/>
                <w:color w:val="auto"/>
              </w:rPr>
            </w:pPr>
          </w:p>
        </w:tc>
        <w:tc>
          <w:tcPr>
            <w:tcW w:w="240" w:type="dxa"/>
            <w:vAlign w:val="bottom"/>
            <w:tcBorders>
              <w:bottom w:val="single" w:sz="8" w:color="CCEEFF"/>
            </w:tcBorders>
          </w:tcPr>
          <w:p>
            <w:pPr>
              <w:spacing w:after="0"/>
              <w:rPr>
                <w:sz w:val="21"/>
                <w:szCs w:val="21"/>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Non Votes</w:t>
            </w:r>
          </w:p>
        </w:tc>
        <w:tc>
          <w:tcPr>
            <w:tcW w:w="0" w:type="dxa"/>
            <w:vAlign w:val="bottom"/>
          </w:tcPr>
          <w:p>
            <w:pPr>
              <w:spacing w:after="0"/>
              <w:rPr>
                <w:sz w:val="1"/>
                <w:szCs w:val="1"/>
                <w:color w:val="auto"/>
              </w:rPr>
            </w:pPr>
          </w:p>
        </w:tc>
      </w:tr>
      <w:tr>
        <w:trPr>
          <w:trHeight w:val="223"/>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Darius Adamczyk</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484,675,139</w:t>
            </w:r>
          </w:p>
        </w:tc>
        <w:tc>
          <w:tcPr>
            <w:tcW w:w="218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9"/>
              </w:rPr>
              <w:t>21,205,238</w:t>
            </w:r>
          </w:p>
        </w:tc>
        <w:tc>
          <w:tcPr>
            <w:tcW w:w="220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9"/>
              </w:rPr>
              <w:t>1,299,929</w:t>
            </w:r>
          </w:p>
        </w:tc>
        <w:tc>
          <w:tcPr>
            <w:tcW w:w="220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9"/>
              </w:rPr>
              <w:t>69,871,500</w:t>
            </w:r>
          </w:p>
        </w:tc>
        <w:tc>
          <w:tcPr>
            <w:tcW w:w="0" w:type="dxa"/>
            <w:vAlign w:val="bottom"/>
          </w:tcPr>
          <w:p>
            <w:pPr>
              <w:spacing w:after="0"/>
              <w:rPr>
                <w:sz w:val="1"/>
                <w:szCs w:val="1"/>
                <w:color w:val="auto"/>
              </w:rPr>
            </w:pPr>
          </w:p>
        </w:tc>
      </w:tr>
      <w:tr>
        <w:trPr>
          <w:trHeight w:val="229"/>
        </w:trPr>
        <w:tc>
          <w:tcPr>
            <w:tcW w:w="2200" w:type="dxa"/>
            <w:vAlign w:val="bottom"/>
          </w:tcPr>
          <w:p>
            <w:pPr>
              <w:spacing w:after="0"/>
              <w:rPr>
                <w:sz w:val="20"/>
                <w:szCs w:val="20"/>
                <w:color w:val="auto"/>
              </w:rPr>
            </w:pPr>
            <w:r>
              <w:rPr>
                <w:rFonts w:ascii="Arial" w:cs="Arial" w:eastAsia="Arial" w:hAnsi="Arial"/>
                <w:sz w:val="18"/>
                <w:szCs w:val="18"/>
                <w:color w:val="auto"/>
              </w:rPr>
              <w:t>Duncan B. Angove</w:t>
            </w:r>
          </w:p>
        </w:tc>
        <w:tc>
          <w:tcPr>
            <w:tcW w:w="1960" w:type="dxa"/>
            <w:vAlign w:val="bottom"/>
          </w:tcPr>
          <w:p>
            <w:pPr>
              <w:jc w:val="center"/>
              <w:spacing w:after="0"/>
              <w:rPr>
                <w:sz w:val="20"/>
                <w:szCs w:val="20"/>
                <w:color w:val="auto"/>
              </w:rPr>
            </w:pPr>
            <w:r>
              <w:rPr>
                <w:rFonts w:ascii="Arial" w:cs="Arial" w:eastAsia="Arial" w:hAnsi="Arial"/>
                <w:sz w:val="18"/>
                <w:szCs w:val="18"/>
                <w:color w:val="auto"/>
                <w:w w:val="99"/>
              </w:rPr>
              <w:t>499,109,827</w:t>
            </w:r>
          </w:p>
        </w:tc>
        <w:tc>
          <w:tcPr>
            <w:tcW w:w="218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6,596,513</w:t>
            </w:r>
          </w:p>
        </w:tc>
        <w:tc>
          <w:tcPr>
            <w:tcW w:w="220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1,473,966</w:t>
            </w:r>
          </w:p>
        </w:tc>
        <w:tc>
          <w:tcPr>
            <w:tcW w:w="22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69,871,500</w:t>
            </w:r>
          </w:p>
        </w:tc>
        <w:tc>
          <w:tcPr>
            <w:tcW w:w="0" w:type="dxa"/>
            <w:vAlign w:val="bottom"/>
          </w:tcPr>
          <w:p>
            <w:pPr>
              <w:spacing w:after="0"/>
              <w:rPr>
                <w:sz w:val="1"/>
                <w:szCs w:val="1"/>
                <w:color w:val="auto"/>
              </w:rPr>
            </w:pPr>
          </w:p>
        </w:tc>
      </w:tr>
      <w:tr>
        <w:trPr>
          <w:trHeight w:val="243"/>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William S. Ayer</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495,003,067</w:t>
            </w:r>
          </w:p>
        </w:tc>
        <w:tc>
          <w:tcPr>
            <w:tcW w:w="218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9"/>
              </w:rPr>
              <w:t>10,773,215</w:t>
            </w:r>
          </w:p>
        </w:tc>
        <w:tc>
          <w:tcPr>
            <w:tcW w:w="220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9"/>
              </w:rPr>
              <w:t>1,404,024</w:t>
            </w:r>
          </w:p>
        </w:tc>
        <w:tc>
          <w:tcPr>
            <w:tcW w:w="220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9"/>
              </w:rPr>
              <w:t>69,871,500</w:t>
            </w:r>
          </w:p>
        </w:tc>
        <w:tc>
          <w:tcPr>
            <w:tcW w:w="0" w:type="dxa"/>
            <w:vAlign w:val="bottom"/>
          </w:tcPr>
          <w:p>
            <w:pPr>
              <w:spacing w:after="0"/>
              <w:rPr>
                <w:sz w:val="1"/>
                <w:szCs w:val="1"/>
                <w:color w:val="auto"/>
              </w:rPr>
            </w:pPr>
          </w:p>
        </w:tc>
      </w:tr>
      <w:tr>
        <w:trPr>
          <w:trHeight w:val="229"/>
        </w:trPr>
        <w:tc>
          <w:tcPr>
            <w:tcW w:w="2200" w:type="dxa"/>
            <w:vAlign w:val="bottom"/>
          </w:tcPr>
          <w:p>
            <w:pPr>
              <w:spacing w:after="0"/>
              <w:rPr>
                <w:sz w:val="20"/>
                <w:szCs w:val="20"/>
                <w:color w:val="auto"/>
              </w:rPr>
            </w:pPr>
            <w:r>
              <w:rPr>
                <w:rFonts w:ascii="Arial" w:cs="Arial" w:eastAsia="Arial" w:hAnsi="Arial"/>
                <w:sz w:val="18"/>
                <w:szCs w:val="18"/>
                <w:color w:val="auto"/>
              </w:rPr>
              <w:t>Kevin Burke</w:t>
            </w:r>
          </w:p>
        </w:tc>
        <w:tc>
          <w:tcPr>
            <w:tcW w:w="1960" w:type="dxa"/>
            <w:vAlign w:val="bottom"/>
          </w:tcPr>
          <w:p>
            <w:pPr>
              <w:jc w:val="center"/>
              <w:spacing w:after="0"/>
              <w:rPr>
                <w:sz w:val="20"/>
                <w:szCs w:val="20"/>
                <w:color w:val="auto"/>
              </w:rPr>
            </w:pPr>
            <w:r>
              <w:rPr>
                <w:rFonts w:ascii="Arial" w:cs="Arial" w:eastAsia="Arial" w:hAnsi="Arial"/>
                <w:sz w:val="18"/>
                <w:szCs w:val="18"/>
                <w:color w:val="auto"/>
                <w:w w:val="99"/>
              </w:rPr>
              <w:t>487,697,305</w:t>
            </w:r>
          </w:p>
        </w:tc>
        <w:tc>
          <w:tcPr>
            <w:tcW w:w="218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18,044,271</w:t>
            </w:r>
          </w:p>
        </w:tc>
        <w:tc>
          <w:tcPr>
            <w:tcW w:w="220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1,438,730</w:t>
            </w:r>
          </w:p>
        </w:tc>
        <w:tc>
          <w:tcPr>
            <w:tcW w:w="22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69,871,500</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D. Scott Davis</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472,139,983</w:t>
            </w:r>
          </w:p>
        </w:tc>
        <w:tc>
          <w:tcPr>
            <w:tcW w:w="218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9"/>
              </w:rPr>
              <w:t>33,692,810</w:t>
            </w:r>
          </w:p>
        </w:tc>
        <w:tc>
          <w:tcPr>
            <w:tcW w:w="220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9"/>
              </w:rPr>
              <w:t>1,347,513</w:t>
            </w:r>
          </w:p>
        </w:tc>
        <w:tc>
          <w:tcPr>
            <w:tcW w:w="220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9"/>
              </w:rPr>
              <w:t>69,871,500</w:t>
            </w:r>
          </w:p>
        </w:tc>
        <w:tc>
          <w:tcPr>
            <w:tcW w:w="0" w:type="dxa"/>
            <w:vAlign w:val="bottom"/>
          </w:tcPr>
          <w:p>
            <w:pPr>
              <w:spacing w:after="0"/>
              <w:rPr>
                <w:sz w:val="1"/>
                <w:szCs w:val="1"/>
                <w:color w:val="auto"/>
              </w:rPr>
            </w:pPr>
          </w:p>
        </w:tc>
      </w:tr>
      <w:tr>
        <w:trPr>
          <w:trHeight w:val="236"/>
        </w:trPr>
        <w:tc>
          <w:tcPr>
            <w:tcW w:w="2200" w:type="dxa"/>
            <w:vAlign w:val="bottom"/>
          </w:tcPr>
          <w:p>
            <w:pPr>
              <w:spacing w:after="0"/>
              <w:rPr>
                <w:sz w:val="20"/>
                <w:szCs w:val="20"/>
                <w:color w:val="auto"/>
              </w:rPr>
            </w:pPr>
            <w:r>
              <w:rPr>
                <w:rFonts w:ascii="Arial" w:cs="Arial" w:eastAsia="Arial" w:hAnsi="Arial"/>
                <w:sz w:val="18"/>
                <w:szCs w:val="18"/>
                <w:color w:val="auto"/>
              </w:rPr>
              <w:t>Deborah Flint</w:t>
            </w:r>
          </w:p>
        </w:tc>
        <w:tc>
          <w:tcPr>
            <w:tcW w:w="1960" w:type="dxa"/>
            <w:vAlign w:val="bottom"/>
          </w:tcPr>
          <w:p>
            <w:pPr>
              <w:jc w:val="center"/>
              <w:spacing w:after="0"/>
              <w:rPr>
                <w:sz w:val="20"/>
                <w:szCs w:val="20"/>
                <w:color w:val="auto"/>
              </w:rPr>
            </w:pPr>
            <w:r>
              <w:rPr>
                <w:rFonts w:ascii="Arial" w:cs="Arial" w:eastAsia="Arial" w:hAnsi="Arial"/>
                <w:sz w:val="18"/>
                <w:szCs w:val="18"/>
                <w:color w:val="auto"/>
                <w:w w:val="99"/>
              </w:rPr>
              <w:t>500,022,583</w:t>
            </w:r>
          </w:p>
        </w:tc>
        <w:tc>
          <w:tcPr>
            <w:tcW w:w="218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5,912,606</w:t>
            </w:r>
          </w:p>
        </w:tc>
        <w:tc>
          <w:tcPr>
            <w:tcW w:w="2200" w:type="dxa"/>
            <w:vAlign w:val="bottom"/>
            <w:gridSpan w:val="2"/>
          </w:tcPr>
          <w:p>
            <w:pPr>
              <w:jc w:val="center"/>
              <w:ind w:left="170"/>
              <w:spacing w:after="0"/>
              <w:rPr>
                <w:sz w:val="20"/>
                <w:szCs w:val="20"/>
                <w:color w:val="auto"/>
              </w:rPr>
            </w:pPr>
            <w:r>
              <w:rPr>
                <w:rFonts w:ascii="Arial" w:cs="Arial" w:eastAsia="Arial" w:hAnsi="Arial"/>
                <w:sz w:val="18"/>
                <w:szCs w:val="18"/>
                <w:color w:val="auto"/>
                <w:w w:val="97"/>
              </w:rPr>
              <w:t>1,245,117</w:t>
            </w:r>
          </w:p>
        </w:tc>
        <w:tc>
          <w:tcPr>
            <w:tcW w:w="22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69,871,500</w:t>
            </w:r>
          </w:p>
        </w:tc>
        <w:tc>
          <w:tcPr>
            <w:tcW w:w="0" w:type="dxa"/>
            <w:vAlign w:val="bottom"/>
          </w:tcPr>
          <w:p>
            <w:pPr>
              <w:spacing w:after="0"/>
              <w:rPr>
                <w:sz w:val="1"/>
                <w:szCs w:val="1"/>
                <w:color w:val="auto"/>
              </w:rPr>
            </w:pPr>
          </w:p>
        </w:tc>
      </w:tr>
      <w:tr>
        <w:trPr>
          <w:trHeight w:val="236"/>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Vimal Kapur</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496,063,371</w:t>
            </w:r>
          </w:p>
        </w:tc>
        <w:tc>
          <w:tcPr>
            <w:tcW w:w="218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9"/>
              </w:rPr>
              <w:t>9,791,906</w:t>
            </w:r>
          </w:p>
        </w:tc>
        <w:tc>
          <w:tcPr>
            <w:tcW w:w="220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9"/>
              </w:rPr>
              <w:t>1,325,029</w:t>
            </w:r>
          </w:p>
        </w:tc>
        <w:tc>
          <w:tcPr>
            <w:tcW w:w="220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9"/>
              </w:rPr>
              <w:t>69,871,500</w:t>
            </w:r>
          </w:p>
        </w:tc>
        <w:tc>
          <w:tcPr>
            <w:tcW w:w="0" w:type="dxa"/>
            <w:vAlign w:val="bottom"/>
          </w:tcPr>
          <w:p>
            <w:pPr>
              <w:spacing w:after="0"/>
              <w:rPr>
                <w:sz w:val="1"/>
                <w:szCs w:val="1"/>
                <w:color w:val="auto"/>
              </w:rPr>
            </w:pPr>
          </w:p>
        </w:tc>
      </w:tr>
      <w:tr>
        <w:trPr>
          <w:trHeight w:val="229"/>
        </w:trPr>
        <w:tc>
          <w:tcPr>
            <w:tcW w:w="2200" w:type="dxa"/>
            <w:vAlign w:val="bottom"/>
          </w:tcPr>
          <w:p>
            <w:pPr>
              <w:spacing w:after="0"/>
              <w:rPr>
                <w:sz w:val="20"/>
                <w:szCs w:val="20"/>
                <w:color w:val="auto"/>
              </w:rPr>
            </w:pPr>
            <w:r>
              <w:rPr>
                <w:rFonts w:ascii="Arial" w:cs="Arial" w:eastAsia="Arial" w:hAnsi="Arial"/>
                <w:sz w:val="18"/>
                <w:szCs w:val="18"/>
                <w:color w:val="auto"/>
              </w:rPr>
              <w:t>Rose Lee</w:t>
            </w:r>
          </w:p>
        </w:tc>
        <w:tc>
          <w:tcPr>
            <w:tcW w:w="1960" w:type="dxa"/>
            <w:vAlign w:val="bottom"/>
          </w:tcPr>
          <w:p>
            <w:pPr>
              <w:jc w:val="center"/>
              <w:spacing w:after="0"/>
              <w:rPr>
                <w:sz w:val="20"/>
                <w:szCs w:val="20"/>
                <w:color w:val="auto"/>
              </w:rPr>
            </w:pPr>
            <w:r>
              <w:rPr>
                <w:rFonts w:ascii="Arial" w:cs="Arial" w:eastAsia="Arial" w:hAnsi="Arial"/>
                <w:sz w:val="18"/>
                <w:szCs w:val="18"/>
                <w:color w:val="auto"/>
                <w:w w:val="99"/>
              </w:rPr>
              <w:t>499,321,969</w:t>
            </w:r>
          </w:p>
        </w:tc>
        <w:tc>
          <w:tcPr>
            <w:tcW w:w="218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6,595,120</w:t>
            </w:r>
          </w:p>
        </w:tc>
        <w:tc>
          <w:tcPr>
            <w:tcW w:w="220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1,263,217</w:t>
            </w:r>
          </w:p>
        </w:tc>
        <w:tc>
          <w:tcPr>
            <w:tcW w:w="22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69,871,500</w:t>
            </w:r>
          </w:p>
        </w:tc>
        <w:tc>
          <w:tcPr>
            <w:tcW w:w="0" w:type="dxa"/>
            <w:vAlign w:val="bottom"/>
          </w:tcPr>
          <w:p>
            <w:pPr>
              <w:spacing w:after="0"/>
              <w:rPr>
                <w:sz w:val="1"/>
                <w:szCs w:val="1"/>
                <w:color w:val="auto"/>
              </w:rPr>
            </w:pPr>
          </w:p>
        </w:tc>
      </w:tr>
      <w:tr>
        <w:trPr>
          <w:trHeight w:val="243"/>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Grace D. Lieblein</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490,479,502</w:t>
            </w:r>
          </w:p>
        </w:tc>
        <w:tc>
          <w:tcPr>
            <w:tcW w:w="218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9"/>
              </w:rPr>
              <w:t>15,423,359</w:t>
            </w:r>
          </w:p>
        </w:tc>
        <w:tc>
          <w:tcPr>
            <w:tcW w:w="220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9"/>
              </w:rPr>
              <w:t>1,277,445</w:t>
            </w:r>
          </w:p>
        </w:tc>
        <w:tc>
          <w:tcPr>
            <w:tcW w:w="220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9"/>
              </w:rPr>
              <w:t>69,871,500</w:t>
            </w:r>
          </w:p>
        </w:tc>
        <w:tc>
          <w:tcPr>
            <w:tcW w:w="0" w:type="dxa"/>
            <w:vAlign w:val="bottom"/>
          </w:tcPr>
          <w:p>
            <w:pPr>
              <w:spacing w:after="0"/>
              <w:rPr>
                <w:sz w:val="1"/>
                <w:szCs w:val="1"/>
                <w:color w:val="auto"/>
              </w:rPr>
            </w:pPr>
          </w:p>
        </w:tc>
      </w:tr>
      <w:tr>
        <w:trPr>
          <w:trHeight w:val="229"/>
        </w:trPr>
        <w:tc>
          <w:tcPr>
            <w:tcW w:w="2200" w:type="dxa"/>
            <w:vAlign w:val="bottom"/>
          </w:tcPr>
          <w:p>
            <w:pPr>
              <w:spacing w:after="0"/>
              <w:rPr>
                <w:sz w:val="20"/>
                <w:szCs w:val="20"/>
                <w:color w:val="auto"/>
              </w:rPr>
            </w:pPr>
            <w:r>
              <w:rPr>
                <w:rFonts w:ascii="Arial" w:cs="Arial" w:eastAsia="Arial" w:hAnsi="Arial"/>
                <w:sz w:val="18"/>
                <w:szCs w:val="18"/>
                <w:color w:val="auto"/>
              </w:rPr>
              <w:t>Robin L. Washington</w:t>
            </w:r>
          </w:p>
        </w:tc>
        <w:tc>
          <w:tcPr>
            <w:tcW w:w="1960" w:type="dxa"/>
            <w:vAlign w:val="bottom"/>
          </w:tcPr>
          <w:p>
            <w:pPr>
              <w:jc w:val="center"/>
              <w:spacing w:after="0"/>
              <w:rPr>
                <w:sz w:val="20"/>
                <w:szCs w:val="20"/>
                <w:color w:val="auto"/>
              </w:rPr>
            </w:pPr>
            <w:r>
              <w:rPr>
                <w:rFonts w:ascii="Arial" w:cs="Arial" w:eastAsia="Arial" w:hAnsi="Arial"/>
                <w:sz w:val="18"/>
                <w:szCs w:val="18"/>
                <w:color w:val="auto"/>
                <w:w w:val="99"/>
              </w:rPr>
              <w:t>476,995,988</w:t>
            </w:r>
          </w:p>
        </w:tc>
        <w:tc>
          <w:tcPr>
            <w:tcW w:w="218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28,890,801</w:t>
            </w:r>
          </w:p>
        </w:tc>
        <w:tc>
          <w:tcPr>
            <w:tcW w:w="2200" w:type="dxa"/>
            <w:vAlign w:val="bottom"/>
            <w:gridSpan w:val="2"/>
          </w:tcPr>
          <w:p>
            <w:pPr>
              <w:jc w:val="center"/>
              <w:ind w:left="150"/>
              <w:spacing w:after="0"/>
              <w:rPr>
                <w:sz w:val="20"/>
                <w:szCs w:val="20"/>
                <w:color w:val="auto"/>
              </w:rPr>
            </w:pPr>
            <w:r>
              <w:rPr>
                <w:rFonts w:ascii="Arial" w:cs="Arial" w:eastAsia="Arial" w:hAnsi="Arial"/>
                <w:sz w:val="18"/>
                <w:szCs w:val="18"/>
                <w:color w:val="auto"/>
                <w:w w:val="99"/>
              </w:rPr>
              <w:t>1,293,517</w:t>
            </w:r>
          </w:p>
        </w:tc>
        <w:tc>
          <w:tcPr>
            <w:tcW w:w="2200" w:type="dxa"/>
            <w:vAlign w:val="bottom"/>
            <w:gridSpan w:val="2"/>
          </w:tcPr>
          <w:p>
            <w:pPr>
              <w:jc w:val="center"/>
              <w:ind w:left="170"/>
              <w:spacing w:after="0"/>
              <w:rPr>
                <w:sz w:val="20"/>
                <w:szCs w:val="20"/>
                <w:color w:val="auto"/>
              </w:rPr>
            </w:pPr>
            <w:r>
              <w:rPr>
                <w:rFonts w:ascii="Arial" w:cs="Arial" w:eastAsia="Arial" w:hAnsi="Arial"/>
                <w:sz w:val="18"/>
                <w:szCs w:val="18"/>
                <w:color w:val="auto"/>
                <w:w w:val="99"/>
              </w:rPr>
              <w:t>69,871,500</w:t>
            </w:r>
          </w:p>
        </w:tc>
        <w:tc>
          <w:tcPr>
            <w:tcW w:w="0" w:type="dxa"/>
            <w:vAlign w:val="bottom"/>
          </w:tcPr>
          <w:p>
            <w:pPr>
              <w:spacing w:after="0"/>
              <w:rPr>
                <w:sz w:val="1"/>
                <w:szCs w:val="1"/>
                <w:color w:val="auto"/>
              </w:rPr>
            </w:pPr>
          </w:p>
        </w:tc>
      </w:tr>
      <w:tr>
        <w:trPr>
          <w:trHeight w:val="230"/>
        </w:trPr>
        <w:tc>
          <w:tcPr>
            <w:tcW w:w="2200" w:type="dxa"/>
            <w:vAlign w:val="bottom"/>
            <w:shd w:val="clear" w:color="auto" w:fill="CCEEFF"/>
          </w:tcPr>
          <w:p>
            <w:pPr>
              <w:spacing w:after="0"/>
              <w:rPr>
                <w:sz w:val="20"/>
                <w:szCs w:val="20"/>
                <w:color w:val="auto"/>
              </w:rPr>
            </w:pPr>
            <w:r>
              <w:rPr>
                <w:rFonts w:ascii="Arial" w:cs="Arial" w:eastAsia="Arial" w:hAnsi="Arial"/>
                <w:sz w:val="18"/>
                <w:szCs w:val="18"/>
                <w:color w:val="auto"/>
              </w:rPr>
              <w:t>Robin Watson</w:t>
            </w:r>
          </w:p>
        </w:tc>
        <w:tc>
          <w:tcPr>
            <w:tcW w:w="1960" w:type="dxa"/>
            <w:vAlign w:val="bottom"/>
            <w:shd w:val="clear" w:color="auto" w:fill="CCEEFF"/>
          </w:tcPr>
          <w:p>
            <w:pPr>
              <w:jc w:val="center"/>
              <w:spacing w:after="0"/>
              <w:rPr>
                <w:sz w:val="20"/>
                <w:szCs w:val="20"/>
                <w:color w:val="auto"/>
              </w:rPr>
            </w:pPr>
            <w:r>
              <w:rPr>
                <w:rFonts w:ascii="Arial" w:cs="Arial" w:eastAsia="Arial" w:hAnsi="Arial"/>
                <w:sz w:val="18"/>
                <w:szCs w:val="18"/>
                <w:color w:val="auto"/>
                <w:w w:val="99"/>
              </w:rPr>
              <w:t>502,560,101</w:t>
            </w:r>
          </w:p>
        </w:tc>
        <w:tc>
          <w:tcPr>
            <w:tcW w:w="218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9"/>
              </w:rPr>
              <w:t>3,238,399</w:t>
            </w:r>
          </w:p>
        </w:tc>
        <w:tc>
          <w:tcPr>
            <w:tcW w:w="2200" w:type="dxa"/>
            <w:vAlign w:val="bottom"/>
            <w:gridSpan w:val="2"/>
            <w:shd w:val="clear" w:color="auto" w:fill="CCEEFF"/>
          </w:tcPr>
          <w:p>
            <w:pPr>
              <w:jc w:val="center"/>
              <w:ind w:left="150"/>
              <w:spacing w:after="0"/>
              <w:rPr>
                <w:sz w:val="20"/>
                <w:szCs w:val="20"/>
                <w:color w:val="auto"/>
              </w:rPr>
            </w:pPr>
            <w:r>
              <w:rPr>
                <w:rFonts w:ascii="Arial" w:cs="Arial" w:eastAsia="Arial" w:hAnsi="Arial"/>
                <w:sz w:val="18"/>
                <w:szCs w:val="18"/>
                <w:color w:val="auto"/>
                <w:w w:val="99"/>
              </w:rPr>
              <w:t>1,381,806</w:t>
            </w:r>
          </w:p>
        </w:tc>
        <w:tc>
          <w:tcPr>
            <w:tcW w:w="2200" w:type="dxa"/>
            <w:vAlign w:val="bottom"/>
            <w:gridSpan w:val="2"/>
            <w:shd w:val="clear" w:color="auto" w:fill="CCEEFF"/>
          </w:tcPr>
          <w:p>
            <w:pPr>
              <w:jc w:val="center"/>
              <w:ind w:left="170"/>
              <w:spacing w:after="0"/>
              <w:rPr>
                <w:sz w:val="20"/>
                <w:szCs w:val="20"/>
                <w:color w:val="auto"/>
              </w:rPr>
            </w:pPr>
            <w:r>
              <w:rPr>
                <w:rFonts w:ascii="Arial" w:cs="Arial" w:eastAsia="Arial" w:hAnsi="Arial"/>
                <w:sz w:val="18"/>
                <w:szCs w:val="18"/>
                <w:color w:val="auto"/>
                <w:w w:val="99"/>
              </w:rPr>
              <w:t>69,871,500</w:t>
            </w:r>
          </w:p>
        </w:tc>
        <w:tc>
          <w:tcPr>
            <w:tcW w:w="0" w:type="dxa"/>
            <w:vAlign w:val="bottom"/>
          </w:tcPr>
          <w:p>
            <w:pPr>
              <w:spacing w:after="0"/>
              <w:rPr>
                <w:sz w:val="1"/>
                <w:szCs w:val="1"/>
                <w:color w:val="auto"/>
              </w:rPr>
            </w:pPr>
          </w:p>
        </w:tc>
      </w:tr>
    </w:tbl>
    <w:p>
      <w:pPr>
        <w:spacing w:after="0" w:line="365" w:lineRule="exact"/>
        <w:rPr>
          <w:sz w:val="20"/>
          <w:szCs w:val="20"/>
          <w:color w:val="auto"/>
        </w:rPr>
      </w:pPr>
    </w:p>
    <w:p>
      <w:pPr>
        <w:ind w:left="540" w:right="540" w:hanging="251"/>
        <w:spacing w:after="0" w:line="234" w:lineRule="auto"/>
        <w:tabs>
          <w:tab w:leader="none" w:pos="540" w:val="left"/>
        </w:tabs>
        <w:numPr>
          <w:ilvl w:val="0"/>
          <w:numId w:val="2"/>
        </w:numPr>
        <w:rPr>
          <w:rFonts w:ascii="Arial" w:cs="Arial" w:eastAsia="Arial" w:hAnsi="Arial"/>
          <w:sz w:val="18"/>
          <w:szCs w:val="18"/>
          <w:color w:val="auto"/>
        </w:rPr>
      </w:pPr>
      <w:r>
        <w:rPr>
          <w:rFonts w:ascii="Arial" w:cs="Arial" w:eastAsia="Arial" w:hAnsi="Arial"/>
          <w:sz w:val="18"/>
          <w:szCs w:val="18"/>
          <w:color w:val="auto"/>
        </w:rPr>
        <w:t>The voting results on a non-binding advisory vote on the frequency of the advisory vote on executive compensation are set forth below:</w:t>
      </w:r>
    </w:p>
    <w:p>
      <w:pPr>
        <w:spacing w:after="0" w:line="167" w:lineRule="exact"/>
        <w:rPr>
          <w:sz w:val="20"/>
          <w:szCs w:val="20"/>
          <w:color w:val="auto"/>
        </w:rPr>
      </w:pPr>
    </w:p>
    <w:tbl>
      <w:tblPr>
        <w:tblLayout w:type="fixed"/>
        <w:tblInd w:w="260" w:type="dxa"/>
        <w:tblCellMar>
          <w:top w:w="0" w:type="dxa"/>
          <w:left w:w="0" w:type="dxa"/>
          <w:bottom w:w="0" w:type="dxa"/>
          <w:right w:w="0" w:type="dxa"/>
        </w:tblCellMar>
      </w:tblPr>
      <w:tr>
        <w:trPr>
          <w:trHeight w:val="239"/>
        </w:trPr>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1 Year</w:t>
            </w:r>
          </w:p>
        </w:tc>
        <w:tc>
          <w:tcPr>
            <w:tcW w:w="240" w:type="dxa"/>
            <w:vAlign w:val="bottom"/>
            <w:tcBorders>
              <w:bottom w:val="single" w:sz="8" w:color="CCEEFF"/>
            </w:tcBorders>
          </w:tcPr>
          <w:p>
            <w:pPr>
              <w:spacing w:after="0"/>
              <w:rPr>
                <w:sz w:val="20"/>
                <w:szCs w:val="20"/>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2 Years</w:t>
            </w:r>
          </w:p>
        </w:tc>
        <w:tc>
          <w:tcPr>
            <w:tcW w:w="260" w:type="dxa"/>
            <w:vAlign w:val="bottom"/>
            <w:tcBorders>
              <w:bottom w:val="single" w:sz="8" w:color="CCEEFF"/>
            </w:tcBorders>
          </w:tcPr>
          <w:p>
            <w:pPr>
              <w:spacing w:after="0"/>
              <w:rPr>
                <w:sz w:val="20"/>
                <w:szCs w:val="20"/>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6"/>
              </w:rPr>
              <w:t>3 Years</w:t>
            </w:r>
          </w:p>
        </w:tc>
        <w:tc>
          <w:tcPr>
            <w:tcW w:w="240" w:type="dxa"/>
            <w:vAlign w:val="bottom"/>
            <w:tcBorders>
              <w:bottom w:val="single" w:sz="8" w:color="CCEEFF"/>
            </w:tcBorders>
          </w:tcPr>
          <w:p>
            <w:pPr>
              <w:spacing w:after="0"/>
              <w:rPr>
                <w:sz w:val="20"/>
                <w:szCs w:val="20"/>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Abstain</w:t>
            </w:r>
          </w:p>
        </w:tc>
        <w:tc>
          <w:tcPr>
            <w:tcW w:w="240" w:type="dxa"/>
            <w:vAlign w:val="bottom"/>
            <w:tcBorders>
              <w:bottom w:val="single" w:sz="8" w:color="CCEEFF"/>
            </w:tcBorders>
          </w:tcPr>
          <w:p>
            <w:pPr>
              <w:spacing w:after="0"/>
              <w:rPr>
                <w:sz w:val="20"/>
                <w:szCs w:val="20"/>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Broker Non Votes</w:t>
            </w:r>
          </w:p>
        </w:tc>
      </w:tr>
      <w:tr>
        <w:trPr>
          <w:trHeight w:val="223"/>
        </w:trPr>
        <w:tc>
          <w:tcPr>
            <w:tcW w:w="196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495,487,503</w:t>
            </w:r>
          </w:p>
        </w:tc>
        <w:tc>
          <w:tcPr>
            <w:tcW w:w="2180" w:type="dxa"/>
            <w:vAlign w:val="bottom"/>
            <w:gridSpan w:val="2"/>
            <w:shd w:val="clear" w:color="auto" w:fill="CCEEFF"/>
          </w:tcPr>
          <w:p>
            <w:pPr>
              <w:jc w:val="right"/>
              <w:ind w:right="470"/>
              <w:spacing w:after="0"/>
              <w:rPr>
                <w:sz w:val="20"/>
                <w:szCs w:val="20"/>
                <w:color w:val="auto"/>
              </w:rPr>
            </w:pPr>
            <w:r>
              <w:rPr>
                <w:rFonts w:ascii="Arial" w:cs="Arial" w:eastAsia="Arial" w:hAnsi="Arial"/>
                <w:sz w:val="18"/>
                <w:szCs w:val="18"/>
                <w:color w:val="auto"/>
              </w:rPr>
              <w:t>2,514,133</w:t>
            </w:r>
          </w:p>
        </w:tc>
        <w:tc>
          <w:tcPr>
            <w:tcW w:w="220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7,366,954</w:t>
            </w:r>
          </w:p>
        </w:tc>
        <w:tc>
          <w:tcPr>
            <w:tcW w:w="218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1,811,716</w:t>
            </w:r>
          </w:p>
        </w:tc>
        <w:tc>
          <w:tcPr>
            <w:tcW w:w="220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69,871,500</w:t>
            </w:r>
          </w:p>
        </w:tc>
      </w:tr>
    </w:tbl>
    <w:p>
      <w:pPr>
        <w:spacing w:after="0" w:line="365" w:lineRule="exact"/>
        <w:rPr>
          <w:sz w:val="20"/>
          <w:szCs w:val="20"/>
          <w:color w:val="auto"/>
        </w:rPr>
      </w:pPr>
    </w:p>
    <w:p>
      <w:pPr>
        <w:ind w:left="540" w:right="640" w:hanging="251"/>
        <w:spacing w:after="0" w:line="234" w:lineRule="auto"/>
        <w:tabs>
          <w:tab w:leader="none" w:pos="540" w:val="left"/>
        </w:tabs>
        <w:numPr>
          <w:ilvl w:val="0"/>
          <w:numId w:val="3"/>
        </w:numPr>
        <w:rPr>
          <w:rFonts w:ascii="Arial" w:cs="Arial" w:eastAsia="Arial" w:hAnsi="Arial"/>
          <w:sz w:val="18"/>
          <w:szCs w:val="18"/>
          <w:color w:val="auto"/>
        </w:rPr>
      </w:pPr>
      <w:r>
        <w:rPr>
          <w:rFonts w:ascii="Arial" w:cs="Arial" w:eastAsia="Arial" w:hAnsi="Arial"/>
          <w:sz w:val="18"/>
          <w:szCs w:val="18"/>
          <w:color w:val="auto"/>
        </w:rPr>
        <w:t>The shareowners approved, on a non-binding advisory basis, the compensation of the Company’s named executive officers as disclosed in the 2023 Proxy Statement. The voting results are set forth below:</w:t>
      </w:r>
    </w:p>
    <w:p>
      <w:pPr>
        <w:spacing w:after="0" w:line="167" w:lineRule="exact"/>
        <w:rPr>
          <w:sz w:val="20"/>
          <w:szCs w:val="20"/>
          <w:color w:val="auto"/>
        </w:rPr>
      </w:pPr>
    </w:p>
    <w:tbl>
      <w:tblPr>
        <w:tblLayout w:type="fixed"/>
        <w:tblInd w:w="260" w:type="dxa"/>
        <w:tblCellMar>
          <w:top w:w="0" w:type="dxa"/>
          <w:left w:w="0" w:type="dxa"/>
          <w:bottom w:w="0" w:type="dxa"/>
          <w:right w:w="0" w:type="dxa"/>
        </w:tblCellMar>
      </w:tblPr>
      <w:tr>
        <w:trPr>
          <w:trHeight w:val="239"/>
        </w:trPr>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For</w:t>
            </w:r>
          </w:p>
        </w:tc>
        <w:tc>
          <w:tcPr>
            <w:tcW w:w="220" w:type="dxa"/>
            <w:vAlign w:val="bottom"/>
            <w:tcBorders>
              <w:bottom w:val="single" w:sz="8" w:color="CCEEFF"/>
            </w:tcBorders>
          </w:tcPr>
          <w:p>
            <w:pPr>
              <w:spacing w:after="0"/>
              <w:rPr>
                <w:sz w:val="20"/>
                <w:szCs w:val="20"/>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Against</w:t>
            </w:r>
          </w:p>
        </w:tc>
        <w:tc>
          <w:tcPr>
            <w:tcW w:w="240" w:type="dxa"/>
            <w:vAlign w:val="bottom"/>
            <w:tcBorders>
              <w:bottom w:val="single" w:sz="8" w:color="CCEEFF"/>
            </w:tcBorders>
          </w:tcPr>
          <w:p>
            <w:pPr>
              <w:spacing w:after="0"/>
              <w:rPr>
                <w:sz w:val="20"/>
                <w:szCs w:val="20"/>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Abstain</w:t>
            </w:r>
          </w:p>
        </w:tc>
        <w:tc>
          <w:tcPr>
            <w:tcW w:w="240" w:type="dxa"/>
            <w:vAlign w:val="bottom"/>
            <w:tcBorders>
              <w:bottom w:val="single" w:sz="8" w:color="CCEEFF"/>
            </w:tcBorders>
          </w:tcPr>
          <w:p>
            <w:pPr>
              <w:spacing w:after="0"/>
              <w:rPr>
                <w:sz w:val="20"/>
                <w:szCs w:val="20"/>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Broker Non Votes</w:t>
            </w:r>
          </w:p>
        </w:tc>
      </w:tr>
      <w:tr>
        <w:trPr>
          <w:trHeight w:val="223"/>
        </w:trPr>
        <w:tc>
          <w:tcPr>
            <w:tcW w:w="19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472,760,325</w:t>
            </w:r>
          </w:p>
        </w:tc>
        <w:tc>
          <w:tcPr>
            <w:tcW w:w="218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31,290,276</w:t>
            </w:r>
          </w:p>
        </w:tc>
        <w:tc>
          <w:tcPr>
            <w:tcW w:w="220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3,129,705</w:t>
            </w:r>
          </w:p>
        </w:tc>
        <w:tc>
          <w:tcPr>
            <w:tcW w:w="218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69,871,500</w:t>
            </w:r>
          </w:p>
        </w:tc>
      </w:tr>
    </w:tbl>
    <w:p>
      <w:pPr>
        <w:spacing w:after="0" w:line="365" w:lineRule="exact"/>
        <w:rPr>
          <w:sz w:val="20"/>
          <w:szCs w:val="20"/>
          <w:color w:val="auto"/>
        </w:rPr>
      </w:pPr>
    </w:p>
    <w:p>
      <w:pPr>
        <w:ind w:left="540" w:right="320" w:hanging="251"/>
        <w:spacing w:after="0" w:line="234" w:lineRule="auto"/>
        <w:tabs>
          <w:tab w:leader="none" w:pos="540" w:val="left"/>
        </w:tabs>
        <w:numPr>
          <w:ilvl w:val="0"/>
          <w:numId w:val="4"/>
        </w:numPr>
        <w:rPr>
          <w:rFonts w:ascii="Arial" w:cs="Arial" w:eastAsia="Arial" w:hAnsi="Arial"/>
          <w:sz w:val="18"/>
          <w:szCs w:val="18"/>
          <w:color w:val="auto"/>
        </w:rPr>
      </w:pPr>
      <w:r>
        <w:rPr>
          <w:rFonts w:ascii="Arial" w:cs="Arial" w:eastAsia="Arial" w:hAnsi="Arial"/>
          <w:sz w:val="18"/>
          <w:szCs w:val="18"/>
          <w:color w:val="auto"/>
        </w:rPr>
        <w:t>The shareowners approved the appointment of Deloitte &amp; Touche LLP as independent accountants for 2023. The voting results are set forth below:</w:t>
      </w:r>
    </w:p>
    <w:p>
      <w:pPr>
        <w:spacing w:after="0" w:line="153" w:lineRule="exact"/>
        <w:rPr>
          <w:sz w:val="20"/>
          <w:szCs w:val="20"/>
          <w:color w:val="auto"/>
        </w:rPr>
      </w:pPr>
    </w:p>
    <w:tbl>
      <w:tblPr>
        <w:tblLayout w:type="fixed"/>
        <w:tblInd w:w="260" w:type="dxa"/>
        <w:tblCellMar>
          <w:top w:w="0" w:type="dxa"/>
          <w:left w:w="0" w:type="dxa"/>
          <w:bottom w:w="0" w:type="dxa"/>
          <w:right w:w="0" w:type="dxa"/>
        </w:tblCellMar>
      </w:tblPr>
      <w:tr>
        <w:trPr>
          <w:trHeight w:val="252"/>
        </w:trPr>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For</w:t>
            </w:r>
          </w:p>
        </w:tc>
        <w:tc>
          <w:tcPr>
            <w:tcW w:w="240" w:type="dxa"/>
            <w:vAlign w:val="bottom"/>
            <w:tcBorders>
              <w:bottom w:val="single" w:sz="8" w:color="CCEEFF"/>
            </w:tcBorders>
          </w:tcPr>
          <w:p>
            <w:pPr>
              <w:spacing w:after="0"/>
              <w:rPr>
                <w:sz w:val="21"/>
                <w:szCs w:val="21"/>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Against</w:t>
            </w:r>
          </w:p>
        </w:tc>
        <w:tc>
          <w:tcPr>
            <w:tcW w:w="240" w:type="dxa"/>
            <w:vAlign w:val="bottom"/>
            <w:tcBorders>
              <w:bottom w:val="single" w:sz="8" w:color="CCEEFF"/>
            </w:tcBorders>
          </w:tcPr>
          <w:p>
            <w:pPr>
              <w:spacing w:after="0"/>
              <w:rPr>
                <w:sz w:val="21"/>
                <w:szCs w:val="21"/>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Abstain</w:t>
            </w:r>
          </w:p>
        </w:tc>
      </w:tr>
      <w:tr>
        <w:trPr>
          <w:trHeight w:val="224"/>
        </w:trPr>
        <w:tc>
          <w:tcPr>
            <w:tcW w:w="19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570,857,759</w:t>
            </w:r>
          </w:p>
        </w:tc>
        <w:tc>
          <w:tcPr>
            <w:tcW w:w="220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4,571,498</w:t>
            </w:r>
          </w:p>
        </w:tc>
        <w:tc>
          <w:tcPr>
            <w:tcW w:w="220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1,622,549</w:t>
            </w:r>
          </w:p>
        </w:tc>
      </w:tr>
    </w:tbl>
    <w:p>
      <w:pPr>
        <w:spacing w:after="0" w:line="365" w:lineRule="exact"/>
        <w:rPr>
          <w:sz w:val="20"/>
          <w:szCs w:val="20"/>
          <w:color w:val="auto"/>
        </w:rPr>
      </w:pPr>
    </w:p>
    <w:p>
      <w:pPr>
        <w:jc w:val="center"/>
        <w:ind w:right="20"/>
        <w:spacing w:after="0"/>
        <w:rPr>
          <w:sz w:val="20"/>
          <w:szCs w:val="20"/>
          <w:color w:val="auto"/>
        </w:rPr>
      </w:pPr>
      <w:r>
        <w:rPr>
          <w:rFonts w:ascii="Arial" w:cs="Arial" w:eastAsia="Arial" w:hAnsi="Arial"/>
          <w:sz w:val="18"/>
          <w:szCs w:val="18"/>
          <w:color w:val="auto"/>
        </w:rPr>
        <w:t>5. The shareowners did not approve the shareowner proposal titled “Independent Board Chair.” The voting results are set forth below:</w:t>
      </w:r>
    </w:p>
    <w:p>
      <w:pPr>
        <w:spacing w:after="0" w:line="175" w:lineRule="exact"/>
        <w:rPr>
          <w:sz w:val="20"/>
          <w:szCs w:val="20"/>
          <w:color w:val="auto"/>
        </w:rPr>
      </w:pPr>
    </w:p>
    <w:tbl>
      <w:tblPr>
        <w:tblLayout w:type="fixed"/>
        <w:tblInd w:w="260" w:type="dxa"/>
        <w:tblCellMar>
          <w:top w:w="0" w:type="dxa"/>
          <w:left w:w="0" w:type="dxa"/>
          <w:bottom w:w="0" w:type="dxa"/>
          <w:right w:w="0" w:type="dxa"/>
        </w:tblCellMar>
      </w:tblPr>
      <w:tr>
        <w:trPr>
          <w:trHeight w:val="239"/>
        </w:trPr>
        <w:tc>
          <w:tcPr>
            <w:tcW w:w="198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For</w:t>
            </w:r>
          </w:p>
        </w:tc>
        <w:tc>
          <w:tcPr>
            <w:tcW w:w="220" w:type="dxa"/>
            <w:vAlign w:val="bottom"/>
          </w:tcPr>
          <w:p>
            <w:pPr>
              <w:spacing w:after="0"/>
              <w:rPr>
                <w:sz w:val="20"/>
                <w:szCs w:val="20"/>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Against</w:t>
            </w:r>
          </w:p>
        </w:tc>
        <w:tc>
          <w:tcPr>
            <w:tcW w:w="240" w:type="dxa"/>
            <w:vAlign w:val="bottom"/>
          </w:tcPr>
          <w:p>
            <w:pPr>
              <w:spacing w:after="0"/>
              <w:rPr>
                <w:sz w:val="20"/>
                <w:szCs w:val="20"/>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Abstain</w:t>
            </w:r>
          </w:p>
        </w:tc>
        <w:tc>
          <w:tcPr>
            <w:tcW w:w="240" w:type="dxa"/>
            <w:vAlign w:val="bottom"/>
          </w:tcPr>
          <w:p>
            <w:pPr>
              <w:spacing w:after="0"/>
              <w:rPr>
                <w:sz w:val="20"/>
                <w:szCs w:val="20"/>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Broker Non Votes</w:t>
            </w:r>
          </w:p>
        </w:tc>
      </w:tr>
      <w:tr>
        <w:trPr>
          <w:trHeight w:val="237"/>
        </w:trPr>
        <w:tc>
          <w:tcPr>
            <w:tcW w:w="1980" w:type="dxa"/>
            <w:vAlign w:val="bottom"/>
            <w:shd w:val="clear" w:color="auto" w:fill="CCEEFF"/>
          </w:tcPr>
          <w:p>
            <w:pPr>
              <w:jc w:val="right"/>
              <w:ind w:right="390"/>
              <w:spacing w:after="0"/>
              <w:rPr>
                <w:sz w:val="20"/>
                <w:szCs w:val="20"/>
                <w:color w:val="auto"/>
              </w:rPr>
            </w:pPr>
            <w:r>
              <w:rPr>
                <w:rFonts w:ascii="Arial" w:cs="Arial" w:eastAsia="Arial" w:hAnsi="Arial"/>
                <w:sz w:val="18"/>
                <w:szCs w:val="18"/>
                <w:color w:val="auto"/>
              </w:rPr>
              <w:t>225,018,167</w:t>
            </w:r>
          </w:p>
        </w:tc>
        <w:tc>
          <w:tcPr>
            <w:tcW w:w="218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279,355,774</w:t>
            </w:r>
          </w:p>
        </w:tc>
        <w:tc>
          <w:tcPr>
            <w:tcW w:w="220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2,806,365</w:t>
            </w:r>
          </w:p>
        </w:tc>
        <w:tc>
          <w:tcPr>
            <w:tcW w:w="218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69,871,500</w:t>
            </w:r>
          </w:p>
        </w:tc>
      </w:tr>
    </w:tbl>
    <w:p>
      <w:pPr>
        <w:spacing w:after="0" w:line="352" w:lineRule="exact"/>
        <w:rPr>
          <w:sz w:val="20"/>
          <w:szCs w:val="20"/>
          <w:color w:val="auto"/>
        </w:rPr>
      </w:pPr>
    </w:p>
    <w:p>
      <w:pPr>
        <w:ind w:left="540" w:right="320" w:hanging="251"/>
        <w:spacing w:after="0" w:line="244" w:lineRule="auto"/>
        <w:tabs>
          <w:tab w:leader="none" w:pos="540" w:val="left"/>
        </w:tabs>
        <w:numPr>
          <w:ilvl w:val="0"/>
          <w:numId w:val="5"/>
        </w:numPr>
        <w:rPr>
          <w:rFonts w:ascii="Arial" w:cs="Arial" w:eastAsia="Arial" w:hAnsi="Arial"/>
          <w:sz w:val="18"/>
          <w:szCs w:val="18"/>
          <w:color w:val="auto"/>
        </w:rPr>
      </w:pPr>
      <w:r>
        <w:rPr>
          <w:rFonts w:ascii="Arial" w:cs="Arial" w:eastAsia="Arial" w:hAnsi="Arial"/>
          <w:sz w:val="18"/>
          <w:szCs w:val="18"/>
          <w:color w:val="auto"/>
        </w:rPr>
        <w:t>The shareowners did not approve the shareowner proposal titled “Environmental and Health Impact Report.” The voting results are set forth below:</w:t>
      </w:r>
    </w:p>
    <w:p>
      <w:pPr>
        <w:spacing w:after="0" w:line="150" w:lineRule="exact"/>
        <w:rPr>
          <w:sz w:val="20"/>
          <w:szCs w:val="20"/>
          <w:color w:val="auto"/>
        </w:rPr>
      </w:pPr>
    </w:p>
    <w:tbl>
      <w:tblPr>
        <w:tblLayout w:type="fixed"/>
        <w:tblInd w:w="0" w:type="dxa"/>
        <w:tblCellMar>
          <w:top w:w="0" w:type="dxa"/>
          <w:left w:w="0" w:type="dxa"/>
          <w:bottom w:w="0" w:type="dxa"/>
          <w:right w:w="0" w:type="dxa"/>
        </w:tblCellMar>
      </w:tblPr>
      <w:tr>
        <w:trPr>
          <w:trHeight w:val="239"/>
        </w:trPr>
        <w:tc>
          <w:tcPr>
            <w:tcW w:w="260" w:type="dxa"/>
            <w:vAlign w:val="bottom"/>
          </w:tcPr>
          <w:p>
            <w:pPr>
              <w:spacing w:after="0"/>
              <w:rPr>
                <w:sz w:val="20"/>
                <w:szCs w:val="20"/>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rPr>
              <w:t>For</w:t>
            </w:r>
          </w:p>
        </w:tc>
        <w:tc>
          <w:tcPr>
            <w:tcW w:w="240" w:type="dxa"/>
            <w:vAlign w:val="bottom"/>
          </w:tcPr>
          <w:p>
            <w:pPr>
              <w:spacing w:after="0"/>
              <w:rPr>
                <w:sz w:val="20"/>
                <w:szCs w:val="20"/>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Against</w:t>
            </w:r>
          </w:p>
        </w:tc>
        <w:tc>
          <w:tcPr>
            <w:tcW w:w="240" w:type="dxa"/>
            <w:vAlign w:val="bottom"/>
          </w:tcPr>
          <w:p>
            <w:pPr>
              <w:spacing w:after="0"/>
              <w:rPr>
                <w:sz w:val="20"/>
                <w:szCs w:val="20"/>
                <w:color w:val="auto"/>
              </w:rPr>
            </w:pPr>
          </w:p>
        </w:tc>
        <w:tc>
          <w:tcPr>
            <w:tcW w:w="196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9"/>
              </w:rPr>
              <w:t>Abstain</w:t>
            </w:r>
          </w:p>
        </w:tc>
        <w:tc>
          <w:tcPr>
            <w:tcW w:w="240" w:type="dxa"/>
            <w:vAlign w:val="bottom"/>
          </w:tcPr>
          <w:p>
            <w:pPr>
              <w:spacing w:after="0"/>
              <w:rPr>
                <w:sz w:val="20"/>
                <w:szCs w:val="20"/>
                <w:color w:val="auto"/>
              </w:rPr>
            </w:pPr>
          </w:p>
        </w:tc>
        <w:tc>
          <w:tcPr>
            <w:tcW w:w="1940" w:type="dxa"/>
            <w:vAlign w:val="bottom"/>
            <w:tcBorders>
              <w:bottom w:val="single" w:sz="8" w:color="auto"/>
            </w:tcBorders>
          </w:tcPr>
          <w:p>
            <w:pPr>
              <w:jc w:val="center"/>
              <w:spacing w:after="0"/>
              <w:rPr>
                <w:sz w:val="20"/>
                <w:szCs w:val="20"/>
                <w:color w:val="auto"/>
              </w:rPr>
            </w:pPr>
            <w:r>
              <w:rPr>
                <w:rFonts w:ascii="Arial" w:cs="Arial" w:eastAsia="Arial" w:hAnsi="Arial"/>
                <w:sz w:val="18"/>
                <w:szCs w:val="18"/>
                <w:b w:val="1"/>
                <w:bCs w:val="1"/>
                <w:color w:val="auto"/>
                <w:w w:val="98"/>
              </w:rPr>
              <w:t>Broker Non Votes</w:t>
            </w:r>
          </w:p>
        </w:tc>
        <w:tc>
          <w:tcPr>
            <w:tcW w:w="2440" w:type="dxa"/>
            <w:vAlign w:val="bottom"/>
          </w:tcPr>
          <w:p>
            <w:pPr>
              <w:spacing w:after="0"/>
              <w:rPr>
                <w:sz w:val="20"/>
                <w:szCs w:val="20"/>
                <w:color w:val="auto"/>
              </w:rPr>
            </w:pPr>
          </w:p>
        </w:tc>
      </w:tr>
      <w:tr>
        <w:trPr>
          <w:trHeight w:val="236"/>
        </w:trPr>
        <w:tc>
          <w:tcPr>
            <w:tcW w:w="260" w:type="dxa"/>
            <w:vAlign w:val="bottom"/>
          </w:tcPr>
          <w:p>
            <w:pPr>
              <w:spacing w:after="0"/>
              <w:rPr>
                <w:sz w:val="20"/>
                <w:szCs w:val="20"/>
                <w:color w:val="auto"/>
              </w:rPr>
            </w:pPr>
          </w:p>
        </w:tc>
        <w:tc>
          <w:tcPr>
            <w:tcW w:w="1960" w:type="dxa"/>
            <w:vAlign w:val="bottom"/>
            <w:shd w:val="clear" w:color="auto" w:fill="CCEEFF"/>
          </w:tcPr>
          <w:p>
            <w:pPr>
              <w:jc w:val="right"/>
              <w:ind w:right="430"/>
              <w:spacing w:after="0"/>
              <w:rPr>
                <w:sz w:val="20"/>
                <w:szCs w:val="20"/>
                <w:color w:val="auto"/>
              </w:rPr>
            </w:pPr>
            <w:r>
              <w:rPr>
                <w:rFonts w:ascii="Arial" w:cs="Arial" w:eastAsia="Arial" w:hAnsi="Arial"/>
                <w:sz w:val="18"/>
                <w:szCs w:val="18"/>
                <w:color w:val="auto"/>
              </w:rPr>
              <w:t>64,977,227</w:t>
            </w:r>
          </w:p>
        </w:tc>
        <w:tc>
          <w:tcPr>
            <w:tcW w:w="2200" w:type="dxa"/>
            <w:vAlign w:val="bottom"/>
            <w:gridSpan w:val="2"/>
            <w:shd w:val="clear" w:color="auto" w:fill="CCEEFF"/>
          </w:tcPr>
          <w:p>
            <w:pPr>
              <w:jc w:val="right"/>
              <w:ind w:right="390"/>
              <w:spacing w:after="0"/>
              <w:rPr>
                <w:sz w:val="20"/>
                <w:szCs w:val="20"/>
                <w:color w:val="auto"/>
              </w:rPr>
            </w:pPr>
            <w:r>
              <w:rPr>
                <w:rFonts w:ascii="Arial" w:cs="Arial" w:eastAsia="Arial" w:hAnsi="Arial"/>
                <w:sz w:val="18"/>
                <w:szCs w:val="18"/>
                <w:color w:val="auto"/>
              </w:rPr>
              <w:t>433,196,545</w:t>
            </w:r>
          </w:p>
        </w:tc>
        <w:tc>
          <w:tcPr>
            <w:tcW w:w="2200" w:type="dxa"/>
            <w:vAlign w:val="bottom"/>
            <w:gridSpan w:val="2"/>
            <w:shd w:val="clear" w:color="auto" w:fill="CCEEFF"/>
          </w:tcPr>
          <w:p>
            <w:pPr>
              <w:jc w:val="right"/>
              <w:ind w:right="490"/>
              <w:spacing w:after="0"/>
              <w:rPr>
                <w:sz w:val="20"/>
                <w:szCs w:val="20"/>
                <w:color w:val="auto"/>
              </w:rPr>
            </w:pPr>
            <w:r>
              <w:rPr>
                <w:rFonts w:ascii="Arial" w:cs="Arial" w:eastAsia="Arial" w:hAnsi="Arial"/>
                <w:sz w:val="18"/>
                <w:szCs w:val="18"/>
                <w:color w:val="auto"/>
              </w:rPr>
              <w:t>9,006,534</w:t>
            </w:r>
          </w:p>
        </w:tc>
        <w:tc>
          <w:tcPr>
            <w:tcW w:w="2180" w:type="dxa"/>
            <w:vAlign w:val="bottom"/>
            <w:gridSpan w:val="2"/>
            <w:shd w:val="clear" w:color="auto" w:fill="CCEEFF"/>
          </w:tcPr>
          <w:p>
            <w:pPr>
              <w:jc w:val="right"/>
              <w:ind w:right="430"/>
              <w:spacing w:after="0"/>
              <w:rPr>
                <w:sz w:val="20"/>
                <w:szCs w:val="20"/>
                <w:color w:val="auto"/>
              </w:rPr>
            </w:pPr>
            <w:r>
              <w:rPr>
                <w:rFonts w:ascii="Arial" w:cs="Arial" w:eastAsia="Arial" w:hAnsi="Arial"/>
                <w:sz w:val="18"/>
                <w:szCs w:val="18"/>
                <w:color w:val="auto"/>
              </w:rPr>
              <w:t>69,871,500</w:t>
            </w:r>
          </w:p>
        </w:tc>
        <w:tc>
          <w:tcPr>
            <w:tcW w:w="2440" w:type="dxa"/>
            <w:vAlign w:val="bottom"/>
          </w:tcPr>
          <w:p>
            <w:pPr>
              <w:spacing w:after="0"/>
              <w:rPr>
                <w:sz w:val="20"/>
                <w:szCs w:val="20"/>
                <w:color w:val="auto"/>
              </w:rPr>
            </w:pPr>
          </w:p>
        </w:tc>
      </w:tr>
      <w:tr>
        <w:trPr>
          <w:trHeight w:val="965"/>
        </w:trPr>
        <w:tc>
          <w:tcPr>
            <w:tcW w:w="26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960" w:type="dxa"/>
            <w:vAlign w:val="bottom"/>
            <w:tcBorders>
              <w:bottom w:val="single" w:sz="8" w:color="9A9A9A"/>
            </w:tcBorders>
          </w:tcPr>
          <w:p>
            <w:pPr>
              <w:spacing w:after="0"/>
              <w:rPr>
                <w:sz w:val="24"/>
                <w:szCs w:val="24"/>
                <w:color w:val="auto"/>
              </w:rPr>
            </w:pPr>
          </w:p>
        </w:tc>
        <w:tc>
          <w:tcPr>
            <w:tcW w:w="240" w:type="dxa"/>
            <w:vAlign w:val="bottom"/>
            <w:tcBorders>
              <w:bottom w:val="single" w:sz="8" w:color="9A9A9A"/>
            </w:tcBorders>
          </w:tcPr>
          <w:p>
            <w:pPr>
              <w:spacing w:after="0"/>
              <w:rPr>
                <w:sz w:val="24"/>
                <w:szCs w:val="24"/>
                <w:color w:val="auto"/>
              </w:rPr>
            </w:pPr>
          </w:p>
        </w:tc>
        <w:tc>
          <w:tcPr>
            <w:tcW w:w="1940" w:type="dxa"/>
            <w:vAlign w:val="bottom"/>
            <w:tcBorders>
              <w:bottom w:val="single" w:sz="8" w:color="9A9A9A"/>
            </w:tcBorders>
          </w:tcPr>
          <w:p>
            <w:pPr>
              <w:spacing w:after="0"/>
              <w:rPr>
                <w:sz w:val="24"/>
                <w:szCs w:val="24"/>
                <w:color w:val="auto"/>
              </w:rPr>
            </w:pPr>
          </w:p>
        </w:tc>
        <w:tc>
          <w:tcPr>
            <w:tcW w:w="2440" w:type="dxa"/>
            <w:vAlign w:val="bottom"/>
            <w:tcBorders>
              <w:bottom w:val="single" w:sz="8" w:color="9A9A9A"/>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4290" cy="425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34290"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886" w:right="339" w:bottom="1440" w:gutter="0" w:footer="0" w:header="0"/>
        </w:sectPr>
      </w:pPr>
    </w:p>
    <w:bookmarkStart w:id="2" w:name="page3"/>
    <w:bookmarkEnd w:id="2"/>
    <w:p>
      <w:pPr>
        <w:jc w:val="center"/>
        <w:ind w:right="-159"/>
        <w:spacing w:after="0"/>
        <w:rPr>
          <w:sz w:val="20"/>
          <w:szCs w:val="20"/>
          <w:color w:val="auto"/>
        </w:rPr>
      </w:pPr>
      <w:r>
        <w:rPr>
          <w:rFonts w:ascii="Arial" w:cs="Arial" w:eastAsia="Arial" w:hAnsi="Arial"/>
          <w:sz w:val="18"/>
          <w:szCs w:val="18"/>
          <w:b w:val="1"/>
          <w:bCs w:val="1"/>
          <w:color w:val="auto"/>
        </w:rPr>
        <w:t>SIGNATURE</w:t>
      </w:r>
    </w:p>
    <w:p>
      <w:pPr>
        <w:spacing w:after="0" w:line="235" w:lineRule="exact"/>
        <w:rPr>
          <w:sz w:val="20"/>
          <w:szCs w:val="20"/>
          <w:color w:val="auto"/>
        </w:rPr>
      </w:pPr>
    </w:p>
    <w:p>
      <w:pPr>
        <w:ind w:firstLine="648"/>
        <w:spacing w:after="0" w:line="275" w:lineRule="auto"/>
        <w:rPr>
          <w:sz w:val="20"/>
          <w:szCs w:val="20"/>
          <w:color w:val="auto"/>
        </w:rPr>
      </w:pPr>
      <w:r>
        <w:rPr>
          <w:rFonts w:ascii="Arial" w:cs="Arial" w:eastAsia="Arial" w:hAnsi="Arial"/>
          <w:sz w:val="18"/>
          <w:szCs w:val="18"/>
          <w:color w:val="auto"/>
        </w:rPr>
        <w:t>Pursuant to the requirements of the Securities Exchange Act of 1934, as amended, the Registrant has duly caused this report to be signed on its behalf by the undersigned hereunto duly authorized.</w:t>
      </w:r>
    </w:p>
    <w:p>
      <w:pPr>
        <w:spacing w:after="0" w:line="241" w:lineRule="exact"/>
        <w:rPr>
          <w:sz w:val="20"/>
          <w:szCs w:val="20"/>
          <w:color w:val="auto"/>
        </w:rPr>
      </w:pPr>
    </w:p>
    <w:p>
      <w:pPr>
        <w:ind w:left="300"/>
        <w:spacing w:after="0"/>
        <w:tabs>
          <w:tab w:leader="none" w:pos="5380" w:val="left"/>
        </w:tabs>
        <w:rPr>
          <w:sz w:val="20"/>
          <w:szCs w:val="20"/>
          <w:color w:val="auto"/>
        </w:rPr>
      </w:pPr>
      <w:r>
        <w:rPr>
          <w:rFonts w:ascii="Arial" w:cs="Arial" w:eastAsia="Arial" w:hAnsi="Arial"/>
          <w:sz w:val="18"/>
          <w:szCs w:val="18"/>
          <w:color w:val="auto"/>
        </w:rPr>
        <w:t>Date: May 23, 2023</w:t>
      </w:r>
      <w:r>
        <w:rPr>
          <w:sz w:val="20"/>
          <w:szCs w:val="20"/>
          <w:color w:val="auto"/>
        </w:rPr>
        <w:tab/>
      </w:r>
      <w:r>
        <w:rPr>
          <w:rFonts w:ascii="Arial" w:cs="Arial" w:eastAsia="Arial" w:hAnsi="Arial"/>
          <w:sz w:val="17"/>
          <w:szCs w:val="17"/>
          <w:color w:val="auto"/>
        </w:rPr>
        <w:t>HONEYWELL INTERNATIONAL INC.</w:t>
      </w:r>
    </w:p>
    <w:p>
      <w:pPr>
        <w:spacing w:after="0" w:line="266"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 xml:space="preserve">By: </w:t>
      </w:r>
      <w:r>
        <w:rPr>
          <w:rFonts w:ascii="Arial" w:cs="Arial" w:eastAsia="Arial" w:hAnsi="Arial"/>
          <w:sz w:val="18"/>
          <w:szCs w:val="18"/>
          <w:u w:val="single" w:color="auto"/>
          <w:color w:val="auto"/>
        </w:rPr>
        <w:t>/s/ Victor J. Miller</w:t>
      </w:r>
    </w:p>
    <w:p>
      <w:pPr>
        <w:spacing w:after="0" w:line="23"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Victor J. Miller</w:t>
      </w:r>
    </w:p>
    <w:p>
      <w:pPr>
        <w:spacing w:after="0" w:line="17" w:lineRule="exact"/>
        <w:rPr>
          <w:sz w:val="20"/>
          <w:szCs w:val="20"/>
          <w:color w:val="auto"/>
        </w:rPr>
      </w:pPr>
    </w:p>
    <w:p>
      <w:pPr>
        <w:ind w:left="5400"/>
        <w:spacing w:after="0"/>
        <w:rPr>
          <w:sz w:val="20"/>
          <w:szCs w:val="20"/>
          <w:color w:val="auto"/>
        </w:rPr>
      </w:pPr>
      <w:r>
        <w:rPr>
          <w:rFonts w:ascii="Arial" w:cs="Arial" w:eastAsia="Arial" w:hAnsi="Arial"/>
          <w:sz w:val="18"/>
          <w:szCs w:val="18"/>
          <w:color w:val="auto"/>
        </w:rPr>
        <w:t>Vice President, Deputy General Counsel, Corporate</w:t>
      </w:r>
    </w:p>
    <w:p>
      <w:pPr>
        <w:ind w:left="5400"/>
        <w:spacing w:after="0"/>
        <w:rPr>
          <w:sz w:val="20"/>
          <w:szCs w:val="20"/>
          <w:color w:val="auto"/>
        </w:rPr>
      </w:pPr>
      <w:r>
        <w:rPr>
          <w:rFonts w:ascii="Arial" w:cs="Arial" w:eastAsia="Arial" w:hAnsi="Arial"/>
          <w:sz w:val="18"/>
          <w:szCs w:val="18"/>
          <w:color w:val="auto"/>
        </w:rPr>
        <w:t>Secretary and Chief Compliance Officer</w:t>
      </w:r>
    </w:p>
    <w:sectPr>
      <w:pgSz w:w="11900" w:h="16838" w:orient="portrait"/>
      <w:cols w:equalWidth="0" w:num="1">
        <w:col w:w="11080"/>
      </w:cols>
      <w:pgMar w:left="320" w:top="1129" w:right="49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19495CFF"/>
    <w:multiLevelType w:val="hybridMultilevel"/>
    <w:lvl w:ilvl="0">
      <w:lvlJc w:val="left"/>
      <w:lvlText w:val="☐"/>
      <w:numFmt w:val="bullet"/>
      <w:start w:val="1"/>
    </w:lvl>
  </w:abstractNum>
  <w:abstractNum w:abstractNumId="1">
    <w:nsid w:val="2AE8944A"/>
    <w:multiLevelType w:val="hybridMultilevel"/>
    <w:lvl w:ilvl="0">
      <w:lvlJc w:val="left"/>
      <w:lvlText w:val="%1."/>
      <w:numFmt w:val="decimal"/>
      <w:start w:val="2"/>
    </w:lvl>
  </w:abstractNum>
  <w:abstractNum w:abstractNumId="2">
    <w:nsid w:val="625558EC"/>
    <w:multiLevelType w:val="hybridMultilevel"/>
    <w:lvl w:ilvl="0">
      <w:lvlJc w:val="left"/>
      <w:lvlText w:val="%1."/>
      <w:numFmt w:val="decimal"/>
      <w:start w:val="3"/>
    </w:lvl>
  </w:abstractNum>
  <w:abstractNum w:abstractNumId="3">
    <w:nsid w:val="238E1F29"/>
    <w:multiLevelType w:val="hybridMultilevel"/>
    <w:lvl w:ilvl="0">
      <w:lvlJc w:val="left"/>
      <w:lvlText w:val="%1."/>
      <w:numFmt w:val="decimal"/>
      <w:start w:val="4"/>
    </w:lvl>
  </w:abstractNum>
  <w:abstractNum w:abstractNumId="4">
    <w:nsid w:val="46E87CCD"/>
    <w:multiLevelType w:val="hybridMultilevel"/>
    <w:lvl w:ilvl="0">
      <w:lvlJc w:val="left"/>
      <w:lvlText w:val="%1."/>
      <w:numFmt w:val="decimal"/>
      <w:start w:val="6"/>
    </w:lvl>
  </w:abstractNum>
  <w:num w:numId="1">
    <w:abstractNumId w:val="0"/>
  </w:num>
  <w:num w:numId="2">
    <w:abstractNumId w:val="1"/>
  </w:num>
  <w:num w:numId="3">
    <w:abstractNumId w:val="2"/>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2023-05-23T15:39:48Z</dcterms:created>
  <dcterms:modified xsi:type="dcterms:W3CDTF">2023-05-23T15:39:48Z</dcterms:modified>
</cp:coreProperties>
</file>