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20"/>
                <w:szCs w:val="20"/>
                <w:color w:val="auto"/>
              </w:rPr>
            </w:pPr>
            <w:r>
              <w:rPr>
                <w:rFonts w:ascii="Arial" w:cs="Arial" w:eastAsia="Arial" w:hAnsi="Arial"/>
                <w:sz w:val="14"/>
                <w:szCs w:val="14"/>
                <w:b w:val="1"/>
                <w:bCs w:val="1"/>
                <w:color w:val="auto"/>
              </w:rPr>
              <w:t>Anne T. Madden</w:t>
            </w:r>
          </w:p>
        </w:tc>
        <w:tc>
          <w:tcPr>
            <w:tcW w:w="2460" w:type="dxa"/>
            <w:vAlign w:val="bottom"/>
          </w:tcPr>
          <w:p>
            <w:pPr>
              <w:ind w:left="440"/>
              <w:spacing w:after="0"/>
              <w:rPr>
                <w:sz w:val="20"/>
                <w:szCs w:val="20"/>
                <w:color w:val="auto"/>
              </w:rPr>
            </w:pPr>
            <w:r>
              <w:rPr>
                <w:rFonts w:ascii="Arial" w:cs="Arial" w:eastAsia="Arial" w:hAnsi="Arial"/>
                <w:sz w:val="14"/>
                <w:szCs w:val="14"/>
                <w:color w:val="auto"/>
              </w:rPr>
              <w:t>Corporate Law</w:t>
            </w:r>
          </w:p>
        </w:tc>
        <w:tc>
          <w:tcPr>
            <w:tcW w:w="2460" w:type="dxa"/>
            <w:vAlign w:val="bottom"/>
          </w:tcPr>
          <w:p>
            <w:pPr>
              <w:ind w:left="500"/>
              <w:spacing w:after="0"/>
              <w:rPr>
                <w:sz w:val="20"/>
                <w:szCs w:val="20"/>
                <w:color w:val="auto"/>
              </w:rPr>
            </w:pPr>
            <w:r>
              <w:rPr>
                <w:rFonts w:ascii="Arial" w:cs="Arial" w:eastAsia="Arial" w:hAnsi="Arial"/>
                <w:sz w:val="14"/>
                <w:szCs w:val="14"/>
                <w:color w:val="auto"/>
              </w:rPr>
              <w:t>Phone 973-455-2454</w:t>
            </w:r>
          </w:p>
        </w:tc>
      </w:tr>
      <w:tr>
        <w:trPr>
          <w:trHeight w:val="179"/>
        </w:trPr>
        <w:tc>
          <w:tcPr>
            <w:tcW w:w="3000" w:type="dxa"/>
            <w:vAlign w:val="bottom"/>
          </w:tcPr>
          <w:p>
            <w:pPr>
              <w:spacing w:after="0"/>
              <w:rPr>
                <w:sz w:val="20"/>
                <w:szCs w:val="20"/>
                <w:color w:val="auto"/>
              </w:rPr>
            </w:pPr>
            <w:r>
              <w:rPr>
                <w:rFonts w:ascii="Arial" w:cs="Arial" w:eastAsia="Arial" w:hAnsi="Arial"/>
                <w:sz w:val="14"/>
                <w:szCs w:val="14"/>
                <w:color w:val="auto"/>
              </w:rPr>
              <w:t>Senior Vice President,</w:t>
            </w:r>
          </w:p>
        </w:tc>
        <w:tc>
          <w:tcPr>
            <w:tcW w:w="2460" w:type="dxa"/>
            <w:vAlign w:val="bottom"/>
          </w:tcPr>
          <w:p>
            <w:pPr>
              <w:ind w:left="440"/>
              <w:spacing w:after="0"/>
              <w:rPr>
                <w:sz w:val="20"/>
                <w:szCs w:val="20"/>
                <w:color w:val="auto"/>
              </w:rPr>
            </w:pPr>
            <w:r>
              <w:rPr>
                <w:rFonts w:ascii="Arial" w:cs="Arial" w:eastAsia="Arial" w:hAnsi="Arial"/>
                <w:sz w:val="14"/>
                <w:szCs w:val="14"/>
                <w:color w:val="auto"/>
              </w:rPr>
              <w:t>115 Tabor Road</w:t>
            </w:r>
          </w:p>
        </w:tc>
        <w:tc>
          <w:tcPr>
            <w:tcW w:w="2460" w:type="dxa"/>
            <w:vAlign w:val="bottom"/>
          </w:tcPr>
          <w:p>
            <w:pPr>
              <w:ind w:left="500"/>
              <w:spacing w:after="0"/>
              <w:rPr>
                <w:sz w:val="20"/>
                <w:szCs w:val="20"/>
                <w:color w:val="auto"/>
              </w:rPr>
            </w:pPr>
            <w:r>
              <w:rPr>
                <w:rFonts w:ascii="Arial" w:cs="Arial" w:eastAsia="Arial" w:hAnsi="Arial"/>
                <w:sz w:val="14"/>
                <w:szCs w:val="14"/>
                <w:color w:val="auto"/>
              </w:rPr>
              <w:t>anne.madden@honeywell.com</w:t>
            </w:r>
          </w:p>
        </w:tc>
      </w:tr>
      <w:tr>
        <w:trPr>
          <w:trHeight w:val="199"/>
        </w:trPr>
        <w:tc>
          <w:tcPr>
            <w:tcW w:w="3000" w:type="dxa"/>
            <w:vAlign w:val="bottom"/>
          </w:tcPr>
          <w:p>
            <w:pPr>
              <w:spacing w:after="0"/>
              <w:rPr>
                <w:sz w:val="20"/>
                <w:szCs w:val="20"/>
                <w:color w:val="auto"/>
              </w:rPr>
            </w:pPr>
            <w:r>
              <w:rPr>
                <w:rFonts w:ascii="Arial" w:cs="Arial" w:eastAsia="Arial" w:hAnsi="Arial"/>
                <w:sz w:val="14"/>
                <w:szCs w:val="14"/>
                <w:color w:val="auto"/>
              </w:rPr>
              <w:t>General Counsel &amp; Corporate Secretary</w:t>
            </w:r>
          </w:p>
        </w:tc>
        <w:tc>
          <w:tcPr>
            <w:tcW w:w="2460" w:type="dxa"/>
            <w:vAlign w:val="bottom"/>
          </w:tcPr>
          <w:p>
            <w:pPr>
              <w:ind w:left="440"/>
              <w:spacing w:after="0"/>
              <w:rPr>
                <w:sz w:val="20"/>
                <w:szCs w:val="20"/>
                <w:color w:val="auto"/>
              </w:rPr>
            </w:pPr>
            <w:r>
              <w:rPr>
                <w:rFonts w:ascii="Arial" w:cs="Arial" w:eastAsia="Arial" w:hAnsi="Arial"/>
                <w:sz w:val="14"/>
                <w:szCs w:val="14"/>
                <w:color w:val="auto"/>
              </w:rPr>
              <w:t>Morris Plains, NJ 07950</w:t>
            </w:r>
          </w:p>
        </w:tc>
        <w:tc>
          <w:tcPr>
            <w:tcW w:w="2460" w:type="dxa"/>
            <w:vAlign w:val="bottom"/>
          </w:tcPr>
          <w:p>
            <w:pPr>
              <w:ind w:left="500"/>
              <w:spacing w:after="0"/>
              <w:rPr>
                <w:sz w:val="20"/>
                <w:szCs w:val="20"/>
                <w:color w:val="auto"/>
              </w:rPr>
            </w:pPr>
            <w:r>
              <w:rPr>
                <w:rFonts w:ascii="Arial" w:cs="Arial" w:eastAsia="Arial" w:hAnsi="Arial"/>
                <w:sz w:val="14"/>
                <w:szCs w:val="14"/>
                <w:color w:val="0000FF"/>
              </w:rPr>
              <w:t>www.honeywell.com</w:t>
            </w:r>
          </w:p>
        </w:tc>
      </w:tr>
    </w:tbl>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191770</wp:posOffset>
            </wp:positionH>
            <wp:positionV relativeFrom="page">
              <wp:posOffset>311785</wp:posOffset>
            </wp:positionV>
            <wp:extent cx="1235075" cy="403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22"/>
          <w:szCs w:val="22"/>
          <w:color w:val="auto"/>
        </w:rPr>
        <w:t>April 20, 2018</w:t>
      </w: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760" w:right="120" w:hanging="419"/>
        <w:spacing w:after="0" w:line="251" w:lineRule="auto"/>
        <w:tabs>
          <w:tab w:leader="none" w:pos="740" w:val="left"/>
        </w:tabs>
        <w:rPr>
          <w:sz w:val="20"/>
          <w:szCs w:val="20"/>
          <w:color w:val="auto"/>
        </w:rPr>
      </w:pPr>
      <w:r>
        <w:rPr>
          <w:rFonts w:ascii="Arial" w:cs="Arial" w:eastAsia="Arial" w:hAnsi="Arial"/>
          <w:sz w:val="22"/>
          <w:szCs w:val="22"/>
          <w:color w:val="auto"/>
        </w:rPr>
        <w:t>Re:</w:t>
        <w:tab/>
        <w:t>Notice of disclosure filed in Exchange Act Quarterly Report under Section 219 of the Iran Threat Reduction and Syria Human Rights Act of 2012 and Section 13(r) of the Exchange Act</w:t>
      </w:r>
    </w:p>
    <w:p>
      <w:pPr>
        <w:spacing w:after="0" w:line="376"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4"/>
          <w:szCs w:val="24"/>
          <w:color w:val="auto"/>
        </w:rPr>
      </w:pPr>
    </w:p>
    <w:p>
      <w:pPr>
        <w:spacing w:after="0" w:line="238" w:lineRule="auto"/>
        <w:rPr>
          <w:sz w:val="20"/>
          <w:szCs w:val="20"/>
          <w:color w:val="auto"/>
        </w:rPr>
      </w:pPr>
      <w:r>
        <w:rPr>
          <w:rFonts w:ascii="Arial" w:cs="Arial" w:eastAsia="Arial" w:hAnsi="Arial"/>
          <w:sz w:val="22"/>
          <w:szCs w:val="22"/>
          <w:color w:val="auto"/>
        </w:rPr>
        <w:t>Pursuant to Section 219 of the Iran Threat Reduction and Syria Human Rights Act of 2012 and Section 13(r) of the Securities Exchange Act of 1934, as amended, notice is hereby provided that Honeywell International Inc. has made disclosure pursuant to those provisions in its Quarterly Report on Form 10-Q for the quarter ended March 31, 2018 which was filed with the Securities and Exchange Commission on April 20, 2018.</w:t>
      </w: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22"/>
          <w:szCs w:val="22"/>
          <w:color w:val="auto"/>
        </w:rPr>
        <w:t>/s/ Anne T. Madden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267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Anne T. Madden</w:t>
      </w:r>
    </w:p>
    <w:p>
      <w:pPr>
        <w:spacing w:after="0" w:line="230" w:lineRule="auto"/>
        <w:rPr>
          <w:sz w:val="20"/>
          <w:szCs w:val="20"/>
          <w:color w:val="auto"/>
        </w:rPr>
      </w:pPr>
      <w:r>
        <w:rPr>
          <w:rFonts w:ascii="Arial" w:cs="Arial" w:eastAsia="Arial" w:hAnsi="Arial"/>
          <w:sz w:val="22"/>
          <w:szCs w:val="22"/>
          <w:color w:val="auto"/>
        </w:rPr>
        <w:t>Senior Vice President, General Counsel and</w:t>
      </w:r>
    </w:p>
    <w:p>
      <w:pPr>
        <w:spacing w:after="0" w:line="231" w:lineRule="auto"/>
        <w:rPr>
          <w:sz w:val="20"/>
          <w:szCs w:val="20"/>
          <w:color w:val="auto"/>
        </w:rPr>
      </w:pPr>
      <w:r>
        <w:rPr>
          <w:rFonts w:ascii="Arial" w:cs="Arial" w:eastAsia="Arial" w:hAnsi="Arial"/>
          <w:sz w:val="22"/>
          <w:szCs w:val="22"/>
          <w:color w:val="auto"/>
        </w:rPr>
        <w:t>Corporate Secretary</w:t>
      </w:r>
    </w:p>
    <w:p>
      <w:pPr>
        <w:spacing w:after="0"/>
        <w:rPr>
          <w:sz w:val="20"/>
          <w:szCs w:val="20"/>
          <w:color w:val="auto"/>
        </w:rPr>
      </w:pPr>
      <w:r>
        <w:rPr>
          <w:rFonts w:ascii="Arial" w:cs="Arial" w:eastAsia="Arial" w:hAnsi="Arial"/>
          <w:sz w:val="22"/>
          <w:szCs w:val="22"/>
          <w:color w:val="auto"/>
        </w:rPr>
        <w:t>Honeywell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100"/>
      </w:cols>
      <w:pgMar w:left="240" w:top="140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2020-01-15T02:40:01Z</dcterms:created>
  <dcterms:modified xsi:type="dcterms:W3CDTF">2020-01-15T02:40:01Z</dcterms:modified>
</cp:coreProperties>
</file>