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spacing w:after="0" w:line="23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-220980</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160" w:type="dxa"/>
            <w:vAlign w:val="bottom"/>
          </w:tcPr>
          <w:p>
            <w:pPr>
              <w:jc w:val="center"/>
              <w:ind w:right="34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40"/>
              <w:spacing w:after="0" w:line="127"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1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4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60" w:type="dxa"/>
            <w:vAlign w:val="bottom"/>
            <w:vMerge w:val="restart"/>
          </w:tcPr>
          <w:p>
            <w:pPr>
              <w:jc w:val="center"/>
              <w:ind w:right="34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1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-594995</wp:posOffset>
            </wp:positionV>
            <wp:extent cx="5651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833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-594995</wp:posOffset>
            </wp:positionV>
            <wp:extent cx="56515" cy="6083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833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-1727835</wp:posOffset>
            </wp:positionH>
            <wp:positionV relativeFrom="paragraph">
              <wp:posOffset>16510</wp:posOffset>
            </wp:positionV>
            <wp:extent cx="7049770" cy="5126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770" cy="512635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140" w:space="560"/>
            <w:col w:w="8380"/>
          </w:cols>
          <w:pgMar w:left="460" w:top="218"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Adamczyk Darius</w:t>
        </w:r>
      </w:hyperlink>
    </w:p>
    <w:p>
      <w:pPr>
        <w:spacing w:after="0" w:line="287" w:lineRule="exact"/>
        <w:rPr>
          <w:sz w:val="24"/>
          <w:szCs w:val="24"/>
          <w:color w:val="auto"/>
        </w:rPr>
      </w:pPr>
    </w:p>
    <w:tbl>
      <w:tblPr>
        <w:tblLayout w:type="fixed"/>
        <w:tblInd w:w="8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(Last)</w:t>
            </w:r>
          </w:p>
        </w:tc>
        <w:tc>
          <w:tcPr>
            <w:tcW w:w="920" w:type="dxa"/>
            <w:vAlign w:val="bottom"/>
          </w:tcPr>
          <w:p>
            <w:pPr>
              <w:ind w:left="140"/>
              <w:spacing w:after="0"/>
              <w:rPr>
                <w:sz w:val="20"/>
                <w:szCs w:val="20"/>
                <w:color w:val="auto"/>
              </w:rPr>
            </w:pPr>
            <w:r>
              <w:rPr>
                <w:rFonts w:ascii="Arial" w:cs="Arial" w:eastAsia="Arial" w:hAnsi="Arial"/>
                <w:sz w:val="12"/>
                <w:szCs w:val="12"/>
                <w:color w:val="auto"/>
              </w:rPr>
              <w:t>(First)</w:t>
            </w:r>
          </w:p>
        </w:tc>
        <w:tc>
          <w:tcPr>
            <w:tcW w:w="1640" w:type="dxa"/>
            <w:vAlign w:val="bottom"/>
          </w:tcPr>
          <w:p>
            <w:pPr>
              <w:ind w:left="440"/>
              <w:spacing w:after="0"/>
              <w:rPr>
                <w:sz w:val="20"/>
                <w:szCs w:val="20"/>
                <w:color w:val="auto"/>
              </w:rPr>
            </w:pPr>
            <w:r>
              <w:rPr>
                <w:rFonts w:ascii="Arial" w:cs="Arial" w:eastAsia="Arial" w:hAnsi="Arial"/>
                <w:sz w:val="12"/>
                <w:szCs w:val="12"/>
                <w:color w:val="auto"/>
              </w:rPr>
              <w:t>(Middle)</w:t>
            </w:r>
          </w:p>
        </w:tc>
      </w:tr>
      <w:tr>
        <w:trPr>
          <w:trHeight w:val="257"/>
        </w:trPr>
        <w:tc>
          <w:tcPr>
            <w:tcW w:w="20" w:type="dxa"/>
            <w:vAlign w:val="bottom"/>
          </w:tcPr>
          <w:p>
            <w:pPr>
              <w:spacing w:after="0"/>
              <w:rPr>
                <w:sz w:val="22"/>
                <w:szCs w:val="22"/>
                <w:color w:val="auto"/>
              </w:rPr>
            </w:pPr>
          </w:p>
        </w:tc>
        <w:tc>
          <w:tcPr>
            <w:tcW w:w="2020" w:type="dxa"/>
            <w:vAlign w:val="bottom"/>
            <w:gridSpan w:val="2"/>
          </w:tcPr>
          <w:p>
            <w:pPr>
              <w:spacing w:after="0"/>
              <w:rPr>
                <w:sz w:val="20"/>
                <w:szCs w:val="20"/>
                <w:color w:val="auto"/>
              </w:rPr>
            </w:pPr>
            <w:r>
              <w:rPr>
                <w:rFonts w:ascii="Arial" w:cs="Arial" w:eastAsia="Arial" w:hAnsi="Arial"/>
                <w:sz w:val="16"/>
                <w:szCs w:val="16"/>
                <w:color w:val="0000FF"/>
              </w:rPr>
              <w:t>855 S. MINT STREET</w:t>
            </w:r>
          </w:p>
        </w:tc>
        <w:tc>
          <w:tcPr>
            <w:tcW w:w="1640" w:type="dxa"/>
            <w:vAlign w:val="bottom"/>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r>
      <w:tr>
        <w:trPr>
          <w:trHeight w:val="244"/>
        </w:trPr>
        <w:tc>
          <w:tcPr>
            <w:tcW w:w="112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6"/>
                <w:szCs w:val="16"/>
                <w:color w:val="0000FF"/>
              </w:rPr>
              <w:t>CHARLOTTE</w:t>
            </w:r>
          </w:p>
        </w:tc>
        <w:tc>
          <w:tcPr>
            <w:tcW w:w="920" w:type="dxa"/>
            <w:vAlign w:val="bottom"/>
          </w:tcPr>
          <w:p>
            <w:pPr>
              <w:ind w:left="140"/>
              <w:spacing w:after="0"/>
              <w:rPr>
                <w:sz w:val="20"/>
                <w:szCs w:val="20"/>
                <w:color w:val="auto"/>
              </w:rPr>
            </w:pPr>
            <w:r>
              <w:rPr>
                <w:rFonts w:ascii="Arial" w:cs="Arial" w:eastAsia="Arial" w:hAnsi="Arial"/>
                <w:sz w:val="16"/>
                <w:szCs w:val="16"/>
                <w:color w:val="0000FF"/>
              </w:rPr>
              <w:t>NC</w:t>
            </w:r>
          </w:p>
        </w:tc>
        <w:tc>
          <w:tcPr>
            <w:tcW w:w="1640" w:type="dxa"/>
            <w:vAlign w:val="bottom"/>
          </w:tcPr>
          <w:p>
            <w:pPr>
              <w:ind w:left="440"/>
              <w:spacing w:after="0"/>
              <w:rPr>
                <w:sz w:val="20"/>
                <w:szCs w:val="20"/>
                <w:color w:val="auto"/>
              </w:rPr>
            </w:pPr>
            <w:r>
              <w:rPr>
                <w:rFonts w:ascii="Arial" w:cs="Arial" w:eastAsia="Arial" w:hAnsi="Arial"/>
                <w:sz w:val="16"/>
                <w:szCs w:val="16"/>
                <w:color w:val="0000FF"/>
              </w:rPr>
              <w:t>28202</w:t>
            </w:r>
          </w:p>
        </w:tc>
      </w:tr>
      <w:tr>
        <w:trPr>
          <w:trHeight w:val="140"/>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r>
      <w:tr>
        <w:trPr>
          <w:trHeight w:val="281"/>
        </w:trPr>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(City)</w:t>
            </w:r>
          </w:p>
        </w:tc>
        <w:tc>
          <w:tcPr>
            <w:tcW w:w="920" w:type="dxa"/>
            <w:vAlign w:val="bottom"/>
          </w:tcPr>
          <w:p>
            <w:pPr>
              <w:ind w:left="140"/>
              <w:spacing w:after="0"/>
              <w:rPr>
                <w:sz w:val="20"/>
                <w:szCs w:val="20"/>
                <w:color w:val="auto"/>
              </w:rPr>
            </w:pPr>
            <w:r>
              <w:rPr>
                <w:rFonts w:ascii="Arial" w:cs="Arial" w:eastAsia="Arial" w:hAnsi="Arial"/>
                <w:sz w:val="12"/>
                <w:szCs w:val="12"/>
                <w:color w:val="auto"/>
              </w:rPr>
              <w:t>(State)</w:t>
            </w:r>
          </w:p>
        </w:tc>
        <w:tc>
          <w:tcPr>
            <w:tcW w:w="1640" w:type="dxa"/>
            <w:vAlign w:val="bottom"/>
          </w:tcPr>
          <w:p>
            <w:pPr>
              <w:ind w:left="4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3840" w:type="dxa"/>
            <w:vAlign w:val="bottom"/>
            <w:gridSpan w:val="3"/>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29"/>
        </w:trPr>
        <w:tc>
          <w:tcPr>
            <w:tcW w:w="3840" w:type="dxa"/>
            <w:vAlign w:val="bottom"/>
            <w:gridSpan w:val="3"/>
          </w:tcPr>
          <w:p>
            <w:pPr>
              <w:ind w:left="60"/>
              <w:spacing w:after="0" w:line="129" w:lineRule="exact"/>
              <w:rPr>
                <w:rFonts w:ascii="Arial" w:cs="Arial" w:eastAsia="Arial" w:hAnsi="Arial"/>
                <w:sz w:val="14"/>
                <w:szCs w:val="14"/>
                <w:color w:val="0000EE"/>
              </w:rPr>
            </w:pPr>
            <w:hyperlink r:id="rId13">
              <w:r>
                <w:rPr>
                  <w:rFonts w:ascii="Arial" w:cs="Arial" w:eastAsia="Arial" w:hAnsi="Arial"/>
                  <w:sz w:val="14"/>
                  <w:szCs w:val="14"/>
                  <w:color w:val="0000EE"/>
                </w:rPr>
                <w:t xml:space="preserve">HONEYWELL INTERNATIONAL INC </w:t>
              </w:r>
            </w:hyperlink>
            <w:r>
              <w:rPr>
                <w:rFonts w:ascii="Arial" w:cs="Arial" w:eastAsia="Arial" w:hAnsi="Arial"/>
                <w:sz w:val="14"/>
                <w:szCs w:val="14"/>
                <w:color w:val="000000"/>
              </w:rPr>
              <w:t>[</w:t>
            </w:r>
          </w:p>
        </w:tc>
        <w:tc>
          <w:tcPr>
            <w:tcW w:w="180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0" w:type="dxa"/>
            <w:vAlign w:val="bottom"/>
            <w:gridSpan w:val="2"/>
            <w:vMerge w:val="continue"/>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3840" w:type="dxa"/>
            <w:vAlign w:val="bottom"/>
            <w:gridSpan w:val="3"/>
          </w:tcPr>
          <w:p>
            <w:pPr>
              <w:spacing w:after="0"/>
              <w:rPr>
                <w:sz w:val="3"/>
                <w:szCs w:val="3"/>
                <w:color w:val="auto"/>
              </w:rPr>
            </w:pPr>
          </w:p>
        </w:tc>
        <w:tc>
          <w:tcPr>
            <w:tcW w:w="480" w:type="dxa"/>
            <w:vAlign w:val="bottom"/>
            <w:vMerge w:val="restart"/>
          </w:tcPr>
          <w:p>
            <w:pPr>
              <w:ind w:left="260"/>
              <w:spacing w:after="0" w:line="50" w:lineRule="exact"/>
              <w:rPr>
                <w:sz w:val="20"/>
                <w:szCs w:val="20"/>
                <w:color w:val="auto"/>
              </w:rPr>
            </w:pPr>
            <w:r>
              <w:rPr>
                <w:rFonts w:ascii="Arial" w:cs="Arial" w:eastAsia="Arial" w:hAnsi="Arial"/>
                <w:sz w:val="5"/>
                <w:szCs w:val="5"/>
                <w:color w:val="0000FF"/>
              </w:rPr>
              <w:t>X</w:t>
            </w:r>
          </w:p>
        </w:tc>
        <w:tc>
          <w:tcPr>
            <w:tcW w:w="132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1480" w:type="dxa"/>
            <w:vAlign w:val="bottom"/>
            <w:vMerge w:val="restart"/>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line="20" w:lineRule="exact"/>
              <w:rPr>
                <w:sz w:val="1"/>
                <w:szCs w:val="1"/>
                <w:color w:val="auto"/>
              </w:rPr>
            </w:pPr>
          </w:p>
        </w:tc>
      </w:tr>
      <w:tr>
        <w:trPr>
          <w:trHeight w:val="12"/>
        </w:trPr>
        <w:tc>
          <w:tcPr>
            <w:tcW w:w="60" w:type="dxa"/>
            <w:vAlign w:val="bottom"/>
          </w:tcPr>
          <w:p>
            <w:pPr>
              <w:spacing w:after="0" w:line="20" w:lineRule="exact"/>
              <w:rPr>
                <w:sz w:val="1"/>
                <w:szCs w:val="1"/>
                <w:color w:val="auto"/>
              </w:rPr>
            </w:pPr>
          </w:p>
        </w:tc>
        <w:tc>
          <w:tcPr>
            <w:tcW w:w="32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HON </w:t>
              </w:r>
              <w:r>
                <w:rPr>
                  <w:rFonts w:ascii="Arial" w:cs="Arial" w:eastAsia="Arial" w:hAnsi="Arial"/>
                  <w:sz w:val="1"/>
                  <w:szCs w:val="1"/>
                  <w:color w:val="000000"/>
                </w:rPr>
                <w:t>]</w:t>
              </w:r>
            </w:hyperlink>
          </w:p>
        </w:tc>
        <w:tc>
          <w:tcPr>
            <w:tcW w:w="54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32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480" w:type="dxa"/>
            <w:vAlign w:val="bottom"/>
          </w:tcPr>
          <w:p>
            <w:pPr>
              <w:ind w:left="3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8"/>
        </w:trPr>
        <w:tc>
          <w:tcPr>
            <w:tcW w:w="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32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480" w:type="dxa"/>
            <w:vAlign w:val="bottom"/>
            <w:vMerge w:val="restart"/>
          </w:tcPr>
          <w:p>
            <w:pPr>
              <w:ind w:left="3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4"/>
        </w:trPr>
        <w:tc>
          <w:tcPr>
            <w:tcW w:w="6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3840" w:type="dxa"/>
            <w:vAlign w:val="bottom"/>
            <w:gridSpan w:val="3"/>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480" w:type="dxa"/>
            <w:vAlign w:val="bottom"/>
          </w:tcPr>
          <w:p>
            <w:pPr>
              <w:spacing w:after="0"/>
              <w:rPr>
                <w:sz w:val="15"/>
                <w:szCs w:val="15"/>
                <w:color w:val="auto"/>
              </w:rPr>
            </w:pPr>
          </w:p>
        </w:tc>
        <w:tc>
          <w:tcPr>
            <w:tcW w:w="2800" w:type="dxa"/>
            <w:vAlign w:val="bottom"/>
            <w:gridSpan w:val="2"/>
          </w:tcPr>
          <w:p>
            <w:pPr>
              <w:ind w:left="540"/>
              <w:spacing w:after="0" w:line="175" w:lineRule="exact"/>
              <w:rPr>
                <w:sz w:val="20"/>
                <w:szCs w:val="20"/>
                <w:color w:val="auto"/>
              </w:rPr>
            </w:pPr>
            <w:r>
              <w:rPr>
                <w:rFonts w:ascii="Arial" w:cs="Arial" w:eastAsia="Arial" w:hAnsi="Arial"/>
                <w:sz w:val="16"/>
                <w:szCs w:val="16"/>
                <w:color w:val="0000FF"/>
              </w:rPr>
              <w:t>Chairman and CEO</w:t>
            </w:r>
          </w:p>
        </w:tc>
        <w:tc>
          <w:tcPr>
            <w:tcW w:w="0" w:type="dxa"/>
            <w:vAlign w:val="bottom"/>
          </w:tcPr>
          <w:p>
            <w:pPr>
              <w:spacing w:after="0"/>
              <w:rPr>
                <w:sz w:val="1"/>
                <w:szCs w:val="1"/>
                <w:color w:val="auto"/>
              </w:rPr>
            </w:pPr>
          </w:p>
        </w:tc>
      </w:tr>
      <w:tr>
        <w:trPr>
          <w:trHeight w:val="204"/>
        </w:trPr>
        <w:tc>
          <w:tcPr>
            <w:tcW w:w="3300" w:type="dxa"/>
            <w:vAlign w:val="bottom"/>
            <w:gridSpan w:val="2"/>
          </w:tcPr>
          <w:p>
            <w:pPr>
              <w:ind w:left="60"/>
              <w:spacing w:after="0"/>
              <w:rPr>
                <w:sz w:val="20"/>
                <w:szCs w:val="20"/>
                <w:color w:val="auto"/>
              </w:rPr>
            </w:pPr>
            <w:r>
              <w:rPr>
                <w:rFonts w:ascii="Arial" w:cs="Arial" w:eastAsia="Arial" w:hAnsi="Arial"/>
                <w:sz w:val="16"/>
                <w:szCs w:val="16"/>
                <w:color w:val="0000FF"/>
              </w:rPr>
              <w:t>11/08/2022</w:t>
            </w: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 w:type="dxa"/>
            <w:vAlign w:val="bottom"/>
            <w:tcBorders>
              <w:bottom w:val="single" w:sz="8" w:color="2C2C2C"/>
            </w:tcBorders>
          </w:tcPr>
          <w:p>
            <w:pPr>
              <w:spacing w:after="0"/>
              <w:rPr>
                <w:sz w:val="17"/>
                <w:szCs w:val="17"/>
                <w:color w:val="auto"/>
              </w:rPr>
            </w:pPr>
          </w:p>
        </w:tc>
        <w:tc>
          <w:tcPr>
            <w:tcW w:w="32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280" w:type="dxa"/>
            <w:vAlign w:val="bottom"/>
            <w:tcBorders>
              <w:bottom w:val="single" w:sz="8" w:color="2C2C2C"/>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40" w:type="dxa"/>
            <w:vAlign w:val="bottom"/>
            <w:gridSpan w:val="3"/>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80" w:type="dxa"/>
            <w:vAlign w:val="bottom"/>
            <w:gridSpan w:val="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326" w:lineRule="exact"/>
        <w:rPr>
          <w:sz w:val="20"/>
          <w:szCs w:val="20"/>
          <w:color w:val="auto"/>
        </w:rPr>
      </w:pPr>
    </w:p>
    <w:p>
      <w:pPr>
        <w:sectPr>
          <w:pgSz w:w="11900" w:h="16838" w:orient="portrait"/>
          <w:cols w:equalWidth="0" w:num="2">
            <w:col w:w="3760" w:space="8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4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20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 Disposed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ind w:left="760"/>
              <w:spacing w:after="0" w:line="119"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0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Of (D) (Instr. 3, 4 and 5)</w:t>
            </w: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40" w:type="dxa"/>
            <w:vAlign w:val="bottom"/>
            <w:gridSpan w:val="2"/>
          </w:tcPr>
          <w:p>
            <w:pPr>
              <w:ind w:left="760"/>
              <w:spacing w:after="0" w:line="123"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Code (Instr.</w:t>
            </w: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8"/>
              </w:rPr>
              <w:t>Beneficially</w:t>
            </w:r>
          </w:p>
        </w:tc>
        <w:tc>
          <w:tcPr>
            <w:tcW w:w="50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8)</w:t>
            </w: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(A) or</w:t>
            </w:r>
          </w:p>
        </w:tc>
        <w:tc>
          <w:tcPr>
            <w:tcW w:w="9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90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38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40"/>
              <w:spacing w:after="0"/>
              <w:rPr>
                <w:sz w:val="20"/>
                <w:szCs w:val="20"/>
                <w:color w:val="auto"/>
              </w:rPr>
            </w:pPr>
            <w:r>
              <w:rPr>
                <w:rFonts w:ascii="Arial" w:cs="Arial" w:eastAsia="Arial" w:hAnsi="Arial"/>
                <w:sz w:val="16"/>
                <w:szCs w:val="16"/>
                <w:color w:val="0000FF"/>
              </w:rPr>
              <w:t>11/08/2022</w:t>
            </w:r>
          </w:p>
        </w:tc>
        <w:tc>
          <w:tcPr>
            <w:tcW w:w="10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2"/>
                <w:szCs w:val="12"/>
                <w:color w:val="0000FF"/>
              </w:rPr>
              <w:t>M</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157,561</w:t>
            </w:r>
          </w:p>
        </w:tc>
        <w:tc>
          <w:tcPr>
            <w:tcW w:w="50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A</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5"/>
              </w:rPr>
              <w:t>$</w:t>
            </w:r>
            <w:r>
              <w:rPr>
                <w:rFonts w:ascii="Arial" w:cs="Arial" w:eastAsia="Arial" w:hAnsi="Arial"/>
                <w:sz w:val="16"/>
                <w:szCs w:val="16"/>
                <w:color w:val="0000FF"/>
                <w:w w:val="85"/>
              </w:rPr>
              <w:t>98.93</w:t>
            </w:r>
            <w:r>
              <w:rPr>
                <w:rFonts w:ascii="Arial" w:cs="Arial" w:eastAsia="Arial" w:hAnsi="Arial"/>
                <w:sz w:val="20"/>
                <w:szCs w:val="20"/>
                <w:color w:val="008000"/>
                <w:w w:val="85"/>
                <w:vertAlign w:val="superscript"/>
              </w:rPr>
              <w:t>(1)</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86"/>
              </w:rPr>
              <w:t>322,576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38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40"/>
              <w:spacing w:after="0"/>
              <w:rPr>
                <w:sz w:val="20"/>
                <w:szCs w:val="20"/>
                <w:color w:val="auto"/>
              </w:rPr>
            </w:pPr>
            <w:r>
              <w:rPr>
                <w:rFonts w:ascii="Arial" w:cs="Arial" w:eastAsia="Arial" w:hAnsi="Arial"/>
                <w:sz w:val="16"/>
                <w:szCs w:val="16"/>
                <w:color w:val="0000FF"/>
              </w:rPr>
              <w:t>11/08/2022</w:t>
            </w:r>
          </w:p>
        </w:tc>
        <w:tc>
          <w:tcPr>
            <w:tcW w:w="10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2"/>
                <w:szCs w:val="12"/>
                <w:color w:val="0000FF"/>
              </w:rPr>
              <w:t>F</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6"/>
              </w:rPr>
              <w:t>111,175</w:t>
            </w:r>
          </w:p>
        </w:tc>
        <w:tc>
          <w:tcPr>
            <w:tcW w:w="50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211.0927</w:t>
            </w:r>
            <w:r>
              <w:rPr>
                <w:rFonts w:ascii="Arial" w:cs="Arial" w:eastAsia="Arial" w:hAnsi="Arial"/>
                <w:sz w:val="20"/>
                <w:szCs w:val="20"/>
                <w:color w:val="008000"/>
                <w:w w:val="86"/>
                <w:vertAlign w:val="superscript"/>
              </w:rPr>
              <w:t>(2)</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86"/>
              </w:rPr>
              <w:t>211,401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38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40"/>
              <w:spacing w:after="0"/>
              <w:rPr>
                <w:sz w:val="20"/>
                <w:szCs w:val="20"/>
                <w:color w:val="auto"/>
              </w:rPr>
            </w:pPr>
            <w:r>
              <w:rPr>
                <w:rFonts w:ascii="Arial" w:cs="Arial" w:eastAsia="Arial" w:hAnsi="Arial"/>
                <w:sz w:val="16"/>
                <w:szCs w:val="16"/>
                <w:color w:val="0000FF"/>
              </w:rPr>
              <w:t>11/08/2022</w:t>
            </w:r>
          </w:p>
        </w:tc>
        <w:tc>
          <w:tcPr>
            <w:tcW w:w="10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2"/>
                <w:szCs w:val="12"/>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40,520</w:t>
            </w:r>
          </w:p>
        </w:tc>
        <w:tc>
          <w:tcPr>
            <w:tcW w:w="50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211.2004</w:t>
            </w:r>
            <w:r>
              <w:rPr>
                <w:rFonts w:ascii="Arial" w:cs="Arial" w:eastAsia="Arial" w:hAnsi="Arial"/>
                <w:sz w:val="20"/>
                <w:szCs w:val="20"/>
                <w:color w:val="008000"/>
                <w:w w:val="86"/>
                <w:vertAlign w:val="superscript"/>
              </w:rPr>
              <w:t>(3)</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86"/>
              </w:rPr>
              <w:t>170,881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gridSpan w:val="3"/>
          </w:tcPr>
          <w:p>
            <w:pPr>
              <w:spacing w:after="0"/>
              <w:rPr>
                <w:sz w:val="20"/>
                <w:szCs w:val="20"/>
                <w:color w:val="auto"/>
              </w:rPr>
            </w:pPr>
            <w:r>
              <w:rPr>
                <w:rFonts w:ascii="Arial" w:cs="Arial" w:eastAsia="Arial" w:hAnsi="Arial"/>
                <w:sz w:val="16"/>
                <w:szCs w:val="16"/>
                <w:color w:val="0000FF"/>
              </w:rPr>
              <w:t>Held in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color w:val="0000FF"/>
                <w:w w:val="87"/>
              </w:rPr>
              <w:t>1,680.7512</w:t>
            </w:r>
          </w:p>
        </w:tc>
        <w:tc>
          <w:tcPr>
            <w:tcW w:w="30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Arial" w:cs="Arial" w:eastAsia="Arial" w:hAnsi="Arial"/>
                <w:sz w:val="16"/>
                <w:szCs w:val="16"/>
                <w:color w:val="0000FF"/>
              </w:rPr>
              <w:t>I</w:t>
            </w:r>
          </w:p>
        </w:tc>
        <w:tc>
          <w:tcPr>
            <w:tcW w:w="800" w:type="dxa"/>
            <w:vAlign w:val="bottom"/>
            <w:gridSpan w:val="3"/>
          </w:tcPr>
          <w:p>
            <w:pPr>
              <w:spacing w:after="0"/>
              <w:rPr>
                <w:sz w:val="20"/>
                <w:szCs w:val="20"/>
                <w:color w:val="auto"/>
              </w:rPr>
            </w:pPr>
            <w:r>
              <w:rPr>
                <w:rFonts w:ascii="Arial" w:cs="Arial" w:eastAsia="Arial" w:hAnsi="Arial"/>
                <w:sz w:val="16"/>
                <w:szCs w:val="16"/>
                <w:color w:val="0000FF"/>
              </w:rPr>
              <w:t>401(k)</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gridSpan w:val="3"/>
          </w:tcPr>
          <w:p>
            <w:pPr>
              <w:spacing w:after="0"/>
              <w:rPr>
                <w:sz w:val="20"/>
                <w:szCs w:val="20"/>
                <w:color w:val="auto"/>
              </w:rPr>
            </w:pPr>
            <w:r>
              <w:rPr>
                <w:rFonts w:ascii="Arial" w:cs="Arial" w:eastAsia="Arial" w:hAnsi="Arial"/>
                <w:sz w:val="16"/>
                <w:szCs w:val="16"/>
                <w:color w:val="0000FF"/>
              </w:rPr>
              <w:t>plan</w:t>
            </w:r>
          </w:p>
        </w:tc>
        <w:tc>
          <w:tcPr>
            <w:tcW w:w="0" w:type="dxa"/>
            <w:vAlign w:val="bottom"/>
          </w:tcPr>
          <w:p>
            <w:pPr>
              <w:spacing w:after="0"/>
              <w:rPr>
                <w:sz w:val="1"/>
                <w:szCs w:val="1"/>
                <w:color w:val="auto"/>
              </w:rPr>
            </w:pPr>
          </w:p>
        </w:tc>
      </w:tr>
      <w:tr>
        <w:trPr>
          <w:trHeight w:val="94"/>
        </w:trPr>
        <w:tc>
          <w:tcPr>
            <w:tcW w:w="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tcBorders>
              <w:top w:val="single" w:sz="8" w:color="808080"/>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400" w:type="dxa"/>
            <w:vAlign w:val="bottom"/>
            <w:tcBorders>
              <w:top w:val="single" w:sz="8" w:color="2C2C2C"/>
            </w:tcBorders>
            <w:gridSpan w:val="9"/>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720" w:type="dxa"/>
            <w:vAlign w:val="bottom"/>
            <w:gridSpan w:val="8"/>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58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Derivative</w:t>
            </w:r>
          </w:p>
        </w:tc>
        <w:tc>
          <w:tcPr>
            <w:tcW w:w="15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Securities</w:t>
            </w:r>
          </w:p>
        </w:tc>
        <w:tc>
          <w:tcPr>
            <w:tcW w:w="15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w:t>
            </w:r>
          </w:p>
        </w:tc>
        <w:tc>
          <w:tcPr>
            <w:tcW w:w="800" w:type="dxa"/>
            <w:vAlign w:val="bottom"/>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100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Direct (D)</w:t>
            </w:r>
          </w:p>
        </w:tc>
        <w:tc>
          <w:tcPr>
            <w:tcW w:w="800" w:type="dxa"/>
            <w:vAlign w:val="bottom"/>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and 5)</w:t>
            </w: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ind w:left="20"/>
              <w:spacing w:after="0" w:line="123" w:lineRule="exact"/>
              <w:rPr>
                <w:sz w:val="20"/>
                <w:szCs w:val="20"/>
                <w:color w:val="auto"/>
              </w:rPr>
            </w:pPr>
            <w:r>
              <w:rPr>
                <w:rFonts w:ascii="Arial" w:cs="Arial" w:eastAsia="Arial" w:hAnsi="Arial"/>
                <w:sz w:val="11"/>
                <w:szCs w:val="11"/>
                <w:b w:val="1"/>
                <w:bCs w:val="1"/>
                <w:color w:val="auto"/>
                <w:w w:val="95"/>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ind w:left="20"/>
              <w:spacing w:after="0" w:line="123"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gridSpan w:val="2"/>
          </w:tcPr>
          <w:p>
            <w:pPr>
              <w:ind w:left="180"/>
              <w:spacing w:after="0" w:line="123"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0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Date</w:t>
            </w:r>
          </w:p>
        </w:tc>
        <w:tc>
          <w:tcPr>
            <w:tcW w:w="8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900" w:type="dxa"/>
            <w:vAlign w:val="bottom"/>
            <w:gridSpan w:val="2"/>
          </w:tcPr>
          <w:p>
            <w:pPr>
              <w:ind w:left="180"/>
              <w:spacing w:after="0" w:line="123"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90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Arial" w:cs="Arial" w:eastAsia="Arial" w:hAnsi="Arial"/>
                <w:sz w:val="12"/>
                <w:szCs w:val="12"/>
                <w:color w:val="0000FF"/>
              </w:rPr>
              <w:t>Option</w:t>
            </w:r>
          </w:p>
        </w:tc>
        <w:tc>
          <w:tcPr>
            <w:tcW w:w="740" w:type="dxa"/>
            <w:vAlign w:val="bottom"/>
          </w:tcPr>
          <w:p>
            <w:pPr>
              <w:ind w:left="160"/>
              <w:spacing w:after="0" w:line="19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98.93</w:t>
            </w:r>
            <w:r>
              <w:rPr>
                <w:rFonts w:ascii="Arial" w:cs="Arial" w:eastAsia="Arial" w:hAnsi="Arial"/>
                <w:sz w:val="20"/>
                <w:szCs w:val="20"/>
                <w:color w:val="008000"/>
                <w:vertAlign w:val="superscript"/>
              </w:rPr>
              <w:t>(1)</w:t>
            </w:r>
          </w:p>
        </w:tc>
        <w:tc>
          <w:tcPr>
            <w:tcW w:w="1040" w:type="dxa"/>
            <w:vAlign w:val="bottom"/>
          </w:tcPr>
          <w:p>
            <w:pPr>
              <w:jc w:val="right"/>
              <w:ind w:right="183"/>
              <w:spacing w:after="0"/>
              <w:rPr>
                <w:sz w:val="20"/>
                <w:szCs w:val="20"/>
                <w:color w:val="auto"/>
              </w:rPr>
            </w:pPr>
            <w:r>
              <w:rPr>
                <w:rFonts w:ascii="Arial" w:cs="Arial" w:eastAsia="Arial" w:hAnsi="Arial"/>
                <w:sz w:val="12"/>
                <w:szCs w:val="12"/>
                <w:color w:val="0000FF"/>
              </w:rPr>
              <w:t>11/08/2022</w:t>
            </w:r>
          </w:p>
        </w:tc>
        <w:tc>
          <w:tcPr>
            <w:tcW w:w="102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Arial" w:cs="Arial" w:eastAsia="Arial" w:hAnsi="Arial"/>
                <w:sz w:val="12"/>
                <w:szCs w:val="12"/>
                <w:color w:val="0000FF"/>
              </w:rPr>
              <w:t>M</w:t>
            </w:r>
          </w:p>
        </w:tc>
        <w:tc>
          <w:tcPr>
            <w:tcW w:w="1000" w:type="dxa"/>
            <w:vAlign w:val="bottom"/>
          </w:tcPr>
          <w:p>
            <w:pPr>
              <w:ind w:left="400"/>
              <w:spacing w:after="0" w:line="192" w:lineRule="exact"/>
              <w:rPr>
                <w:sz w:val="20"/>
                <w:szCs w:val="20"/>
                <w:color w:val="auto"/>
              </w:rPr>
            </w:pPr>
            <w:r>
              <w:rPr>
                <w:rFonts w:ascii="Arial" w:cs="Arial" w:eastAsia="Arial" w:hAnsi="Arial"/>
                <w:sz w:val="12"/>
                <w:szCs w:val="12"/>
                <w:color w:val="0000FF"/>
                <w:w w:val="97"/>
              </w:rPr>
              <w:t>157,561</w:t>
            </w:r>
            <w:r>
              <w:rPr>
                <w:rFonts w:ascii="Arial" w:cs="Arial" w:eastAsia="Arial" w:hAnsi="Arial"/>
                <w:sz w:val="20"/>
                <w:szCs w:val="20"/>
                <w:color w:val="008000"/>
                <w:w w:val="97"/>
                <w:vertAlign w:val="superscript"/>
              </w:rPr>
              <w:t>(1)</w:t>
            </w:r>
          </w:p>
        </w:tc>
        <w:tc>
          <w:tcPr>
            <w:tcW w:w="780" w:type="dxa"/>
            <w:vAlign w:val="bottom"/>
          </w:tcPr>
          <w:p>
            <w:pPr>
              <w:ind w:left="60"/>
              <w:spacing w:after="0" w:line="192" w:lineRule="exact"/>
              <w:rPr>
                <w:sz w:val="20"/>
                <w:szCs w:val="20"/>
                <w:color w:val="auto"/>
              </w:rPr>
            </w:pPr>
            <w:r>
              <w:rPr>
                <w:rFonts w:ascii="Arial" w:cs="Arial" w:eastAsia="Arial" w:hAnsi="Arial"/>
                <w:sz w:val="12"/>
                <w:szCs w:val="12"/>
                <w:color w:val="0000FF"/>
                <w:w w:val="91"/>
              </w:rPr>
              <w:t>02/26/2019</w:t>
            </w:r>
            <w:r>
              <w:rPr>
                <w:rFonts w:ascii="Arial" w:cs="Arial" w:eastAsia="Arial" w:hAnsi="Arial"/>
                <w:sz w:val="20"/>
                <w:szCs w:val="20"/>
                <w:color w:val="008000"/>
                <w:w w:val="91"/>
                <w:vertAlign w:val="superscript"/>
              </w:rPr>
              <w:t>(4)</w:t>
            </w:r>
          </w:p>
        </w:tc>
        <w:tc>
          <w:tcPr>
            <w:tcW w:w="800" w:type="dxa"/>
            <w:vAlign w:val="bottom"/>
          </w:tcPr>
          <w:p>
            <w:pPr>
              <w:ind w:left="80"/>
              <w:spacing w:after="0" w:line="192" w:lineRule="exact"/>
              <w:rPr>
                <w:sz w:val="20"/>
                <w:szCs w:val="20"/>
                <w:color w:val="auto"/>
              </w:rPr>
            </w:pPr>
            <w:r>
              <w:rPr>
                <w:rFonts w:ascii="Arial" w:cs="Arial" w:eastAsia="Arial" w:hAnsi="Arial"/>
                <w:sz w:val="12"/>
                <w:szCs w:val="12"/>
                <w:color w:val="0000FF"/>
                <w:w w:val="91"/>
              </w:rPr>
              <w:t>02/25/2025</w:t>
            </w:r>
            <w:r>
              <w:rPr>
                <w:rFonts w:ascii="Arial" w:cs="Arial" w:eastAsia="Arial" w:hAnsi="Arial"/>
                <w:sz w:val="20"/>
                <w:szCs w:val="20"/>
                <w:color w:val="008000"/>
                <w:w w:val="91"/>
                <w:vertAlign w:val="superscript"/>
              </w:rPr>
              <w:t>(4)</w:t>
            </w:r>
          </w:p>
        </w:tc>
        <w:tc>
          <w:tcPr>
            <w:tcW w:w="1400" w:type="dxa"/>
            <w:vAlign w:val="bottom"/>
            <w:gridSpan w:val="3"/>
          </w:tcPr>
          <w:p>
            <w:pPr>
              <w:ind w:left="80"/>
              <w:spacing w:after="0" w:line="192" w:lineRule="exact"/>
              <w:rPr>
                <w:sz w:val="20"/>
                <w:szCs w:val="20"/>
                <w:color w:val="auto"/>
              </w:rPr>
            </w:pPr>
            <w:r>
              <w:rPr>
                <w:rFonts w:ascii="Arial" w:cs="Arial" w:eastAsia="Arial" w:hAnsi="Arial"/>
                <w:sz w:val="18"/>
                <w:szCs w:val="18"/>
                <w:color w:val="0000FF"/>
                <w:vertAlign w:val="superscript"/>
              </w:rPr>
              <w:t>Common</w:t>
            </w:r>
            <w:r>
              <w:rPr>
                <w:rFonts w:ascii="Arial" w:cs="Arial" w:eastAsia="Arial" w:hAnsi="Arial"/>
                <w:sz w:val="9"/>
                <w:szCs w:val="9"/>
                <w:color w:val="008000"/>
              </w:rPr>
              <w:t xml:space="preserve">  </w:t>
            </w:r>
            <w:r>
              <w:rPr>
                <w:rFonts w:ascii="Arial" w:cs="Arial" w:eastAsia="Arial" w:hAnsi="Arial"/>
                <w:sz w:val="22"/>
                <w:szCs w:val="22"/>
                <w:color w:val="0000FF"/>
                <w:vertAlign w:val="subscript"/>
              </w:rPr>
              <w:t>157,561</w:t>
            </w:r>
            <w:r>
              <w:rPr>
                <w:rFonts w:ascii="Arial" w:cs="Arial" w:eastAsia="Arial" w:hAnsi="Arial"/>
                <w:sz w:val="9"/>
                <w:szCs w:val="9"/>
                <w:color w:val="008000"/>
              </w:rPr>
              <w:t>(1)</w:t>
            </w:r>
          </w:p>
        </w:tc>
        <w:tc>
          <w:tcPr>
            <w:tcW w:w="680" w:type="dxa"/>
            <w:vAlign w:val="bottom"/>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00" w:type="dxa"/>
            <w:vAlign w:val="bottom"/>
          </w:tcPr>
          <w:p>
            <w:pPr>
              <w:ind w:left="360"/>
              <w:spacing w:after="0"/>
              <w:rPr>
                <w:sz w:val="20"/>
                <w:szCs w:val="20"/>
                <w:color w:val="auto"/>
              </w:rPr>
            </w:pPr>
            <w:r>
              <w:rPr>
                <w:rFonts w:ascii="Arial" w:cs="Arial" w:eastAsia="Arial" w:hAnsi="Arial"/>
                <w:sz w:val="12"/>
                <w:szCs w:val="12"/>
                <w:color w:val="0000FF"/>
              </w:rPr>
              <w:t>0</w:t>
            </w:r>
          </w:p>
        </w:tc>
        <w:tc>
          <w:tcPr>
            <w:tcW w:w="300" w:type="dxa"/>
            <w:vAlign w:val="bottom"/>
          </w:tcPr>
          <w:p>
            <w:pPr>
              <w:spacing w:after="0"/>
              <w:rPr>
                <w:sz w:val="16"/>
                <w:szCs w:val="16"/>
                <w:color w:val="auto"/>
              </w:rPr>
            </w:pPr>
          </w:p>
        </w:tc>
        <w:tc>
          <w:tcPr>
            <w:tcW w:w="640" w:type="dxa"/>
            <w:vAlign w:val="bottom"/>
          </w:tcPr>
          <w:p>
            <w:pPr>
              <w:ind w:left="340"/>
              <w:spacing w:after="0"/>
              <w:rPr>
                <w:sz w:val="20"/>
                <w:szCs w:val="20"/>
                <w:color w:val="auto"/>
              </w:rPr>
            </w:pPr>
            <w:r>
              <w:rPr>
                <w:rFonts w:ascii="Arial" w:cs="Arial" w:eastAsia="Arial" w:hAnsi="Arial"/>
                <w:sz w:val="12"/>
                <w:szCs w:val="12"/>
                <w:color w:val="0000FF"/>
              </w:rPr>
              <w:t>D</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40" w:type="dxa"/>
            <w:vAlign w:val="bottom"/>
          </w:tcPr>
          <w:p>
            <w:pPr>
              <w:ind w:left="60"/>
              <w:spacing w:after="0" w:line="87" w:lineRule="exact"/>
              <w:rPr>
                <w:sz w:val="20"/>
                <w:szCs w:val="20"/>
                <w:color w:val="auto"/>
              </w:rPr>
            </w:pPr>
            <w:r>
              <w:rPr>
                <w:rFonts w:ascii="Arial" w:cs="Arial" w:eastAsia="Arial" w:hAnsi="Arial"/>
                <w:sz w:val="10"/>
                <w:szCs w:val="10"/>
                <w:color w:val="0000FF"/>
              </w:rPr>
              <w:t>(Right to</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ind w:left="180"/>
              <w:spacing w:after="0" w:line="87" w:lineRule="exact"/>
              <w:rPr>
                <w:sz w:val="20"/>
                <w:szCs w:val="20"/>
                <w:color w:val="auto"/>
              </w:rPr>
            </w:pPr>
            <w:r>
              <w:rPr>
                <w:rFonts w:ascii="Arial" w:cs="Arial" w:eastAsia="Arial" w:hAnsi="Arial"/>
                <w:sz w:val="10"/>
                <w:szCs w:val="10"/>
                <w:color w:val="0000FF"/>
              </w:rPr>
              <w:t>Stock</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2"/>
          <w:szCs w:val="12"/>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1" w:lineRule="exact"/>
        <w:rPr>
          <w:sz w:val="20"/>
          <w:szCs w:val="20"/>
          <w:color w:val="auto"/>
        </w:rPr>
      </w:pPr>
    </w:p>
    <w:p>
      <w:pPr>
        <w:jc w:val="both"/>
        <w:ind w:left="40" w:right="180" w:hanging="5"/>
        <w:spacing w:after="0" w:line="302" w:lineRule="auto"/>
        <w:tabs>
          <w:tab w:leader="none" w:pos="163"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All options held by the Reporting Person have been adjusted to increase the number of shares and reduce the exercise price in a manner subject to the adjustment provisions of the AdvanSix Inc. spin-off from Honeywell which occurred on October 1, 2016; the Garrett Motion Inc. spin-off from Honeywell which occurred on October 1, 2018; and the Resideo Technologies, Inc. spin-off from Honeywell which occurred on October 29, 2018.</w:t>
      </w:r>
    </w:p>
    <w:p>
      <w:pPr>
        <w:ind w:left="40" w:right="140" w:hanging="5"/>
        <w:spacing w:after="0" w:line="249"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this column is a weighted average price. These shares were sold in multiple transactions at prices ranging from $210.58 to $211.79, inclusive. The Reporting Person undertakes to provide to Honeywell International Inc., any security holder of Honeywell International Inc., or the staff of the Securities and Exchange Commission, upon request, full information regarding the number of shares sold at each separate price within the range set forth in this footnote.</w:t>
      </w:r>
    </w:p>
    <w:p>
      <w:pPr>
        <w:spacing w:after="0" w:line="23" w:lineRule="exact"/>
        <w:rPr>
          <w:rFonts w:ascii="Arial" w:cs="Arial" w:eastAsia="Arial" w:hAnsi="Arial"/>
          <w:sz w:val="12"/>
          <w:szCs w:val="12"/>
          <w:color w:val="008000"/>
        </w:rPr>
      </w:pPr>
    </w:p>
    <w:p>
      <w:pPr>
        <w:ind w:left="40" w:right="140" w:hanging="5"/>
        <w:spacing w:after="0" w:line="249"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this column is a weighted average price. These shares were sold in multiple transactions at prices ranging from $208.94 to $212.36, inclusive. The Reporting Person undertakes to provide to Honeywell International Inc., any security holder of Honeywell International Inc., or the staff of the Securities and Exchange Commission, upon request, full information regarding the number of shares sold at each separate price within the range set forth in this footnote.</w:t>
      </w:r>
    </w:p>
    <w:p>
      <w:pPr>
        <w:spacing w:after="0" w:line="23" w:lineRule="exact"/>
        <w:rPr>
          <w:rFonts w:ascii="Arial" w:cs="Arial" w:eastAsia="Arial" w:hAnsi="Arial"/>
          <w:sz w:val="12"/>
          <w:szCs w:val="12"/>
          <w:color w:val="008000"/>
        </w:rPr>
      </w:pPr>
    </w:p>
    <w:p>
      <w:pPr>
        <w:ind w:left="160" w:hanging="125"/>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stock options were granted under the 2011 Stock Incentive Plan and vested in four equal annual installments, with the first installment vesting on February 26, 2016.</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Su Ping Lu for Darius Adamczyk 11/10/2022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-9525</wp:posOffset>
            </wp:positionV>
            <wp:extent cx="18561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56105" cy="7620"/>
                    </a:xfrm>
                    <a:prstGeom prst="rect">
                      <a:avLst/>
                    </a:prstGeom>
                    <a:noFill/>
                  </pic:spPr>
                </pic:pic>
              </a:graphicData>
            </a:graphic>
          </wp:anchor>
        </w:drawing>
      </w:r>
    </w:p>
    <w:p>
      <w:pPr>
        <w:spacing w:after="0" w:line="49"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0"/>
          <w:szCs w:val="20"/>
          <w:color w:val="auto"/>
        </w:rPr>
      </w:pPr>
    </w:p>
    <w:p>
      <w:pPr>
        <w:jc w:val="both"/>
        <w:ind w:left="40" w:right="3980" w:hanging="5"/>
        <w:spacing w:after="0" w:line="317" w:lineRule="auto"/>
        <w:tabs>
          <w:tab w:leader="none" w:pos="169"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05056" TargetMode="External"/><Relationship Id="rId13" Type="http://schemas.openxmlformats.org/officeDocument/2006/relationships/hyperlink" Target="http://www.sec.gov/cgi-bin/browse-edgar?action=getcompany&amp;CIK=0000773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2022-11-10T19:15:17Z</dcterms:created>
  <dcterms:modified xsi:type="dcterms:W3CDTF">2022-11-10T19:15:17Z</dcterms:modified>
</cp:coreProperties>
</file>